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1E35" w:rsidRPr="00A92569" w:rsidRDefault="00971E35" w:rsidP="009731A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0791 F-- PT-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731AA">
            <w:pPr>
              <w:pStyle w:val="SNREPUBLIQUE"/>
              <w:snapToGrid w:val="0"/>
            </w:pPr>
            <w:r>
              <w:t>REPÚBLICA FRANCESA</w:t>
            </w:r>
          </w:p>
        </w:tc>
      </w:tr>
      <w:tr w:rsidR="00D85F5D" w:rsidRPr="006C397D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6C397D" w:rsidRDefault="00121B80" w:rsidP="009731AA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6C397D" w:rsidRDefault="00121B80" w:rsidP="009731AA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6C397D" w:rsidRDefault="00121B80" w:rsidP="009731AA">
            <w:pPr>
              <w:snapToGrid w:val="0"/>
            </w:pP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731AA">
            <w:pPr>
              <w:pStyle w:val="SNTimbre"/>
              <w:widowControl/>
            </w:pPr>
            <w:r>
              <w:t xml:space="preserve">Ministério da Transição Ecológica 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304F7E" w:rsidP="009731AA">
            <w:pPr>
              <w:pStyle w:val="SNTimbre"/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731AA">
            <w:pPr>
              <w:pStyle w:val="SNTimbre"/>
              <w:widowControl/>
              <w:spacing w:before="0" w:after="160"/>
            </w:pPr>
            <w:r>
              <w:t>Habitação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731AA">
            <w:pPr>
              <w:pStyle w:val="SNTimbre"/>
              <w:widowControl/>
              <w:jc w:val="left"/>
              <w:rPr>
                <w:highlight w:val="yellow"/>
              </w:rPr>
            </w:pPr>
          </w:p>
        </w:tc>
      </w:tr>
    </w:tbl>
    <w:p w:rsidR="00121B80" w:rsidRPr="006C397D" w:rsidRDefault="00121B80" w:rsidP="009731A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Portaria, de</w:t>
      </w:r>
    </w:p>
    <w:p w:rsidR="00121B80" w:rsidRPr="006C397D" w:rsidRDefault="00371CC6" w:rsidP="009731A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relativa à aprovação do método de cálculo previsto no artigo R. 111-20-5 do Código da Construção e da Habitação</w:t>
      </w:r>
    </w:p>
    <w:p w:rsidR="00121B80" w:rsidRPr="006C397D" w:rsidRDefault="00121B80" w:rsidP="009731AA">
      <w:pPr>
        <w:pStyle w:val="SNNORCentr"/>
      </w:pPr>
      <w:r>
        <w:t xml:space="preserve">NOR: </w:t>
      </w:r>
    </w:p>
    <w:p w:rsidR="00121B80" w:rsidRPr="006C397D" w:rsidRDefault="00121B80" w:rsidP="009731AA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6C397D" w:rsidRDefault="00121B80" w:rsidP="009731AA">
      <w:pPr>
        <w:jc w:val="both"/>
      </w:pPr>
      <w:r>
        <w:rPr>
          <w:rFonts w:ascii="Times New Roman" w:hAnsi="Times New Roman"/>
          <w:i/>
          <w:sz w:val="24"/>
          <w:u w:val="single"/>
        </w:rPr>
        <w:t>Público abrangido</w:t>
      </w:r>
      <w:r>
        <w:rPr>
          <w:rFonts w:ascii="Times New Roman" w:hAnsi="Times New Roman"/>
          <w:i/>
          <w:sz w:val="24"/>
        </w:rPr>
        <w:t>: Donos da obra, diretores de projeto, construtores e promotores, arquitetos, gabinetes de estudos térmicos e ambientais, economistas da construção, controladores técnicos, empresas de construção, industriais de materiais de construção e de sistemas técnicos de construção, fornecedores de energia, na França metropolitana.</w:t>
      </w:r>
    </w:p>
    <w:p w:rsidR="00121B80" w:rsidRPr="006C397D" w:rsidRDefault="00121B80" w:rsidP="009731AA">
      <w:pPr>
        <w:jc w:val="both"/>
      </w:pPr>
      <w:r>
        <w:rPr>
          <w:rFonts w:ascii="Times New Roman" w:hAnsi="Times New Roman"/>
          <w:i/>
          <w:sz w:val="24"/>
          <w:u w:val="single"/>
        </w:rPr>
        <w:t>Objeto</w:t>
      </w:r>
      <w:r>
        <w:rPr>
          <w:rFonts w:ascii="Times New Roman" w:hAnsi="Times New Roman"/>
          <w:i/>
          <w:sz w:val="24"/>
        </w:rPr>
        <w:t xml:space="preserve">: Fixação do método de cálculo do desempenho energético e ambiental das construções de edifícios habitacionais, de escritórios ou do ensino básico ou secundário na França metropolitana, para a aplicação da Portaria, de </w:t>
      </w:r>
      <w:r>
        <w:rPr>
          <w:rFonts w:ascii="Times New Roman" w:hAnsi="Times New Roman"/>
          <w:i/>
          <w:sz w:val="24"/>
          <w:highlight w:val="yellow"/>
        </w:rPr>
        <w:t>XXX</w:t>
      </w:r>
      <w:r>
        <w:rPr>
          <w:rFonts w:ascii="Times New Roman" w:hAnsi="Times New Roman"/>
          <w:i/>
          <w:sz w:val="24"/>
        </w:rPr>
        <w:t>, relativa aos requisitos de desempenho energético e ambiental das construções de edifícios habitacionais, de escritórios ou do ensino básico ou secundário na França metropolitana.</w:t>
      </w:r>
    </w:p>
    <w:p w:rsidR="00371CC6" w:rsidRPr="006C397D" w:rsidRDefault="00121B80" w:rsidP="009731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  <w:u w:val="single"/>
        </w:rPr>
        <w:t>Entrada em vigor</w:t>
      </w:r>
      <w:r>
        <w:rPr>
          <w:rFonts w:ascii="Times New Roman" w:hAnsi="Times New Roman"/>
          <w:i/>
          <w:sz w:val="24"/>
        </w:rPr>
        <w:t>: A presente portaria é aplicável a partir de 1 de julho de 2021.</w:t>
      </w:r>
    </w:p>
    <w:p w:rsidR="00371CC6" w:rsidRPr="006C397D" w:rsidRDefault="00371CC6" w:rsidP="009731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6C397D" w:rsidRDefault="00121B80" w:rsidP="009731AA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u w:val="single"/>
        </w:rPr>
        <w:t>Nota explicativa</w:t>
      </w:r>
      <w:r>
        <w:rPr>
          <w:rFonts w:ascii="Times New Roman" w:hAnsi="Times New Roman"/>
          <w:i/>
          <w:sz w:val="24"/>
        </w:rPr>
        <w:t>: A portaria fixa o método de cálculo do desempenho energético e ambiental das construções de edifícios habitacionais, de escritórios ou do ensino básico ou secundário na França metropolitana, por meio de três anexos:</w:t>
      </w:r>
    </w:p>
    <w:p w:rsidR="00371CC6" w:rsidRPr="006C397D" w:rsidRDefault="00371CC6" w:rsidP="009731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</w:rPr>
        <w:t>Anexo I: Regras gerais para o cálculo do desempenho energético e ambiental,</w:t>
      </w:r>
    </w:p>
    <w:p w:rsidR="00371CC6" w:rsidRPr="006C397D" w:rsidRDefault="00371CC6" w:rsidP="009731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</w:rPr>
        <w:t>Anexo II: Método de cálculo «Th-BCE 2020», que especifica as regras de cálculo do desempenho energético, associadas à ferramenta de cálculo prevista no artigo L.111-9-1-A do Código da Construção e da Habitação,</w:t>
      </w:r>
    </w:p>
    <w:p w:rsidR="00371CC6" w:rsidRPr="006C397D" w:rsidRDefault="00371CC6" w:rsidP="009731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</w:rPr>
        <w:t>Anexo III: Regras «Th-Bat 2020», que permitem determinar os dados a introduzir nos cálculos do desempenho energético do edifício para o cálculo regulamentar.</w:t>
      </w:r>
    </w:p>
    <w:p w:rsidR="00121B80" w:rsidRPr="006C397D" w:rsidRDefault="00121B80" w:rsidP="009731AA">
      <w:pPr>
        <w:spacing w:after="0" w:line="240" w:lineRule="auto"/>
        <w:jc w:val="both"/>
      </w:pPr>
    </w:p>
    <w:p w:rsidR="00121B80" w:rsidRPr="006C397D" w:rsidRDefault="00121B80" w:rsidP="009731AA">
      <w:pPr>
        <w:jc w:val="both"/>
      </w:pPr>
      <w:r>
        <w:rPr>
          <w:rFonts w:ascii="Times New Roman" w:hAnsi="Times New Roman"/>
          <w:i/>
          <w:sz w:val="24"/>
          <w:u w:val="single"/>
        </w:rPr>
        <w:t xml:space="preserve">Referências: </w:t>
      </w:r>
      <w:r>
        <w:rPr>
          <w:rFonts w:ascii="Times New Roman" w:hAnsi="Times New Roman"/>
          <w:i/>
          <w:sz w:val="24"/>
        </w:rPr>
        <w:t xml:space="preserve">O texto </w:t>
      </w:r>
      <w:r>
        <w:rPr>
          <w:rFonts w:ascii="Times New Roman" w:hAnsi="Times New Roman"/>
          <w:i/>
          <w:sz w:val="24"/>
          <w:highlight w:val="yellow"/>
        </w:rPr>
        <w:t>alterado</w:t>
      </w:r>
      <w:r>
        <w:rPr>
          <w:rFonts w:ascii="Times New Roman" w:hAnsi="Times New Roman"/>
          <w:i/>
          <w:sz w:val="24"/>
        </w:rPr>
        <w:t xml:space="preserve"> pela presente portaria pode ser consultado, com a sua redação, no sítio Web Legifrance (</w:t>
      </w:r>
      <w:hyperlink r:id="rId7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www.legifrance.gouv.fr</w:t>
        </w:r>
      </w:hyperlink>
      <w:r>
        <w:rPr>
          <w:rFonts w:ascii="Times New Roman" w:hAnsi="Times New Roman"/>
          <w:i/>
          <w:sz w:val="24"/>
        </w:rPr>
        <w:t>).</w:t>
      </w:r>
    </w:p>
    <w:p w:rsidR="00121B80" w:rsidRPr="006C397D" w:rsidRDefault="00121B80" w:rsidP="009731AA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6C397D" w:rsidRDefault="00121B80" w:rsidP="009731AA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lastRenderedPageBreak/>
        <w:t>A ministra da Transição Ecológica, a ministra adjunta da ministra da Transição Ecológica, responsável pela Habitação,</w:t>
      </w:r>
    </w:p>
    <w:p w:rsidR="000A64C4" w:rsidRPr="006C397D" w:rsidRDefault="00972FD1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Tendo em conta a Diretiva (UE) 2015/1535 do Parlamento Europeu e do Conselho, de 9 de setembro de 2015, relativa a um procedimento de informação no domínio das regulamentações técnicas e das regras relativas aos serviços da sociedade da informação (codificação) e, nomeadamente, a notificação n.º </w:t>
      </w:r>
      <w:r>
        <w:rPr>
          <w:rFonts w:ascii="Times New Roman" w:hAnsi="Times New Roman"/>
          <w:sz w:val="24"/>
          <w:highlight w:val="yellow"/>
        </w:rPr>
        <w:t>ano/XXX/F</w:t>
      </w:r>
      <w:r>
        <w:rPr>
          <w:rFonts w:ascii="Times New Roman" w:hAnsi="Times New Roman"/>
          <w:sz w:val="24"/>
        </w:rPr>
        <w:t>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Tendo em conta a Diretiva 2010/31/UE do Parlamento Europeu e do Conselho, de 19 de maio de 2010, relativa ao desempenho energético dos edifícios, com a redação que lhe foi dada pela Diretiva (UE) 2018/844 do Parlamento Europeu e do Conselho, de 30 de maio de 2018, nomeadamente os artigos 3.º, 4.º e 6.º,</w:t>
      </w:r>
    </w:p>
    <w:p w:rsidR="00837B47" w:rsidRPr="006C397D" w:rsidRDefault="00837B47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Tendo em conta o Código da Construção e da Habitação, nomeadamente o artigo R.111-20-5,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Tendo em conta a Portaria,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 relativa aos requisitos de desempenho energético e ambiental das construções de edifícios habitacionais, de escritórios ou do ensino básico ou secundário na França metropolitana,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Tendo em conta as observações formuladas aquando da consulta pública realizada entre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 xml:space="preserve"> 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 em aplicação do artigo L. 120-1 do Código do Ambiente,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Tendo em conta o parecer do </w:t>
      </w:r>
      <w:r>
        <w:rPr>
          <w:rFonts w:ascii="Times New Roman" w:hAnsi="Times New Roman"/>
          <w:sz w:val="24"/>
          <w:highlight w:val="yellow"/>
        </w:rPr>
        <w:t>Conselho Nacional de Avaliação das Normas</w:t>
      </w:r>
      <w:r>
        <w:rPr>
          <w:rFonts w:ascii="Times New Roman" w:hAnsi="Times New Roman"/>
          <w:sz w:val="24"/>
        </w:rPr>
        <w:t xml:space="preserve">,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Tendo em conta o parecer do </w:t>
      </w:r>
      <w:r>
        <w:rPr>
          <w:rFonts w:ascii="Times New Roman" w:hAnsi="Times New Roman"/>
          <w:sz w:val="24"/>
          <w:highlight w:val="yellow"/>
        </w:rPr>
        <w:t>Conselho Superior da Energia</w:t>
      </w:r>
      <w:r>
        <w:rPr>
          <w:rFonts w:ascii="Times New Roman" w:hAnsi="Times New Roman"/>
          <w:sz w:val="24"/>
        </w:rPr>
        <w:t xml:space="preserve">,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Tendo em conta o parecer do Conselho Superior da Construção e da Eficiência Energética,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Tendo em conta a carta de consulta da Assembleia da Guiana, de 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Tendo em conta a carta de consulta da Assembleia da Martinica, de 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Tendo em conta a carta de consulta da Assembleia de Departamento de Guadalupe,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Tendo em conta a carta de consulta da Assembleia de Departamento da Reunião,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Tendo em conta a carta de consulta da Assembleia Regional de Guadalupe,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Tendo em conta a carta de consulta da Assembleia Regional da Reunião,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</w:t>
      </w:r>
    </w:p>
    <w:p w:rsidR="00121B80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Tendo em conta a carta de consulta da Assembleia Regional de Maiote,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</w:t>
      </w:r>
    </w:p>
    <w:p w:rsidR="00371CC6" w:rsidRPr="006C397D" w:rsidRDefault="00371CC6" w:rsidP="00973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97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9731AA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Decretam:</w:t>
      </w:r>
    </w:p>
    <w:p w:rsidR="00121B80" w:rsidRPr="006C397D" w:rsidRDefault="00121B80" w:rsidP="009731AA">
      <w:pPr>
        <w:keepNext/>
        <w:spacing w:after="0" w:line="240" w:lineRule="auto"/>
      </w:pPr>
      <w:r>
        <w:rPr>
          <w:rFonts w:ascii="Times New Roman" w:hAnsi="Times New Roman"/>
          <w:sz w:val="24"/>
        </w:rPr>
        <w:t> </w:t>
      </w:r>
    </w:p>
    <w:p w:rsidR="00121B80" w:rsidRPr="006C397D" w:rsidRDefault="00121B80" w:rsidP="009731AA">
      <w:pPr>
        <w:keepNext/>
        <w:tabs>
          <w:tab w:val="left" w:pos="3030"/>
        </w:tabs>
        <w:spacing w:after="0" w:line="240" w:lineRule="auto"/>
      </w:pPr>
      <w:r>
        <w:rPr>
          <w:rFonts w:ascii="Times New Roman" w:hAnsi="Times New Roman"/>
          <w:sz w:val="24"/>
        </w:rPr>
        <w:t> </w:t>
      </w:r>
    </w:p>
    <w:p w:rsidR="00121B80" w:rsidRPr="006C397D" w:rsidRDefault="00121B80" w:rsidP="009731AA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Artigo 1.º</w:t>
      </w:r>
    </w:p>
    <w:p w:rsidR="00121B80" w:rsidRPr="006C397D" w:rsidRDefault="00371CC6" w:rsidP="009731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É aprovado o método de cálculo apenso ao anexo da presente portaria e previsto no artigo R.111-20-5 do Código da Construção e da Habitação.</w:t>
      </w:r>
    </w:p>
    <w:p w:rsidR="001776C9" w:rsidRPr="006C397D" w:rsidRDefault="001776C9" w:rsidP="009731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6C397D" w:rsidRDefault="006C397D" w:rsidP="009731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Pr="006C397D" w:rsidRDefault="00121B80" w:rsidP="009731AA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Artigo 2.º</w:t>
      </w:r>
    </w:p>
    <w:p w:rsidR="00121B80" w:rsidRPr="006C397D" w:rsidRDefault="00121B80" w:rsidP="009731A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371CC6" w:rsidP="009731A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O diretor da Habitação, do Urbanismo e das Paisagens e o diretor-geral da Energia e do Clima são responsáveis, cada um no âmbito das respetivas competências, pela execução da presente portaria, que será publicada no Boletim Oficial do Ministério da Transição Ecológica e Solidária.</w:t>
      </w:r>
    </w:p>
    <w:p w:rsidR="00121B80" w:rsidRPr="006C397D" w:rsidRDefault="00121B80" w:rsidP="009731AA">
      <w:pPr>
        <w:spacing w:after="0" w:line="240" w:lineRule="auto"/>
        <w:jc w:val="both"/>
      </w:pPr>
    </w:p>
    <w:p w:rsidR="00121B80" w:rsidRPr="006C397D" w:rsidRDefault="00121B80" w:rsidP="009731AA">
      <w:pPr>
        <w:spacing w:after="0" w:line="240" w:lineRule="auto"/>
      </w:pPr>
    </w:p>
    <w:p w:rsidR="00121B80" w:rsidRPr="006C397D" w:rsidRDefault="00121B80" w:rsidP="009731AA">
      <w:pPr>
        <w:pStyle w:val="SNSignature"/>
        <w:ind w:firstLine="0"/>
        <w:jc w:val="right"/>
      </w:pPr>
      <w:bookmarkStart w:id="0" w:name="_GoBack"/>
      <w:bookmarkEnd w:id="0"/>
    </w:p>
    <w:p w:rsidR="00121B80" w:rsidRPr="006C397D" w:rsidRDefault="00121B80" w:rsidP="009731AA">
      <w:pPr>
        <w:pStyle w:val="SNSignature"/>
        <w:ind w:firstLine="0"/>
        <w:jc w:val="right"/>
      </w:pPr>
    </w:p>
    <w:p w:rsidR="00121B80" w:rsidRPr="006C397D" w:rsidRDefault="00121B80" w:rsidP="009731AA">
      <w:pPr>
        <w:pStyle w:val="SNSignature"/>
        <w:ind w:firstLine="0"/>
      </w:pPr>
    </w:p>
    <w:p w:rsidR="00121B80" w:rsidRPr="006C397D" w:rsidRDefault="00121B80" w:rsidP="009731AA">
      <w:pPr>
        <w:spacing w:after="0" w:line="240" w:lineRule="auto"/>
      </w:pPr>
    </w:p>
    <w:p w:rsidR="00121B80" w:rsidRPr="006C397D" w:rsidRDefault="00121B80" w:rsidP="009731AA">
      <w:pPr>
        <w:pStyle w:val="SNSignatureDroite"/>
        <w:jc w:val="left"/>
      </w:pPr>
      <w:r>
        <w:t xml:space="preserve">A ministra da Transição Ecológica </w:t>
      </w:r>
    </w:p>
    <w:p w:rsidR="00121B80" w:rsidRPr="006C397D" w:rsidRDefault="00121B80" w:rsidP="009731AA">
      <w:pPr>
        <w:pStyle w:val="SNSignatureDroite"/>
        <w:jc w:val="left"/>
      </w:pPr>
      <w:r>
        <w:t>Pela</w:t>
      </w:r>
      <w:r>
        <w:rPr>
          <w:color w:val="000000"/>
        </w:rPr>
        <w:t xml:space="preserve"> ministra </w:t>
      </w:r>
      <w:r>
        <w:t>e por delegação:</w:t>
      </w:r>
    </w:p>
    <w:p w:rsidR="00371CC6" w:rsidRPr="006C397D" w:rsidRDefault="00121B80" w:rsidP="009731AA">
      <w:pPr>
        <w:pStyle w:val="SNSignatureDroite"/>
        <w:jc w:val="left"/>
      </w:pPr>
      <w:r>
        <w:t>O diretor da Habitação, do Urbanismo e das Paisagens,</w:t>
      </w:r>
    </w:p>
    <w:p w:rsidR="00121B80" w:rsidRPr="006C397D" w:rsidRDefault="00121B80" w:rsidP="009731AA">
      <w:pPr>
        <w:pStyle w:val="SNSignatureDroite"/>
        <w:jc w:val="left"/>
      </w:pPr>
    </w:p>
    <w:p w:rsidR="00121B80" w:rsidRPr="006C397D" w:rsidRDefault="00121B80" w:rsidP="009731AA">
      <w:pPr>
        <w:pStyle w:val="SNSignatureDroite"/>
        <w:jc w:val="left"/>
      </w:pPr>
    </w:p>
    <w:p w:rsidR="00121B80" w:rsidRPr="006C397D" w:rsidRDefault="00121B80" w:rsidP="009731AA">
      <w:pPr>
        <w:pStyle w:val="SNSignatureDroite"/>
        <w:jc w:val="left"/>
      </w:pPr>
    </w:p>
    <w:p w:rsidR="00121B80" w:rsidRPr="006C397D" w:rsidRDefault="00121B80" w:rsidP="009731AA">
      <w:pPr>
        <w:pStyle w:val="SNSignatureDroite"/>
        <w:jc w:val="left"/>
      </w:pPr>
    </w:p>
    <w:p w:rsidR="00121B80" w:rsidRPr="006C397D" w:rsidRDefault="00121B80" w:rsidP="009731AA">
      <w:pPr>
        <w:pStyle w:val="SNSignatureDroite"/>
        <w:jc w:val="left"/>
      </w:pPr>
    </w:p>
    <w:p w:rsidR="00121B80" w:rsidRPr="006C397D" w:rsidRDefault="00121B80" w:rsidP="009731AA">
      <w:pPr>
        <w:pStyle w:val="SNSignature"/>
        <w:ind w:firstLine="0"/>
      </w:pPr>
    </w:p>
    <w:p w:rsidR="00121B80" w:rsidRPr="006C397D" w:rsidRDefault="00121B80" w:rsidP="009731AA">
      <w:pPr>
        <w:pStyle w:val="SNSignature"/>
        <w:ind w:firstLine="0"/>
        <w:jc w:val="right"/>
      </w:pPr>
      <w:r>
        <w:t>A ministra da Transição Ecológica,</w:t>
      </w:r>
    </w:p>
    <w:p w:rsidR="00121B80" w:rsidRPr="006C397D" w:rsidRDefault="00121B80" w:rsidP="009731AA">
      <w:pPr>
        <w:pStyle w:val="SNSignature"/>
        <w:ind w:firstLine="0"/>
        <w:jc w:val="right"/>
      </w:pPr>
      <w:r>
        <w:t>Pela ministra e por delegação:</w:t>
      </w:r>
    </w:p>
    <w:p w:rsidR="00121B80" w:rsidRPr="006C397D" w:rsidRDefault="00121B80" w:rsidP="009731AA">
      <w:pPr>
        <w:pStyle w:val="SNSignature"/>
        <w:ind w:firstLine="0"/>
        <w:jc w:val="right"/>
      </w:pPr>
      <w:r>
        <w:t>O diretor-</w:t>
      </w:r>
      <w:r>
        <w:rPr>
          <w:color w:val="000000"/>
        </w:rPr>
        <w:t>geral da Energia e do Clima</w:t>
      </w:r>
      <w:r>
        <w:t>,</w:t>
      </w:r>
    </w:p>
    <w:p w:rsidR="00121B80" w:rsidRPr="006C397D" w:rsidRDefault="00121B80" w:rsidP="009731AA">
      <w:pPr>
        <w:pStyle w:val="SNSignature"/>
        <w:ind w:firstLine="0"/>
        <w:jc w:val="right"/>
      </w:pPr>
    </w:p>
    <w:p w:rsidR="00121B80" w:rsidRPr="006C397D" w:rsidRDefault="00121B80" w:rsidP="009731AA">
      <w:pPr>
        <w:pStyle w:val="SNSignature"/>
        <w:ind w:firstLine="0"/>
        <w:jc w:val="right"/>
      </w:pPr>
    </w:p>
    <w:p w:rsidR="00121B80" w:rsidRPr="006C397D" w:rsidRDefault="00121B80" w:rsidP="009731AA">
      <w:pPr>
        <w:pStyle w:val="SNSignature"/>
        <w:ind w:firstLine="0"/>
        <w:jc w:val="right"/>
      </w:pPr>
    </w:p>
    <w:p w:rsidR="00121B80" w:rsidRPr="006C397D" w:rsidRDefault="00121B80" w:rsidP="009731AA">
      <w:pPr>
        <w:pStyle w:val="SNSignature"/>
        <w:ind w:firstLine="0"/>
      </w:pPr>
    </w:p>
    <w:p w:rsidR="00121B80" w:rsidRPr="006C397D" w:rsidRDefault="00121B80" w:rsidP="009731AA">
      <w:pPr>
        <w:pStyle w:val="SNSignature"/>
        <w:ind w:firstLine="0"/>
      </w:pPr>
    </w:p>
    <w:p w:rsidR="00121B80" w:rsidRPr="006C397D" w:rsidRDefault="00121B80" w:rsidP="009731AA">
      <w:pPr>
        <w:pStyle w:val="SNSignatureDroite"/>
        <w:jc w:val="left"/>
      </w:pPr>
      <w:r>
        <w:t xml:space="preserve">A ministra adjunta da ministra da Transição Ecológica </w:t>
      </w:r>
    </w:p>
    <w:p w:rsidR="00121B80" w:rsidRPr="006C397D" w:rsidRDefault="00121B80" w:rsidP="009731AA">
      <w:pPr>
        <w:pStyle w:val="SNSignatureDroite"/>
        <w:jc w:val="left"/>
      </w:pPr>
      <w:r>
        <w:t>Responsável pela Habitação</w:t>
      </w:r>
    </w:p>
    <w:p w:rsidR="00121B80" w:rsidRPr="006C397D" w:rsidRDefault="00121B80" w:rsidP="009731AA">
      <w:pPr>
        <w:pStyle w:val="SNSignatureDroite"/>
        <w:jc w:val="left"/>
      </w:pPr>
      <w:r>
        <w:t>Pela ministra e por delegação:</w:t>
      </w:r>
    </w:p>
    <w:p w:rsidR="00121B80" w:rsidRPr="006C397D" w:rsidRDefault="00121B80" w:rsidP="009731AA">
      <w:pPr>
        <w:pStyle w:val="SNSignatureDroite"/>
        <w:jc w:val="left"/>
      </w:pPr>
      <w:r>
        <w:t>O diretor da Habitação, do Urbanismo e das Paisagens,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807" w:rsidRDefault="00590807" w:rsidP="0079276F">
      <w:pPr>
        <w:spacing w:after="0" w:line="240" w:lineRule="auto"/>
      </w:pPr>
      <w:r>
        <w:separator/>
      </w:r>
    </w:p>
  </w:endnote>
  <w:endnote w:type="continuationSeparator" w:id="0">
    <w:p w:rsidR="00590807" w:rsidRDefault="00590807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807" w:rsidRDefault="00590807" w:rsidP="0079276F">
      <w:pPr>
        <w:spacing w:after="0" w:line="240" w:lineRule="auto"/>
      </w:pPr>
      <w:r>
        <w:separator/>
      </w:r>
    </w:p>
  </w:footnote>
  <w:footnote w:type="continuationSeparator" w:id="0">
    <w:p w:rsidR="00590807" w:rsidRDefault="00590807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7E"/>
    <w:rsid w:val="000370CB"/>
    <w:rsid w:val="000A64C4"/>
    <w:rsid w:val="00121B80"/>
    <w:rsid w:val="001776C9"/>
    <w:rsid w:val="002B5C7E"/>
    <w:rsid w:val="00304F7E"/>
    <w:rsid w:val="003305DB"/>
    <w:rsid w:val="00371CC6"/>
    <w:rsid w:val="0049409A"/>
    <w:rsid w:val="00590807"/>
    <w:rsid w:val="006C397D"/>
    <w:rsid w:val="0078501D"/>
    <w:rsid w:val="0079276F"/>
    <w:rsid w:val="00837B47"/>
    <w:rsid w:val="00890FE9"/>
    <w:rsid w:val="008F5F95"/>
    <w:rsid w:val="00971E35"/>
    <w:rsid w:val="00972FD1"/>
    <w:rsid w:val="009731AA"/>
    <w:rsid w:val="00A73D1D"/>
    <w:rsid w:val="00A92569"/>
    <w:rsid w:val="00AA1C12"/>
    <w:rsid w:val="00D125B4"/>
    <w:rsid w:val="00D269A1"/>
    <w:rsid w:val="00D85F5D"/>
    <w:rsid w:val="00F475E9"/>
    <w:rsid w:val="00F8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4809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Ke, Tingting</cp:lastModifiedBy>
  <cp:revision>8</cp:revision>
  <cp:lastPrinted>1900-01-01T00:00:00Z</cp:lastPrinted>
  <dcterms:created xsi:type="dcterms:W3CDTF">2020-12-11T13:33:00Z</dcterms:created>
  <dcterms:modified xsi:type="dcterms:W3CDTF">2020-12-21T14:18:00Z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