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Odluka od 4. kolovoza 2021. o zahtjevima energetske i ekološke učinkovitosti za zgrade u kopnenoj Francuskoj i odobrenju metode izračuna predviđene člankom R. 172-6. Zakonika o graditeljstvu i stanovanju</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 OPĆE ODREDBE (članci od 1. do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II. SPECIFIKACIJE O PREZENTACIJI ZAHTJEVA ENERGETSKE I EKOLOŠKE UČINKOVITOSTI (članci od 8. do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III.: TOPLINSKE KARAKTERISTIKE I ZAHTJEVI ZA SREDSTVA (PO KOMPONENTI) (članci od 19. do 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IV.: PRIJEDLOG ZA POJEDNOSTAVLJENI NAČIN PRIMJENE U POJEDINAČNIM KUĆAMA (članci od 41. do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V. POSEBNI SLUČAJEVI (članci od 43. do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Glava VI.: RAZNE ODREDBE (članci od 45. do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Prilog</w:t>
      </w:r>
    </w:p>
    <w:p w14:paraId="3DE0623C" w14:textId="02478505"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Zainteresirane strane: naručitelji, izvođači radova, graditelji i promotori, arhitekti, uredi za toplinske i okolišne studije, osobe zadužene za izradu građevinskih troškovnika, tehnički nadzornici, građevinska poduzeća, proizvođači građevinskih materijala i tehničkih sustava zgrade, opskrbljivači energijom u kopnenoj Francuskoj, uređivači softvera. </w:t>
      </w:r>
      <w:r>
        <w:rPr>
          <w:rFonts w:ascii="Times New Roman" w:hAnsi="Times New Roman"/>
          <w:sz w:val="24"/>
        </w:rPr>
        <w:br/>
        <w:t xml:space="preserve">Predmet: za nove zgrade i nadogradnju građevinskih objekata u kopnenoj Francuskoj, određivanje zahtjeva po pitanju njihovih energetskih i ekoloških karakteristika; pojašnjenja pri korigiranju njihove energetske i ekološke učinkovitosti; korigiranje metode izračuna njihove energetske i ekološke učinkovitosti. </w:t>
      </w:r>
      <w:r>
        <w:rPr>
          <w:rFonts w:ascii="Times New Roman" w:hAnsi="Times New Roman"/>
          <w:sz w:val="24"/>
        </w:rPr>
        <w:br/>
        <w:t xml:space="preserve">Stupanje na snagu: ti zahtjevi, kao i metoda izračuna, primjenjuju se od 1. siječnja 2022. na izgradnju stambenih zgrada ili dijelova stambenih zgrada, a od 1. srpnja 2022. na izgradnju zgrada ili dijelova zgrada namijenjenih za urede ili zgrada osnovnog ili srednjoškolskog obrazovanja. Primjenjuju se i na privremene konstrukcije i proširenja, ovisno o njihovoj površini, koji se koriste u iste svrhe od 1. siječnja 2023. Ti se zahtjevi primjenjuju i na građevine za koje nije potrebna građevinska dozvola ili prethodna izjava. </w:t>
      </w:r>
      <w:r>
        <w:rPr>
          <w:rFonts w:ascii="Times New Roman" w:hAnsi="Times New Roman"/>
          <w:sz w:val="24"/>
        </w:rPr>
        <w:br/>
        <w:t xml:space="preserve">Sažetak: ovom se odlukom utvrđuju zahtjevi u pogledu resursa (ili po komponenti) koje prethodno navedene zgrade smještene u kopnenoj Francuskoj moraju ispunjavati. U njoj se navodi kako utvrditi sljedećih pet (ili ukupnih) zahtjeva za rezultate: (1) optimizacija energetskog projektiranja zgrade neovisno o primijenjenim energetskim sustavima; (2) ograničenje potrošnje primarne energije, (3) ograničavanje utjecaja na klimatske promjene povezane s tim potrošnjama; (4) ograničavanje utjecaja građevinskih komponenti na klimatske promjene; (5) ograničavajuće situacije nelagode u zgradi tijekom ljeta. Konačno: Odlukom se utvrđuje metoda izračuna energetske i ekološke učinkovitosti stambenih, poslovnih zgrada, te zgrada osnovnog ili srednjoškolskog obrazovanja u kopnenoj Francuskoj putem triju priloga: </w:t>
      </w:r>
      <w:r>
        <w:rPr>
          <w:rFonts w:ascii="Times New Roman" w:hAnsi="Times New Roman"/>
          <w:sz w:val="24"/>
        </w:rPr>
        <w:br/>
      </w:r>
      <w:r w:rsidR="005B0E54">
        <w:rPr>
          <w:rFonts w:ascii="Times New Roman" w:hAnsi="Times New Roman"/>
          <w:sz w:val="24"/>
        </w:rPr>
        <w:t>- PRILOG </w:t>
      </w:r>
      <w:r>
        <w:rPr>
          <w:rFonts w:ascii="Times New Roman" w:hAnsi="Times New Roman"/>
          <w:sz w:val="24"/>
        </w:rPr>
        <w:t xml:space="preserve">II.: Opća pravila za izračun energetske i ekološke učinkovitosti; </w:t>
      </w:r>
      <w:r>
        <w:rPr>
          <w:rFonts w:ascii="Times New Roman" w:hAnsi="Times New Roman"/>
          <w:sz w:val="24"/>
        </w:rPr>
        <w:br/>
      </w:r>
      <w:r w:rsidR="005B0E54">
        <w:rPr>
          <w:rFonts w:ascii="Times New Roman" w:hAnsi="Times New Roman"/>
          <w:sz w:val="24"/>
        </w:rPr>
        <w:t>- PRILOG </w:t>
      </w:r>
      <w:r>
        <w:rPr>
          <w:rFonts w:ascii="Times New Roman" w:hAnsi="Times New Roman"/>
          <w:sz w:val="24"/>
        </w:rPr>
        <w:t xml:space="preserve">III.: Metoda izračuna „Th-ESB 2020.”, u kojoj se detaljno navode pravila za izračun energetske učinkovitosti; </w:t>
      </w:r>
      <w:r>
        <w:rPr>
          <w:rFonts w:ascii="Times New Roman" w:hAnsi="Times New Roman"/>
          <w:sz w:val="24"/>
        </w:rPr>
        <w:br/>
      </w:r>
      <w:r w:rsidR="005B0E54">
        <w:rPr>
          <w:rFonts w:ascii="Times New Roman" w:hAnsi="Times New Roman"/>
          <w:sz w:val="24"/>
        </w:rPr>
        <w:t>-</w:t>
      </w:r>
      <w:r>
        <w:rPr>
          <w:rFonts w:ascii="Times New Roman" w:hAnsi="Times New Roman"/>
          <w:sz w:val="24"/>
        </w:rPr>
        <w:t xml:space="preserve"> PRILOG IV.: Pravila „Th-Bat 2020”, za određivanje ulaznih podataka pri izračunu energetske učinkovitosti. </w:t>
      </w:r>
      <w:r>
        <w:rPr>
          <w:rFonts w:ascii="Times New Roman" w:hAnsi="Times New Roman"/>
          <w:sz w:val="24"/>
        </w:rPr>
        <w:br/>
        <w:t xml:space="preserve">Upućivanja: pisani tekst izmijenjen ovom odlukom dostupan je na web stranici </w:t>
      </w:r>
      <w:proofErr w:type="spellStart"/>
      <w:r>
        <w:rPr>
          <w:rFonts w:ascii="Times New Roman" w:hAnsi="Times New Roman"/>
          <w:sz w:val="24"/>
        </w:rPr>
        <w:t>Legifrance</w:t>
      </w:r>
      <w:proofErr w:type="spellEnd"/>
      <w:r>
        <w:rPr>
          <w:rFonts w:ascii="Times New Roman" w:hAnsi="Times New Roman"/>
          <w:sz w:val="24"/>
        </w:rPr>
        <w:t xml:space="preserve"> (www.legifrance.gouv.fr). </w:t>
      </w:r>
    </w:p>
    <w:p w14:paraId="6425698B" w14:textId="33D3BEEA"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Ministrica ekološke tranzicije, ministrica koju je ovlastila ministrica ekološke tranzicije, zadužena za stanovanje, uzimajući u obzir Direktivu 2010/31/EU Europskog parlamenta i Vijeća od 19. svibnja 2010. o energetskoj učinkovitosti zgrada, kako je izmijenjena Direktivom 2018/844 Europskog parlamenta i Vijeća od 30. svibnja 2018., a posebice njezin članak 3.;</w:t>
      </w:r>
      <w:r>
        <w:rPr>
          <w:rFonts w:ascii="Times New Roman" w:hAnsi="Times New Roman"/>
          <w:sz w:val="24"/>
        </w:rPr>
        <w:br/>
        <w:t>uzimajući u obzir Direktivu (EU) 2015/1535 Europskog parlamenta i Vijeća od 9. rujna 2015. o utvrđivanju postupka pružanja informacija u području tehničkih propisa i pravila o uslugama informacijskog društva (kodificirani tekst);</w:t>
      </w:r>
      <w:r>
        <w:rPr>
          <w:rFonts w:ascii="Times New Roman" w:hAnsi="Times New Roman"/>
          <w:sz w:val="24"/>
        </w:rPr>
        <w:br/>
        <w:t>uzimajući u obzir Zakonik o graditeljstvu i stanovanju, posebice njegove članke L. 181-1., R. 172-1. do R. 172-9. i R. 126-16.;</w:t>
      </w:r>
      <w:r>
        <w:rPr>
          <w:rFonts w:ascii="Times New Roman" w:hAnsi="Times New Roman"/>
          <w:sz w:val="24"/>
        </w:rPr>
        <w:br/>
        <w:t>uzimajući u obzir Zakon o energiji, posebice njegove članke R. 241-26. i R. 241-30.;</w:t>
      </w:r>
      <w:r>
        <w:rPr>
          <w:rFonts w:ascii="Times New Roman" w:hAnsi="Times New Roman"/>
          <w:sz w:val="24"/>
        </w:rPr>
        <w:br/>
        <w:t xml:space="preserve">uzimajući u obzir Zakonik o prostornom planiranju, posebice njegove članke L. 151-19, R*. 421 </w:t>
      </w:r>
      <w:r w:rsidR="00BC1D98">
        <w:rPr>
          <w:rFonts w:ascii="Times New Roman" w:hAnsi="Times New Roman"/>
          <w:sz w:val="24"/>
        </w:rPr>
        <w:t>-</w:t>
      </w:r>
      <w:r>
        <w:rPr>
          <w:rFonts w:ascii="Times New Roman" w:hAnsi="Times New Roman"/>
          <w:sz w:val="24"/>
        </w:rPr>
        <w:t xml:space="preserve"> 2. i R*. 421/5.;</w:t>
      </w:r>
      <w:r>
        <w:rPr>
          <w:rFonts w:ascii="Times New Roman" w:hAnsi="Times New Roman"/>
          <w:sz w:val="24"/>
        </w:rPr>
        <w:br/>
        <w:t>uzimajući u obzir Odluku od 3. svibnja 2007. o toplinskim svojstvima i energetskoj učinkovitosti postojećih zgrada u kojem se navode svi predmetni radovi i utvrđuju povezani zahtjevi, kako je izmijenjena Uredbom od 22. ožujka 2017.;</w:t>
      </w:r>
      <w:r>
        <w:rPr>
          <w:rFonts w:ascii="Times New Roman" w:hAnsi="Times New Roman"/>
          <w:sz w:val="24"/>
        </w:rPr>
        <w:br/>
        <w:t>uzimajući u obzir Odluku od 13. lipnja 2008. o energetskog učinkovitosti postojećih zgrada čija površina prelazi 1 000 m², kada su podvrgnute većoj rekonstrukciji;</w:t>
      </w:r>
      <w:r>
        <w:rPr>
          <w:rFonts w:ascii="Times New Roman" w:hAnsi="Times New Roman"/>
          <w:sz w:val="24"/>
        </w:rPr>
        <w:br/>
        <w:t>uzimajući u obzir Odluku od 26. listopada 2010. o toplinskim svojstvima i energetskoj učinkovitosti novih zgrada i novih dijelova zgrada;</w:t>
      </w:r>
      <w:r>
        <w:rPr>
          <w:rFonts w:ascii="Times New Roman" w:hAnsi="Times New Roman"/>
          <w:sz w:val="24"/>
        </w:rPr>
        <w:br/>
        <w:t>uzimajući u obzir Odluku od 28. prosinca 2012. o toplinskim svojstvima i zahtjevima energetske učinkovitosti novih zgrada i novih dijelova zgrada, osim onih na koje se odnosi članak 2. Uredbe od 26. listopada 2010. o toplinskim svojstvima i energetskoj učinkovitosti zgrada;</w:t>
      </w:r>
      <w:r>
        <w:rPr>
          <w:rFonts w:ascii="Times New Roman" w:hAnsi="Times New Roman"/>
          <w:sz w:val="24"/>
        </w:rPr>
        <w:br/>
        <w:t>uzimajući u obzir mišljenje Vrhovnog vijeća za energetiku (CSE) od 25. ožujka 2021.;</w:t>
      </w:r>
      <w:r>
        <w:rPr>
          <w:rFonts w:ascii="Times New Roman" w:hAnsi="Times New Roman"/>
          <w:sz w:val="24"/>
        </w:rPr>
        <w:br/>
        <w:t>uzimajući u obzir mišljenje Vrhovnog vijeća za građevinarstvo i energetsku učinkovitost od 13. travnja 2021.;</w:t>
      </w:r>
      <w:r>
        <w:rPr>
          <w:rFonts w:ascii="Times New Roman" w:hAnsi="Times New Roman"/>
          <w:sz w:val="24"/>
        </w:rPr>
        <w:br/>
        <w:t>uzimajući u obzir mišljenje Nacionalnog vijeća za procjenu standarda od 1. travnja i 6. svibnja 2021.;</w:t>
      </w:r>
      <w:r>
        <w:rPr>
          <w:rFonts w:ascii="Times New Roman" w:hAnsi="Times New Roman"/>
          <w:sz w:val="24"/>
        </w:rPr>
        <w:br/>
        <w:t>uzimajući u obzir obavijesti br. 2020/791/F i br. 2020/792/F poslane Europskoj komisiji 14. prosinca 2020. i odgovor Komisije od 15. lipnja 2021.;</w:t>
      </w:r>
      <w:r>
        <w:rPr>
          <w:rFonts w:ascii="Times New Roman" w:hAnsi="Times New Roman"/>
          <w:sz w:val="24"/>
        </w:rPr>
        <w:br/>
        <w:t>uzimajući u obzir primjedbe iznesene tijekom javnog savjetovanja provedenog od 23. ožujka 2021. do 13. travnja 2021., u skladu s člankom L. 123-19-1. Zakonika o zaštiti okoliša,</w:t>
      </w:r>
      <w:r>
        <w:rPr>
          <w:rFonts w:ascii="Times New Roman" w:hAnsi="Times New Roman"/>
          <w:sz w:val="24"/>
        </w:rPr>
        <w:br/>
        <w:t>odlučujem:</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 OPĆE ODREDBE (članci od 1. do 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I.: PODRUČJE PRIMJENE (članci od 1. do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Odredbe ove Uredbe će se primjenjivati na izgradnju zgrada i dijelova stambenih i poslovnih zgrada, te zgrada osnovnog ili srednjoškolskog obrazovanja koje podliježu odredbama članka R. 172-1 Zakonika o graditeljstvu i stanovanju, kao i na izgradnju s tim povezanih parkirališta.</w:t>
      </w:r>
      <w:r>
        <w:rPr>
          <w:rFonts w:ascii="Times New Roman" w:hAnsi="Times New Roman"/>
          <w:sz w:val="24"/>
        </w:rPr>
        <w:br/>
        <w:t xml:space="preserve">Ne primjenjuju se na zgrade smještene u </w:t>
      </w:r>
      <w:proofErr w:type="spellStart"/>
      <w:r>
        <w:rPr>
          <w:rFonts w:ascii="Times New Roman" w:hAnsi="Times New Roman"/>
          <w:sz w:val="24"/>
        </w:rPr>
        <w:t>Guadeloupeu</w:t>
      </w:r>
      <w:proofErr w:type="spellEnd"/>
      <w:r>
        <w:rPr>
          <w:rFonts w:ascii="Times New Roman" w:hAnsi="Times New Roman"/>
          <w:sz w:val="24"/>
        </w:rPr>
        <w:t xml:space="preserve">, Gvajani, </w:t>
      </w:r>
      <w:proofErr w:type="spellStart"/>
      <w:r>
        <w:rPr>
          <w:rFonts w:ascii="Times New Roman" w:hAnsi="Times New Roman"/>
          <w:sz w:val="24"/>
        </w:rPr>
        <w:t>Martiniku</w:t>
      </w:r>
      <w:proofErr w:type="spellEnd"/>
      <w:r>
        <w:rPr>
          <w:rFonts w:ascii="Times New Roman" w:hAnsi="Times New Roman"/>
          <w:sz w:val="24"/>
        </w:rPr>
        <w:t xml:space="preserve">, </w:t>
      </w:r>
      <w:proofErr w:type="spellStart"/>
      <w:r>
        <w:rPr>
          <w:rFonts w:ascii="Times New Roman" w:hAnsi="Times New Roman"/>
          <w:sz w:val="24"/>
        </w:rPr>
        <w:t>Reunionu</w:t>
      </w:r>
      <w:proofErr w:type="spellEnd"/>
      <w:r>
        <w:rPr>
          <w:rFonts w:ascii="Times New Roman" w:hAnsi="Times New Roman"/>
          <w:sz w:val="24"/>
        </w:rPr>
        <w:t xml:space="preserve"> i </w:t>
      </w:r>
      <w:proofErr w:type="spellStart"/>
      <w:r>
        <w:rPr>
          <w:rFonts w:ascii="Times New Roman" w:hAnsi="Times New Roman"/>
          <w:sz w:val="24"/>
        </w:rPr>
        <w:t>Mayotteu</w:t>
      </w:r>
      <w:proofErr w:type="spellEnd"/>
      <w:r>
        <w:rPr>
          <w:rFonts w:ascii="Times New Roman" w:hAnsi="Times New Roman"/>
          <w:sz w:val="24"/>
        </w:rPr>
        <w:t>.</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Članak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Dio zgrade može se izjednačiti s glavnim korištenjem zgrade, uz primjenu povezanih zahtjeva, ako su ispunjeni sljedeći kumulativni uvjeti:</w:t>
      </w:r>
    </w:p>
    <w:p w14:paraId="4F4022D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referentna površina predmetnog dijela zgrade manja je od 150 m² i manja od 10 % referentne površine glavne namjene zgrade;</w:t>
      </w:r>
      <w:r>
        <w:rPr>
          <w:rFonts w:ascii="Times New Roman" w:hAnsi="Times New Roman"/>
          <w:sz w:val="24"/>
        </w:rPr>
        <w:br/>
        <w:t>- na dio zgrade koji odgovara glavnoj uporabi primjenjuje se ova Odluka ili gore navedena Uredba od 26. listopada 2010. ili gore navedena Uredba od 28. prosinca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Dio zgrade koji se koristi kao pojedinačna kuća ne može se izjednačiti s drugom namjenom.</w:t>
      </w:r>
      <w:r>
        <w:rPr>
          <w:rFonts w:ascii="Times New Roman" w:hAnsi="Times New Roman"/>
          <w:sz w:val="24"/>
        </w:rPr>
        <w:br/>
        <w:t>Referentno područje zgrade, označeno SREF-om, definirano je u X poglavlja I. Priloga članku R. 172 – 4. Zakonika o graditeljstvu i stanovanju. Osim ako nije drugačije navedeno, to je površina koja se koristi u ovoj Odluci.</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II.: POSTUPCI ZA PRIVREMENU PRIMJENU (članak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w:t>
      </w:r>
    </w:p>
    <w:p w14:paraId="7490DDB4" w14:textId="546A571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6B5B5E">
        <w:rPr>
          <w:rFonts w:ascii="Times New Roman" w:hAnsi="Times New Roman"/>
          <w:sz w:val="24"/>
        </w:rPr>
        <w:t>-</w:t>
      </w:r>
      <w:r>
        <w:rPr>
          <w:rFonts w:ascii="Times New Roman" w:hAnsi="Times New Roman"/>
          <w:sz w:val="24"/>
        </w:rPr>
        <w:t xml:space="preserve"> U skladu s člankom R. 172-1. stavkom II. Zakonika o graditeljstvu i stanovanju, odredbe ove odluke primjenjuju se tek od 1. siječnja 2023. na manje rekreativne stambene objekte u smislu članka R.* 421-2. Zakonika o prostornom planiranju i na privremene građevine u smislu članka R.* 421-5. istog Zakonika.</w:t>
      </w:r>
      <w:r>
        <w:rPr>
          <w:rFonts w:ascii="Times New Roman" w:hAnsi="Times New Roman"/>
          <w:sz w:val="24"/>
        </w:rPr>
        <w:br/>
        <w:t xml:space="preserve">II. </w:t>
      </w:r>
      <w:r w:rsidR="006B5B5E">
        <w:rPr>
          <w:rFonts w:ascii="Times New Roman" w:hAnsi="Times New Roman"/>
          <w:sz w:val="24"/>
        </w:rPr>
        <w:t>-</w:t>
      </w:r>
      <w:r>
        <w:rPr>
          <w:rFonts w:ascii="Times New Roman" w:hAnsi="Times New Roman"/>
          <w:sz w:val="24"/>
        </w:rPr>
        <w:t xml:space="preserve"> U skladu s člankom R. 172–3. Zakonika o graditeljstvu i stanovanju, odredbe ove Odluke primjenjuju se tek od 1. siječnja 2023. na:</w:t>
      </w:r>
    </w:p>
    <w:p w14:paraId="74963075" w14:textId="3837589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zgrade i proširenja zgrada s referentnom površinom manjom od 50 m²;</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proširenja pojedinačnih ili susjednih kuća s referentnom površinom između 50 m² i 100 m²;</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proširenja za namjene koje nisu pojedinačne kuće s referentnom površinom manjom od 150 m² i 30 % referentne površine postojećih prostora.</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 te se zgrade do 31. prosinca 2022. primjenjuju samo odredbe prethodno navedene Uredbe od 26. listopada 2010.</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III.: DEFINICIJE (članak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Pojmovi potrebni za razumijevanje ove Uredbe definirani su u Prilogu I. Pokazatelji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DH, </w:t>
      </w:r>
      <w:proofErr w:type="spellStart"/>
      <w:r>
        <w:rPr>
          <w:rFonts w:ascii="Times New Roman" w:hAnsi="Times New Roman"/>
          <w:sz w:val="24"/>
        </w:rPr>
        <w:t>Icbuilding</w:t>
      </w:r>
      <w:proofErr w:type="spellEnd"/>
      <w:r>
        <w:rPr>
          <w:rFonts w:ascii="Times New Roman" w:hAnsi="Times New Roman"/>
          <w:sz w:val="24"/>
        </w:rPr>
        <w:t xml:space="preserve">, </w:t>
      </w:r>
      <w:proofErr w:type="spellStart"/>
      <w:r>
        <w:rPr>
          <w:rFonts w:ascii="Times New Roman" w:hAnsi="Times New Roman"/>
          <w:sz w:val="24"/>
        </w:rPr>
        <w:t>StockC</w:t>
      </w:r>
      <w:proofErr w:type="spellEnd"/>
      <w:r>
        <w:rPr>
          <w:rFonts w:ascii="Times New Roman" w:hAnsi="Times New Roman"/>
          <w:sz w:val="24"/>
        </w:rPr>
        <w:t xml:space="preserve">, </w:t>
      </w:r>
      <w:proofErr w:type="spellStart"/>
      <w:r>
        <w:rPr>
          <w:rFonts w:ascii="Times New Roman" w:hAnsi="Times New Roman"/>
          <w:sz w:val="24"/>
        </w:rPr>
        <w:lastRenderedPageBreak/>
        <w:t>Icconstruction</w:t>
      </w:r>
      <w:proofErr w:type="spellEnd"/>
      <w:r>
        <w:rPr>
          <w:rFonts w:ascii="Times New Roman" w:hAnsi="Times New Roman"/>
          <w:sz w:val="24"/>
        </w:rPr>
        <w:t xml:space="preserve"> i </w:t>
      </w:r>
      <w:proofErr w:type="spellStart"/>
      <w:r>
        <w:rPr>
          <w:rFonts w:ascii="Times New Roman" w:hAnsi="Times New Roman"/>
          <w:sz w:val="24"/>
        </w:rPr>
        <w:t>Icded</w:t>
      </w:r>
      <w:proofErr w:type="spellEnd"/>
      <w:r>
        <w:rPr>
          <w:rFonts w:ascii="Times New Roman" w:hAnsi="Times New Roman"/>
          <w:sz w:val="24"/>
        </w:rPr>
        <w:t xml:space="preserve">, kao i maksimalne vrijednosti </w:t>
      </w:r>
      <w:proofErr w:type="spellStart"/>
      <w:r>
        <w:rPr>
          <w:rFonts w:ascii="Times New Roman" w:hAnsi="Times New Roman"/>
          <w:sz w:val="24"/>
        </w:rPr>
        <w:t>Bbio_max</w:t>
      </w:r>
      <w:proofErr w:type="spellEnd"/>
      <w:r>
        <w:rPr>
          <w:rFonts w:ascii="Times New Roman" w:hAnsi="Times New Roman"/>
          <w:sz w:val="24"/>
        </w:rPr>
        <w:t xml:space="preserve">, </w:t>
      </w:r>
      <w:proofErr w:type="spellStart"/>
      <w:r>
        <w:rPr>
          <w:rFonts w:ascii="Times New Roman" w:hAnsi="Times New Roman"/>
          <w:sz w:val="24"/>
        </w:rPr>
        <w:t>Cep_max</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nr_max</w:t>
      </w:r>
      <w:proofErr w:type="spellEnd"/>
      <w:r>
        <w:rPr>
          <w:rFonts w:ascii="Times New Roman" w:hAnsi="Times New Roman"/>
          <w:sz w:val="24"/>
        </w:rPr>
        <w:t xml:space="preserve">, </w:t>
      </w:r>
      <w:proofErr w:type="spellStart"/>
      <w:r>
        <w:rPr>
          <w:rFonts w:ascii="Times New Roman" w:hAnsi="Times New Roman"/>
          <w:sz w:val="24"/>
        </w:rPr>
        <w:t>Icenergy_max</w:t>
      </w:r>
      <w:proofErr w:type="spellEnd"/>
      <w:r>
        <w:rPr>
          <w:rFonts w:ascii="Times New Roman" w:hAnsi="Times New Roman"/>
          <w:sz w:val="24"/>
        </w:rPr>
        <w:t xml:space="preserve">, </w:t>
      </w:r>
      <w:proofErr w:type="spellStart"/>
      <w:r>
        <w:rPr>
          <w:rFonts w:ascii="Times New Roman" w:hAnsi="Times New Roman"/>
          <w:sz w:val="24"/>
        </w:rPr>
        <w:t>Icconstruction_max</w:t>
      </w:r>
      <w:proofErr w:type="spellEnd"/>
      <w:r>
        <w:rPr>
          <w:rFonts w:ascii="Times New Roman" w:hAnsi="Times New Roman"/>
          <w:sz w:val="24"/>
        </w:rPr>
        <w:t xml:space="preserve"> i </w:t>
      </w:r>
      <w:proofErr w:type="spellStart"/>
      <w:r>
        <w:rPr>
          <w:rFonts w:ascii="Times New Roman" w:hAnsi="Times New Roman"/>
          <w:sz w:val="24"/>
        </w:rPr>
        <w:t>DH_max</w:t>
      </w:r>
      <w:proofErr w:type="spellEnd"/>
      <w:r>
        <w:rPr>
          <w:rFonts w:ascii="Times New Roman" w:hAnsi="Times New Roman"/>
          <w:sz w:val="24"/>
        </w:rPr>
        <w:t>, navedene u ovoj Uredbi, definirani su u poglavlju I. do IX. Priloga članku R. 172–4. Zakonika za graditeljstvo i stanovanje.</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IV.: ZAHTJEVI ENERGETSKE I EKOLOŠKE UČINKOVITOSTI I MINIMALNE TEHNIČKE KARAKTERISTIKE (članci od 5. do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5.</w:t>
      </w:r>
    </w:p>
    <w:p w14:paraId="3B7A178C" w14:textId="10239B8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Zgrade ili dijelovi zgrada na koje se primjenjuje ova Odluka moraju biti u skladu sa zahtjevima iz članka R. 172</w:t>
      </w:r>
      <w:r w:rsidR="006B5B5E">
        <w:rPr>
          <w:rFonts w:ascii="Times New Roman" w:hAnsi="Times New Roman"/>
          <w:sz w:val="24"/>
        </w:rPr>
        <w:t>-</w:t>
      </w:r>
      <w:r>
        <w:rPr>
          <w:rFonts w:ascii="Times New Roman" w:hAnsi="Times New Roman"/>
          <w:sz w:val="24"/>
        </w:rPr>
        <w:t>4. Zakonika o graditeljstvu i stanovanju i utvrđeni u skladu s postupcima iz Priloga tom članku i članka 8. ove odluke.</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Minimalne tehničke karakteristike određenih dijelova zgrade ili sklopova dijelova zgrada koji podliježu ovoj Odluci moraju biti u skladu sa zahtjevima utvrđenima u glavi III. ovog naloga.</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Smatra se da su zgrade čije su karakteristike u skladu s pojednostavljenim metodama primjene odobrenima pod uvjetima opisanima u glavi IV. ove Odluke u skladu sa zahtjevima ove Odluke.</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II. SPECIFIKACIJE O PREZENTACIJI ZAHTJEVA ENERGETSKE I EKOLOŠKE UČINKOVITOSTI (članci od 8. do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V.: OCJENA SUKLADNOSTI ZAHTJEVIMA (članci od 8. do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Odobrena je metoda izračuna koja se nalazi u Prilozima II do IV ove Odluke, predviđena člankom R.172-6. Zakonika o graditeljstvu i stanovanju.</w:t>
      </w:r>
      <w:r>
        <w:rPr>
          <w:rFonts w:ascii="Times New Roman" w:hAnsi="Times New Roman"/>
          <w:sz w:val="24"/>
        </w:rPr>
        <w:br/>
        <w:t>U skladu sa stavkom I. istog članka, ovom se metodom izračuna određuju energetska i ekološka učinkovitost zgrade, posebno s obzirom na pokazatelje opisane u točkama I. do IX. poglavlja I. Priloga članku R. 172-4 istog zakona, na temelju karakteristika zgrade i njenih komponenti.</w:t>
      </w:r>
      <w:r>
        <w:rPr>
          <w:rFonts w:ascii="Times New Roman" w:hAnsi="Times New Roman"/>
          <w:sz w:val="24"/>
        </w:rPr>
        <w:br/>
        <w:t>Posebice:</w:t>
      </w:r>
    </w:p>
    <w:p w14:paraId="240366CB" w14:textId="3B732B2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ti se pokazatelji izračunavaju s naglaskom na konvencionalne podatke o klimi i intenzitetu uporabe;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pokazatelji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i </w:t>
      </w:r>
      <w:proofErr w:type="spellStart"/>
      <w:r>
        <w:rPr>
          <w:rFonts w:ascii="Times New Roman" w:hAnsi="Times New Roman"/>
          <w:sz w:val="24"/>
        </w:rPr>
        <w:t>Cep</w:t>
      </w:r>
      <w:proofErr w:type="spellEnd"/>
      <w:r>
        <w:rPr>
          <w:rFonts w:ascii="Times New Roman" w:hAnsi="Times New Roman"/>
          <w:sz w:val="24"/>
        </w:rPr>
        <w:t xml:space="preserve"> izračunavaju se tijekom jedne godine;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pokazatelji utjecaja na klimatske promjene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i </w:t>
      </w:r>
      <w:proofErr w:type="spellStart"/>
      <w:r>
        <w:rPr>
          <w:rFonts w:ascii="Times New Roman" w:hAnsi="Times New Roman"/>
          <w:sz w:val="24"/>
        </w:rPr>
        <w:t>Icbuilding</w:t>
      </w:r>
      <w:proofErr w:type="spellEnd"/>
      <w:r>
        <w:rPr>
          <w:rFonts w:ascii="Times New Roman" w:hAnsi="Times New Roman"/>
          <w:sz w:val="24"/>
        </w:rPr>
        <w:t xml:space="preserve"> </w:t>
      </w:r>
      <w:r>
        <w:rPr>
          <w:rFonts w:ascii="Times New Roman" w:hAnsi="Times New Roman"/>
          <w:sz w:val="24"/>
        </w:rPr>
        <w:lastRenderedPageBreak/>
        <w:t>izračunavaju se primjenom koeficijenata navedenih u članku 11. i uzimajući u obzir životni vijek zgrade od 50 godina, prema dogovoru;</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izračun pokazatelja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uzima u obzir koeficijente definirane u članku 9. stavku I.;</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pri izračunu pokazatelja </w:t>
      </w:r>
      <w:proofErr w:type="spellStart"/>
      <w:r>
        <w:rPr>
          <w:rFonts w:ascii="Times New Roman" w:hAnsi="Times New Roman"/>
          <w:sz w:val="24"/>
        </w:rPr>
        <w:t>Cep</w:t>
      </w:r>
      <w:proofErr w:type="spellEnd"/>
      <w:r>
        <w:rPr>
          <w:rFonts w:ascii="Times New Roman" w:hAnsi="Times New Roman"/>
          <w:sz w:val="24"/>
        </w:rPr>
        <w:t xml:space="preserve"> uzimaju se u obzir koeficijenti definirani u članku 9. stavku II.;</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izračun pokazatelja </w:t>
      </w:r>
      <w:proofErr w:type="spellStart"/>
      <w:r>
        <w:rPr>
          <w:rFonts w:ascii="Times New Roman" w:hAnsi="Times New Roman"/>
          <w:sz w:val="24"/>
        </w:rPr>
        <w:t>Icenergy</w:t>
      </w:r>
      <w:proofErr w:type="spellEnd"/>
      <w:r>
        <w:rPr>
          <w:rFonts w:ascii="Times New Roman" w:hAnsi="Times New Roman"/>
          <w:sz w:val="24"/>
        </w:rPr>
        <w:t xml:space="preserve"> uzima u obzir koeficijente definirane u članku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9.</w:t>
      </w:r>
    </w:p>
    <w:p w14:paraId="4649933D" w14:textId="495A07B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6B5B5E">
        <w:rPr>
          <w:rFonts w:ascii="Times New Roman" w:hAnsi="Times New Roman"/>
          <w:sz w:val="24"/>
        </w:rPr>
        <w:t>-</w:t>
      </w:r>
      <w:r>
        <w:rPr>
          <w:rFonts w:ascii="Times New Roman" w:hAnsi="Times New Roman"/>
          <w:sz w:val="24"/>
        </w:rPr>
        <w:t xml:space="preserve"> Koeficijenti pretvorbe energije koja ulazi u zgradu kao neobnovljiva primarna energija upotrebljavaju se pri određivanju pokazatelja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opisanog u ovoj Odluci, a po dogovoru se smatraju jednakima: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3"/>
        <w:gridCol w:w="5653"/>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Vrsta energije koju uveze zgrada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Koeficijenti pretvorbe energije koja ulazi u zgradu kao neobnovljiva primarna energija</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Mreža centraliziranog grijanja (toplina)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Omjer obnovljive energije ili oporabe mreže (toplina)</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Mreža centraliziranog grijanja (hladna)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 plin (prirodni) iz mreža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Obnovljiva energija uhvaćena na zgradi ili parceli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Ostale energije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Omjer oporabe energije iz obnovljivih izvora ili gradske mreže grijanja definira se redoslijedom za svaku postojeću infrastrukturu.</w:t>
      </w:r>
      <w:r>
        <w:rPr>
          <w:rFonts w:ascii="Times New Roman" w:hAnsi="Times New Roman"/>
          <w:sz w:val="24"/>
        </w:rPr>
        <w:br/>
        <w:t xml:space="preserve">II. - Koeficijenti pretvorbe energije koja ulazi u zgradu kao primarna energija upotrebljavaju se pri određivanju pokazatelja </w:t>
      </w:r>
      <w:proofErr w:type="spellStart"/>
      <w:r>
        <w:rPr>
          <w:rFonts w:ascii="Times New Roman" w:hAnsi="Times New Roman"/>
          <w:sz w:val="24"/>
        </w:rPr>
        <w:t>Cep</w:t>
      </w:r>
      <w:proofErr w:type="spellEnd"/>
      <w:r>
        <w:rPr>
          <w:rFonts w:ascii="Times New Roman" w:hAnsi="Times New Roman"/>
          <w:sz w:val="24"/>
        </w:rPr>
        <w:t xml:space="preserve"> i po dogovoru se uzimaju u obzir da su jednaki: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3"/>
        <w:gridCol w:w="5453"/>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Vrsta energije koju uveze zgrada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Koeficijenti pretvorbe energije koja ulazi u zgradu kao primarna energija</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Drvo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Mreža okruga (grijanje)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Mreža okruga (hladna)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 plin (prirodni) iz mreža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Obnovljiva energija uhvaćena na zgradi ili parceli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Ostale energije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Prema dogovoru, energija koju zgrada proizvodi u ime mreže, kao i moguća količina energije koju zgrada uvozi radi proizvodnje te energije, ne utječu na pokazatelje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i </w:t>
      </w:r>
      <w:proofErr w:type="spellStart"/>
      <w:r>
        <w:rPr>
          <w:rFonts w:ascii="Times New Roman" w:hAnsi="Times New Roman"/>
          <w:sz w:val="24"/>
        </w:rPr>
        <w:t>Icenergy</w:t>
      </w:r>
      <w:proofErr w:type="spellEnd"/>
      <w:r>
        <w:rPr>
          <w:rFonts w:ascii="Times New Roman" w:hAnsi="Times New Roman"/>
          <w:sz w:val="24"/>
        </w:rPr>
        <w:t xml:space="preserve"> zgrade.</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Koeficijenti pretvorbe energije koja ulazi u zgradu kao količine emitiranih stakleničkih plinova upotrebljavaju se pri određivanju indikatora </w:t>
      </w:r>
      <w:proofErr w:type="spellStart"/>
      <w:r>
        <w:rPr>
          <w:rFonts w:ascii="Times New Roman" w:hAnsi="Times New Roman"/>
          <w:sz w:val="24"/>
        </w:rPr>
        <w:t>Icenergy</w:t>
      </w:r>
      <w:proofErr w:type="spellEnd"/>
      <w:r>
        <w:rPr>
          <w:rFonts w:ascii="Times New Roman" w:hAnsi="Times New Roman"/>
          <w:sz w:val="24"/>
        </w:rPr>
        <w:t xml:space="preserve"> i po dogovoru se smatraju jednakima: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1"/>
        <w:gridCol w:w="5435"/>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Vrsta energije po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 xml:space="preserve">kg ekvivalenta CO2 po </w:t>
            </w:r>
            <w:proofErr w:type="spellStart"/>
            <w:r>
              <w:rPr>
                <w:rFonts w:ascii="Times New Roman" w:hAnsi="Times New Roman"/>
                <w:b/>
                <w:sz w:val="24"/>
              </w:rPr>
              <w:t>kilovatsatu</w:t>
            </w:r>
            <w:proofErr w:type="spellEnd"/>
            <w:r>
              <w:rPr>
                <w:rFonts w:ascii="Times New Roman" w:hAnsi="Times New Roman"/>
                <w:b/>
                <w:sz w:val="24"/>
              </w:rPr>
              <w:t xml:space="preserve"> konačne energije u LCV-u</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Drvo, biomasa – iverje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Drvo, biomasa – granule (peleti) ili brikete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Drvo, biomasa – klade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grijanje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hlađenje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DHW električna energija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Električna energija za tercijarnu rasvjetu</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stambenu rasvjetu</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Električna energija za druge namjene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 plin (prirodni) iz mreža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Plin s butanom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Propanski plin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Ostala fosilna goriva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Emisijski faktor za gradske mreže grijanja ili hlađenja definiran je redoslijedom za svaku postojeću infrastrukturu.</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Koeficijenti </w:t>
      </w:r>
      <w:proofErr w:type="spellStart"/>
      <w:r>
        <w:rPr>
          <w:rFonts w:ascii="Times New Roman" w:hAnsi="Times New Roman"/>
          <w:sz w:val="24"/>
        </w:rPr>
        <w:t>ponderiranja</w:t>
      </w:r>
      <w:proofErr w:type="spellEnd"/>
      <w:r>
        <w:rPr>
          <w:rFonts w:ascii="Times New Roman" w:hAnsi="Times New Roman"/>
          <w:sz w:val="24"/>
        </w:rPr>
        <w:t xml:space="preserve"> koji se upotrebljavaju za izračun pokazatelja utjecaja na klimatske promjene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i </w:t>
      </w:r>
      <w:proofErr w:type="spellStart"/>
      <w:r>
        <w:rPr>
          <w:rFonts w:ascii="Times New Roman" w:hAnsi="Times New Roman"/>
          <w:sz w:val="24"/>
        </w:rPr>
        <w:t>Icbuilding</w:t>
      </w:r>
      <w:proofErr w:type="spellEnd"/>
      <w:r>
        <w:rPr>
          <w:rFonts w:ascii="Times New Roman" w:hAnsi="Times New Roman"/>
          <w:sz w:val="24"/>
        </w:rPr>
        <w:t>, ovisno o godini emisije i vrsti emitiranog plina, uzimaju se kao jednaki:</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Možete vidjeti cijeli tekst sa slikama iz izvatka ovjerenog elektroničkog Službenog lista dostupnog na dnu stranice</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12.</w:t>
      </w:r>
    </w:p>
    <w:p w14:paraId="5013377D" w14:textId="71BCB59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Programska oprema koja u cijelosti ili djelomično omogućuje izračun pokazatelja opisanih u </w:t>
      </w:r>
      <w:proofErr w:type="spellStart"/>
      <w:r>
        <w:rPr>
          <w:rFonts w:ascii="Times New Roman" w:hAnsi="Times New Roman"/>
          <w:sz w:val="24"/>
        </w:rPr>
        <w:t>stavkcima</w:t>
      </w:r>
      <w:proofErr w:type="spellEnd"/>
      <w:r>
        <w:rPr>
          <w:rFonts w:ascii="Times New Roman" w:hAnsi="Times New Roman"/>
          <w:sz w:val="24"/>
        </w:rPr>
        <w:t> I. do IX. poglavlja I. Priloga članku R. 172</w:t>
      </w:r>
      <w:r w:rsidR="002F212D">
        <w:rPr>
          <w:rFonts w:ascii="Times New Roman" w:hAnsi="Times New Roman"/>
          <w:sz w:val="24"/>
        </w:rPr>
        <w:t>-</w:t>
      </w:r>
      <w:r>
        <w:rPr>
          <w:rFonts w:ascii="Times New Roman" w:hAnsi="Times New Roman"/>
          <w:sz w:val="24"/>
        </w:rPr>
        <w:t>4. Zakonika o graditeljstvu i stanovanju radi provjere usklađenosti s navedenim člankom i ovom se Uredbom mora pridržavati metode izračuna navedene u članku 8.</w:t>
      </w:r>
      <w:r>
        <w:rPr>
          <w:rFonts w:ascii="Times New Roman" w:hAnsi="Times New Roman"/>
          <w:sz w:val="24"/>
        </w:rPr>
        <w:br/>
        <w:t xml:space="preserve">U tu svrhu mora se osloniti na alat za izračun pokazatelja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i DH, koji je dostupan na zahtjev, u skladu s člankom L. 121</w:t>
      </w:r>
      <w:r w:rsidR="002F212D">
        <w:rPr>
          <w:rFonts w:ascii="Times New Roman" w:hAnsi="Times New Roman"/>
          <w:sz w:val="24"/>
        </w:rPr>
        <w:t>-</w:t>
      </w:r>
      <w:r>
        <w:rPr>
          <w:rFonts w:ascii="Times New Roman" w:hAnsi="Times New Roman"/>
          <w:sz w:val="24"/>
        </w:rPr>
        <w:t>2. Zakonika o graditeljstvu i stanovanju. Ažuriranja ovog alata integriraju se u roku od mjesec dana od njihova puštanja u predmetni softver.</w:t>
      </w:r>
      <w:r>
        <w:rPr>
          <w:rFonts w:ascii="Times New Roman" w:hAnsi="Times New Roman"/>
          <w:sz w:val="24"/>
        </w:rPr>
        <w:br/>
        <w:t xml:space="preserve">Svaku regulatornu uporabu ovog softvera prvo odobravaju ministar energetike i ministar nadležan za graditeljstvo, posebno kako bi se provjerilo jesu li dobiveni </w:t>
      </w:r>
      <w:r>
        <w:rPr>
          <w:rFonts w:ascii="Times New Roman" w:hAnsi="Times New Roman"/>
          <w:sz w:val="24"/>
        </w:rPr>
        <w:lastRenderedPageBreak/>
        <w:t>rezultati u skladu s metodom izračuna i da ulazno sučelje smanjuje rizik od pogrešaka u unosu modela.</w:t>
      </w:r>
      <w:r>
        <w:rPr>
          <w:rFonts w:ascii="Times New Roman" w:hAnsi="Times New Roman"/>
          <w:sz w:val="24"/>
        </w:rPr>
        <w:br/>
        <w:t xml:space="preserve">Kao prijelazna mjera softver koji je proveo </w:t>
      </w:r>
      <w:proofErr w:type="spellStart"/>
      <w:r>
        <w:rPr>
          <w:rFonts w:ascii="Times New Roman" w:hAnsi="Times New Roman"/>
          <w:sz w:val="24"/>
        </w:rPr>
        <w:t>samoprovjeru</w:t>
      </w:r>
      <w:proofErr w:type="spellEnd"/>
      <w:r>
        <w:rPr>
          <w:rFonts w:ascii="Times New Roman" w:hAnsi="Times New Roman"/>
          <w:sz w:val="24"/>
        </w:rPr>
        <w:t xml:space="preserve"> može se upotrebljavati u regulatorne svrhe za simulacije provedene do 30. lipnja 2022.</w:t>
      </w:r>
      <w:r>
        <w:rPr>
          <w:rFonts w:ascii="Times New Roman" w:hAnsi="Times New Roman"/>
          <w:sz w:val="24"/>
        </w:rPr>
        <w:br/>
        <w:t xml:space="preserve">U Prilogu V. opisani su postupci za </w:t>
      </w:r>
      <w:proofErr w:type="spellStart"/>
      <w:r>
        <w:rPr>
          <w:rFonts w:ascii="Times New Roman" w:hAnsi="Times New Roman"/>
          <w:sz w:val="24"/>
        </w:rPr>
        <w:t>samoprovjeru</w:t>
      </w:r>
      <w:proofErr w:type="spellEnd"/>
      <w:r>
        <w:rPr>
          <w:rFonts w:ascii="Times New Roman" w:hAnsi="Times New Roman"/>
          <w:sz w:val="24"/>
        </w:rPr>
        <w:t xml:space="preserve"> i postupak odobravanja takvog softvera.</w:t>
      </w:r>
      <w:r>
        <w:rPr>
          <w:rFonts w:ascii="Times New Roman" w:hAnsi="Times New Roman"/>
          <w:sz w:val="24"/>
        </w:rPr>
        <w:br/>
        <w:t>Odobrenje se obnavlja, nakon periodičnog preispitivanja, u skladu sa sljedećim uvjetima:</w:t>
      </w:r>
    </w:p>
    <w:p w14:paraId="0C449CC4" w14:textId="6EDF395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razdoblje valjanosti prvog inspekcijskog pregleda je dvije godine;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razdoblje valjanosti odobrenja produljuje se za pet godina nakon preispitivanja u kojem se ne utvrđuju nikakva veća odstupanja od metode izračuna koja je bila na snazi u trenutku podnošenja revizijske dokumentacije;</w:t>
      </w:r>
      <w:r>
        <w:rPr>
          <w:rFonts w:ascii="Times New Roman" w:hAnsi="Times New Roman"/>
          <w:sz w:val="24"/>
        </w:rPr>
        <w:br/>
        <w:t>razdoblje valjanosti odobrenja produljuje se za dvije do pet godina nakon preispitivanja koje je dovelo do ispravka većih odstupanja od metode izračuna koja je bila na snazi u trenutku podnošenja dokumentacije o pregledu.</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Odobrenje se može povući u bilo kojem trenutku, posebno nakon utvrđenja velikog odstupanja od metode izračuna koja je bila na snazi u trenutku promatranja, ili nakon opažanja najmanje tri propusta u integraciji određenih sustava prisutnih u metodi izračuna koja je bila na snazi u vrijeme navedenog nalaza.</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Vrijednosti koje se upotrebljavaju kao ulazni podaci za izračun iz članka 8. i opisuju geometrijske značajke zgrade moraju odgovarati građevinskim planovima kada zgrada nije dovršena ili količinama koje su stvarno upotrijebljene nakon završetka radova.</w:t>
      </w:r>
      <w:r>
        <w:rPr>
          <w:rFonts w:ascii="Times New Roman" w:hAnsi="Times New Roman"/>
          <w:sz w:val="24"/>
        </w:rPr>
        <w:br/>
        <w:t>Duljine, površine ili orijentacije zgrade i njezinih sastavnih dijelova dio su podataka koji opisuju geometrijske značajke zgrade.</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Vrijednosti upotrijebljene kao ulazni podaci za izračun naveden u članku 8. i opis količina građevnih proizvoda ili opreme korištenih u zgradi moraju odgovarati procijenjenim količinama potrebnima za izgradnju zgrade kada ona nije dovršena, ili količinama koje su stvarno iskorištene nakon završetka radova.</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15.</w:t>
      </w:r>
    </w:p>
    <w:p w14:paraId="5B4D90D0" w14:textId="608C20E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2D086D">
        <w:rPr>
          <w:rFonts w:ascii="Times New Roman" w:hAnsi="Times New Roman"/>
          <w:sz w:val="24"/>
        </w:rPr>
        <w:t>-</w:t>
      </w:r>
      <w:r>
        <w:rPr>
          <w:rFonts w:ascii="Times New Roman" w:hAnsi="Times New Roman"/>
          <w:sz w:val="24"/>
        </w:rPr>
        <w:t xml:space="preserve"> Vrijednosti koje se upotrebljavaju kao ulazni podaci za izračun naveden u članku 8. i opisuju toplinske karakteristike dijelova zgrade moraju odgovarati karakteristikama sastavnih dijelova predviđenih za izgradnju zgrade kada ona nije dovršena ili značajkama sastavnih dijelova koji su stvarno upotrijebljeni nakon </w:t>
      </w:r>
      <w:r>
        <w:rPr>
          <w:rFonts w:ascii="Times New Roman" w:hAnsi="Times New Roman"/>
          <w:sz w:val="24"/>
        </w:rPr>
        <w:lastRenderedPageBreak/>
        <w:t>završetka radova.</w:t>
      </w:r>
      <w:r>
        <w:rPr>
          <w:rFonts w:ascii="Times New Roman" w:hAnsi="Times New Roman"/>
          <w:sz w:val="24"/>
        </w:rPr>
        <w:br/>
        <w:t>Ta se toplinska svojstva dobivaju na sljedeći način, za svaku komponentu:</w:t>
      </w:r>
    </w:p>
    <w:p w14:paraId="49B964E9" w14:textId="0012FD5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ako je sastavni dio obuhvaćen usklađenim tehničkim specifikacijama iz Uredbe br. 305/2001 od 9. ožujka 2011., usklađenim normama ili europskim dokumentima za ocjenjivanje, u kojem slučaju proizvodi nose oznaku CE i ako je u tim specifikacijama utvrđena vrijednost toplinske karakteristike, tada se ta vrijednost koristi u skladu s postupcima utvrđenima u članku 8.;</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ako to nije slučaj, ako je toplinska karakteristika dobivena upućivanjem na francuske norme ili tehnička mišljenja ili jednakovrijedne nacionalne norme koje je prihvatila država članica Europske unije ili stranka Sporazuma o EGP-u ili Turska, a izdaje ih neovisno tijelo treće strane prijavljeno u skladu s Direktivom 305/2011 koje priznaje država članica Europske unije ili država stranka Sporazuma o osnivanju Europskog gospodarskog prostora, ta se vrijednost upotrebljava u skladu s postupcima utvrđenima u članku 8. Prednost ove odredbe primjenjuje se samo tijekom razdoblja koje prethodi primjeni usklađene europske norme ili europskog tehničkog odobrenja. Bez obzira na pravila zaokruživanja utvrđena tim različitim normama ili tehničkim mišljenjima, vrijednosti korištene kao ulazne ne mogu biti povoljnije od vrijednosti dobivene mjerenjem, ako je potrebno.</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Ako nije moguće dobiti karakterističnu vrijednost u skladu s gore navedenim postupcima, vrijednost koja se koristi je zadana vrijednost definirana metodom izračuna iz članka 8., uz iznimku zadane vrijednosti korisne toplinske vodljivosti za </w:t>
      </w:r>
      <w:proofErr w:type="spellStart"/>
      <w:r>
        <w:rPr>
          <w:rFonts w:ascii="Times New Roman" w:hAnsi="Times New Roman"/>
          <w:sz w:val="24"/>
        </w:rPr>
        <w:t>bioizolaciju</w:t>
      </w:r>
      <w:proofErr w:type="spellEnd"/>
      <w:r>
        <w:rPr>
          <w:rFonts w:ascii="Times New Roman" w:hAnsi="Times New Roman"/>
          <w:sz w:val="24"/>
        </w:rPr>
        <w:t xml:space="preserve"> kako je definirana u Prilogu XII. ovom nalogu.</w:t>
      </w:r>
      <w:r>
        <w:rPr>
          <w:rFonts w:ascii="Times New Roman" w:hAnsi="Times New Roman"/>
          <w:sz w:val="24"/>
        </w:rPr>
        <w:br/>
        <w:t>II. U zgradama za stambenu uporabu, u slučaju da se pri isporuci zgrade trebaju obaviti određeni radovi na instalaciji energetskog sustava, moraju se koristiti zadani podaci u skladu s metodom iz članka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16.</w:t>
      </w:r>
    </w:p>
    <w:p w14:paraId="741E3895" w14:textId="39147FD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E203F0">
        <w:rPr>
          <w:rFonts w:ascii="Times New Roman" w:hAnsi="Times New Roman"/>
          <w:sz w:val="24"/>
        </w:rPr>
        <w:t>-</w:t>
      </w:r>
      <w:r>
        <w:rPr>
          <w:rFonts w:ascii="Times New Roman" w:hAnsi="Times New Roman"/>
          <w:sz w:val="24"/>
        </w:rPr>
        <w:t xml:space="preserve"> Vrijednosti koje se koriste kao ulazni podaci za izračun pokazatelja </w:t>
      </w:r>
      <w:proofErr w:type="spellStart"/>
      <w:r>
        <w:rPr>
          <w:rFonts w:ascii="Times New Roman" w:hAnsi="Times New Roman"/>
          <w:sz w:val="24"/>
        </w:rPr>
        <w:t>Icconstruction</w:t>
      </w:r>
      <w:proofErr w:type="spellEnd"/>
      <w:r>
        <w:rPr>
          <w:rFonts w:ascii="Times New Roman" w:hAnsi="Times New Roman"/>
          <w:sz w:val="24"/>
        </w:rPr>
        <w:t xml:space="preserve"> i </w:t>
      </w:r>
      <w:proofErr w:type="spellStart"/>
      <w:r>
        <w:rPr>
          <w:rFonts w:ascii="Times New Roman" w:hAnsi="Times New Roman"/>
          <w:sz w:val="24"/>
        </w:rPr>
        <w:t>Icbuilding</w:t>
      </w:r>
      <w:proofErr w:type="spellEnd"/>
      <w:r>
        <w:rPr>
          <w:rFonts w:ascii="Times New Roman" w:hAnsi="Times New Roman"/>
          <w:sz w:val="24"/>
        </w:rPr>
        <w:t xml:space="preserve"> moraju odgovarati karakteristikama komponenata planiranih za gradnju kada zgrada nije dovršena ili karakteristikama komponenti koje su stvarno korištene nakon završetka radova. Odstupajući od ove odredbe, moguće je upotrijebiti ulazni podatak koji odgovara sastavnom dijelu čija su svojstva veća od svojstava predviđenog ili upotrijebljenog sastavnog dijela, pod uvjetom da su dio istog raspona od istog proizvođača.</w:t>
      </w:r>
      <w:r>
        <w:rPr>
          <w:rFonts w:ascii="Times New Roman" w:hAnsi="Times New Roman"/>
          <w:sz w:val="24"/>
        </w:rPr>
        <w:br/>
        <w:t>Te se vrijednosti za svaki sastavni dio dobivaju na temelju izjava o okolišu koje proizvođači stavljaju na raspolaganje u skladu s pravilima propisanima uredbom ili u nedostatku takvih podataka putem standardnih podataka o okolišu koje je ministar nadležan za gradnju stavio na raspolaganje.</w:t>
      </w:r>
      <w:r>
        <w:rPr>
          <w:rFonts w:ascii="Times New Roman" w:hAnsi="Times New Roman"/>
          <w:sz w:val="24"/>
        </w:rPr>
        <w:br/>
        <w:t>Ako za komponente zgrade nisu dostupne informacije koje ispunjavaju značajke navedene u prethodnom stavku, komponenta se opisuje u izračunu, a informacije o okolišu definirane kao „prazno” moraju biti povezane s njom; dodatno tome, zahtjev za izradu zadanog ekološkog datuma koji odgovara komponenti podnosi se putem internetske stranice navedene na web stranici Ministarstva nadležnog za gradnju.</w:t>
      </w:r>
      <w:r>
        <w:rPr>
          <w:rFonts w:ascii="Times New Roman" w:hAnsi="Times New Roman"/>
          <w:sz w:val="24"/>
        </w:rPr>
        <w:br/>
      </w:r>
      <w:r>
        <w:rPr>
          <w:rFonts w:ascii="Times New Roman" w:hAnsi="Times New Roman"/>
          <w:sz w:val="24"/>
        </w:rPr>
        <w:lastRenderedPageBreak/>
        <w:t>II.</w:t>
      </w:r>
      <w:r w:rsidR="00BA00AE">
        <w:rPr>
          <w:rFonts w:ascii="Times New Roman" w:hAnsi="Times New Roman"/>
          <w:sz w:val="24"/>
        </w:rPr>
        <w:t xml:space="preserve"> -</w:t>
      </w:r>
      <w:r>
        <w:rPr>
          <w:rFonts w:ascii="Times New Roman" w:hAnsi="Times New Roman"/>
          <w:sz w:val="24"/>
        </w:rPr>
        <w:t xml:space="preserve"> U slučaju da nakon isporuke zgrade još treba obaviti određene radove, za opis tih radova upotrebljavaju se zadani podaci u skladu s metodom iz članka 8.</w:t>
      </w:r>
      <w:r>
        <w:rPr>
          <w:rFonts w:ascii="Times New Roman" w:hAnsi="Times New Roman"/>
          <w:sz w:val="24"/>
        </w:rPr>
        <w:br/>
        <w:t xml:space="preserve">III. </w:t>
      </w:r>
      <w:r w:rsidR="006B5B5E">
        <w:rPr>
          <w:rFonts w:ascii="Times New Roman" w:hAnsi="Times New Roman"/>
          <w:sz w:val="24"/>
        </w:rPr>
        <w:t>-</w:t>
      </w:r>
      <w:r>
        <w:rPr>
          <w:rFonts w:ascii="Times New Roman" w:hAnsi="Times New Roman"/>
          <w:sz w:val="24"/>
        </w:rPr>
        <w:t xml:space="preserve"> Za određene skupove dijelova zgrade i ovisno o uporabi zgrade moguće je, zamjenjujući zahtjeve navedene u I. i II. ovog članka, opisati njihov utjecaj na klimatske promjene fiksnim vrijednostima. Skupovi predmetnih komponenti i odgovarajuće vrijednosti navedeni su u Prilogu XI.</w:t>
      </w:r>
      <w:r>
        <w:rPr>
          <w:rFonts w:ascii="Times New Roman" w:hAnsi="Times New Roman"/>
          <w:sz w:val="24"/>
        </w:rPr>
        <w:br/>
        <w:t xml:space="preserve">IV. - Podaci koji se mogu koristiti u skladu sa stavkom I. ovog članka podaci su dostupni na dan završetka izračuna pokazatelja </w:t>
      </w:r>
      <w:proofErr w:type="spellStart"/>
      <w:r>
        <w:rPr>
          <w:rFonts w:ascii="Times New Roman" w:hAnsi="Times New Roman"/>
          <w:sz w:val="24"/>
        </w:rPr>
        <w:t>Icconstruction</w:t>
      </w:r>
      <w:proofErr w:type="spellEnd"/>
      <w:r>
        <w:rPr>
          <w:rFonts w:ascii="Times New Roman" w:hAnsi="Times New Roman"/>
          <w:sz w:val="24"/>
        </w:rPr>
        <w:t xml:space="preserve">, </w:t>
      </w:r>
      <w:proofErr w:type="spellStart"/>
      <w:r>
        <w:rPr>
          <w:rFonts w:ascii="Times New Roman" w:hAnsi="Times New Roman"/>
          <w:sz w:val="24"/>
        </w:rPr>
        <w:t>Icded</w:t>
      </w:r>
      <w:proofErr w:type="spellEnd"/>
      <w:r>
        <w:rPr>
          <w:rFonts w:ascii="Times New Roman" w:hAnsi="Times New Roman"/>
          <w:sz w:val="24"/>
        </w:rPr>
        <w:t xml:space="preserve"> i </w:t>
      </w:r>
      <w:proofErr w:type="spellStart"/>
      <w:r>
        <w:rPr>
          <w:rFonts w:ascii="Times New Roman" w:hAnsi="Times New Roman"/>
          <w:sz w:val="24"/>
        </w:rPr>
        <w:t>Icbuilding</w:t>
      </w:r>
      <w:proofErr w:type="spellEnd"/>
      <w:r>
        <w:rPr>
          <w:rFonts w:ascii="Times New Roman" w:hAnsi="Times New Roman"/>
          <w:sz w:val="24"/>
        </w:rPr>
        <w:t>. Međutim, ako su podaci upotrijebljeni u prethodnom izračunu tih pokazatelja, ažurirani ili izbrisani, oni ostaju upotrebljivi pod uvjetima utvrđenima u I. ovog članka.</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17.</w:t>
      </w:r>
    </w:p>
    <w:p w14:paraId="765CA2F0" w14:textId="44140A1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F7064C">
        <w:rPr>
          <w:rFonts w:ascii="Times New Roman" w:hAnsi="Times New Roman"/>
          <w:sz w:val="24"/>
        </w:rPr>
        <w:t>-</w:t>
      </w:r>
      <w:r>
        <w:rPr>
          <w:rFonts w:ascii="Times New Roman" w:hAnsi="Times New Roman"/>
          <w:sz w:val="24"/>
        </w:rPr>
        <w:t xml:space="preserve"> Vrijednost </w:t>
      </w:r>
      <w:proofErr w:type="spellStart"/>
      <w:r>
        <w:rPr>
          <w:rFonts w:ascii="Times New Roman" w:hAnsi="Times New Roman"/>
          <w:sz w:val="24"/>
        </w:rPr>
        <w:t>zrakopropusnosti</w:t>
      </w:r>
      <w:proofErr w:type="spellEnd"/>
      <w:r>
        <w:rPr>
          <w:rFonts w:ascii="Times New Roman" w:hAnsi="Times New Roman"/>
          <w:sz w:val="24"/>
        </w:rPr>
        <w:t xml:space="preserve"> zgrade dobiva se:</w:t>
      </w:r>
    </w:p>
    <w:p w14:paraId="5AE3B909" w14:textId="6D5BC32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stambene zgrade, mjerenjem ili primjenom pristupa za kvalitetu za nepropusnost zgrade u skladu s postupcima definiranima u Prilogu VII. ovoj Uredbi;</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druge vrste zgrada vrijednost </w:t>
      </w:r>
      <w:proofErr w:type="spellStart"/>
      <w:r>
        <w:rPr>
          <w:rFonts w:ascii="Times New Roman" w:hAnsi="Times New Roman"/>
          <w:sz w:val="24"/>
        </w:rPr>
        <w:t>zrakopropusnosti</w:t>
      </w:r>
      <w:proofErr w:type="spellEnd"/>
      <w:r>
        <w:rPr>
          <w:rFonts w:ascii="Times New Roman" w:hAnsi="Times New Roman"/>
          <w:sz w:val="24"/>
        </w:rPr>
        <w:t xml:space="preserve"> zgrade može se opravdati mjerenjem u skladu s metodama definiranim u Prilogu VII. Ovoj Uredbi. U nedostatku mjerenja u skladu s tim metodama, vrijednost koja se upotrebljava jest zadana vrijednost definirana metodom izračuna iz članka 8.;</w:t>
      </w:r>
    </w:p>
    <w:p w14:paraId="6D3E852E" w14:textId="63074B7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slučaju mjerenja propusnosti uzorkovanjem, dobivene vrijednosti mjerenja množe se s 1.2.</w:t>
      </w:r>
      <w:r>
        <w:rPr>
          <w:rFonts w:ascii="Times New Roman" w:hAnsi="Times New Roman"/>
          <w:sz w:val="24"/>
        </w:rPr>
        <w:br/>
        <w:t xml:space="preserve">U slučaju da radovi koji bi mogli utjecati na </w:t>
      </w:r>
      <w:proofErr w:type="spellStart"/>
      <w:r>
        <w:rPr>
          <w:rFonts w:ascii="Times New Roman" w:hAnsi="Times New Roman"/>
          <w:sz w:val="24"/>
        </w:rPr>
        <w:t>zrakopropusnost</w:t>
      </w:r>
      <w:proofErr w:type="spellEnd"/>
      <w:r>
        <w:rPr>
          <w:rFonts w:ascii="Times New Roman" w:hAnsi="Times New Roman"/>
          <w:sz w:val="24"/>
        </w:rPr>
        <w:t xml:space="preserve"> stambenih objekata i dalje trebaju biti obavljeni nakon isporuke, a u nedostatku rezervacije kojom se sprečava bilo kakvo propuštanje tijekom tih radova, dobivene vrijednosti propusnosti povećavaju se za 0,3 m³/(h.m²).</w:t>
      </w:r>
      <w:r>
        <w:rPr>
          <w:rFonts w:ascii="Times New Roman" w:hAnsi="Times New Roman"/>
          <w:sz w:val="24"/>
        </w:rPr>
        <w:br/>
        <w:t>Ta dva povećanja moraju biti kumulativna ovim redoslijedom.</w:t>
      </w:r>
      <w:r>
        <w:rPr>
          <w:rFonts w:ascii="Times New Roman" w:hAnsi="Times New Roman"/>
          <w:sz w:val="24"/>
        </w:rPr>
        <w:br/>
        <w:t xml:space="preserve">II. </w:t>
      </w:r>
      <w:r w:rsidR="006B5B5E">
        <w:rPr>
          <w:rFonts w:ascii="Times New Roman" w:hAnsi="Times New Roman"/>
          <w:sz w:val="24"/>
        </w:rPr>
        <w:t>-</w:t>
      </w:r>
      <w:r>
        <w:rPr>
          <w:rFonts w:ascii="Times New Roman" w:hAnsi="Times New Roman"/>
          <w:sz w:val="24"/>
        </w:rPr>
        <w:t xml:space="preserve"> Za sve zgrade vrijednost propusnosti za zračne mreže dobiva se mjerenjem ili primjenom pristupa kvalitete za nepropusnost zračnih mreža, u skladu s postupcima definiranima u Prilogu VII. ovom nalogu. U nedostatku mjerenja i pristupa kvaliteti u skladu s tim metodama, vrijednost koja se upotrebljava jest zadana vrijednost definirana metodom izračuna iz članka 8.</w:t>
      </w:r>
      <w:r>
        <w:rPr>
          <w:rFonts w:ascii="Times New Roman" w:hAnsi="Times New Roman"/>
          <w:sz w:val="24"/>
        </w:rPr>
        <w:br/>
        <w:t xml:space="preserve">Ako je </w:t>
      </w:r>
      <w:proofErr w:type="spellStart"/>
      <w:r>
        <w:rPr>
          <w:rFonts w:ascii="Times New Roman" w:hAnsi="Times New Roman"/>
          <w:sz w:val="24"/>
        </w:rPr>
        <w:t>zrakopropusnost</w:t>
      </w:r>
      <w:proofErr w:type="spellEnd"/>
      <w:r>
        <w:rPr>
          <w:rFonts w:ascii="Times New Roman" w:hAnsi="Times New Roman"/>
          <w:sz w:val="24"/>
        </w:rPr>
        <w:t xml:space="preserve"> zgrade ili propusnost zračnih mreža opravdana mjerenjem, osoba koja obavlja mjerenje mora biti osoba koju ministar nadležan za graditeljstvo priznaje kao kompetentnu, neovisno o podnositelju zahtjeva i organizacijama koje sudjeluju u provedbi ili upravljanju projektom ciljanih zgrada.</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VI.: OPRAVDANJE PRIMJENE ZAHTJEVA (članak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18.</w:t>
      </w:r>
    </w:p>
    <w:p w14:paraId="587E7290" w14:textId="329C452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Vlasnik zgrade izrađuje standardizirani digitalni sažetak studije o energiji i okolišu </w:t>
      </w:r>
      <w:r>
        <w:rPr>
          <w:rFonts w:ascii="Times New Roman" w:hAnsi="Times New Roman"/>
          <w:sz w:val="24"/>
        </w:rPr>
        <w:lastRenderedPageBreak/>
        <w:t>iz softvera koji ispunjava zahtjeve iz članka 12., najkasnije po završetku radova.</w:t>
      </w:r>
      <w:r>
        <w:rPr>
          <w:rFonts w:ascii="Times New Roman" w:hAnsi="Times New Roman"/>
          <w:sz w:val="24"/>
        </w:rPr>
        <w:br/>
        <w:t>Sadržaj i oblik standardiziranog sažetka studije o energiji i okolišu koji treba izraditi opisani su u Prilogu VI. U slučaju da se zahtjevi ovog naloga, obuhvaćeni glavom IV. ove Odluke, primjenjuju u skladu s odobrenim pojednostavljenim postupkom ili načinom primjene, u pojednostavljenom postupku ili načinu primjene navodi se sadržaj i oblik standardiziranog sažetka studije o energiji i okolišu koju treba utvrditi.</w:t>
      </w:r>
      <w:r>
        <w:rPr>
          <w:rFonts w:ascii="Times New Roman" w:hAnsi="Times New Roman"/>
          <w:sz w:val="24"/>
        </w:rPr>
        <w:br/>
        <w:t>Vlasnik zgrade čuva i prenosi te podatke u skladu s člankom R. 172</w:t>
      </w:r>
      <w:r w:rsidR="00BF2C75">
        <w:rPr>
          <w:rFonts w:ascii="Times New Roman" w:hAnsi="Times New Roman"/>
          <w:sz w:val="24"/>
        </w:rPr>
        <w:t>-</w:t>
      </w:r>
      <w:r>
        <w:rPr>
          <w:rFonts w:ascii="Times New Roman" w:hAnsi="Times New Roman"/>
          <w:sz w:val="24"/>
        </w:rPr>
        <w:t>8. Zakonika o graditeljstvu i stanovanju.</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III.: TOPLINSKE KARAKTERISTIKE I ZAHTJEVI ZA SREDSTVA (PO KOMPONENTI) (članci od 19. do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VII.: PROVJERA UČINKOVITOSTI NAKON KONSTRUKCIJE (članci od 19. do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Za pojedinačne ili pripojene kuće i zajedničke stambene zgrade, </w:t>
      </w:r>
      <w:proofErr w:type="spellStart"/>
      <w:r>
        <w:rPr>
          <w:rFonts w:ascii="Times New Roman" w:hAnsi="Times New Roman"/>
          <w:sz w:val="24"/>
        </w:rPr>
        <w:t>zrakopropusnost</w:t>
      </w:r>
      <w:proofErr w:type="spellEnd"/>
      <w:r>
        <w:rPr>
          <w:rFonts w:ascii="Times New Roman" w:hAnsi="Times New Roman"/>
          <w:sz w:val="24"/>
        </w:rPr>
        <w:t xml:space="preserve"> ovojnice zgrade pod točkom 4 Pa, Q4Pa-surf, utvrđena u skladu s člankom 17., mora biti manja ili jednaka od:</w:t>
      </w:r>
      <w:r>
        <w:rPr>
          <w:rFonts w:ascii="Times New Roman" w:hAnsi="Times New Roman"/>
          <w:sz w:val="24"/>
        </w:rPr>
        <w:br/>
        <w:t>0,60 m³/(h.m²) istrošenih zidova, isključujući niski pod, u samostojećoj ili pripojenoj kući.</w:t>
      </w:r>
      <w:r>
        <w:rPr>
          <w:rFonts w:ascii="Times New Roman" w:hAnsi="Times New Roman"/>
          <w:sz w:val="24"/>
        </w:rPr>
        <w:br/>
        <w:t>1,00 m³/(h.m²) zidova otpornih na gubitke, isključujući niski pod, u kolektivnoj stambenoj zgradi.</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zgradama i dijelovima zgrada za stambenu uporabu, kako bi se osigurao njihov ispravan rad, svaki se sustav ventilacije u zgradi provjerava, a njegova svojstva mjeri osoba koju ministar nadležan za graditeljstvo priznaje kao kompetentnu u skladu s odredbama Priloga VIII. Mora biti u skladu s protokolom za provjeru sustava ventilacije iz istog Priloga.</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VIII.: TOPLINSKA IZOLACIJA (članci od 21. do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Pregrade koje trajno odvajaju dijelove zgrade od trajno nastanjenih dijelova zgrade moraju imati koeficijent prijenosa topline U, kako je definiran u metodi izračuna iz članka 8., koji ne smije prelaziti prosječnu vrijednost od 0,36 W/(m².K). Površina koja se ovdje razmatra je površina navedenih pregrada.</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22.</w:t>
      </w:r>
    </w:p>
    <w:p w14:paraId="3B7CB3F1" w14:textId="77C6590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Kako bi se izbjegla svaka opasnost od fizičkog ili mikrobiološkog propadanja </w:t>
      </w:r>
      <w:r>
        <w:rPr>
          <w:rFonts w:ascii="Times New Roman" w:hAnsi="Times New Roman"/>
          <w:sz w:val="24"/>
        </w:rPr>
        <w:lastRenderedPageBreak/>
        <w:t>materijala, kao što je sabijanje izolacije ili stvaranje plijesni, svaka zgrada ili dio zgrade moraju biti projektirani i izrađeni tako da se u uobičajenim uvjetima popunjenosti izbjegne svaka situacija koja može dovesti do pojave kondenzacije na površini ili unutar zidova, bilo na jednom mjestu ili na raspoređeni način, osim ako je takva kondenzacija samo privremena.</w:t>
      </w:r>
      <w:r>
        <w:rPr>
          <w:rFonts w:ascii="Times New Roman" w:hAnsi="Times New Roman"/>
          <w:sz w:val="24"/>
        </w:rPr>
        <w:br/>
        <w:t>U tu svrhu mora ispunjavati jedan od zahtjeva iz stavaka I. ili II. ovog članka:</w:t>
      </w:r>
      <w:r>
        <w:rPr>
          <w:rFonts w:ascii="Times New Roman" w:hAnsi="Times New Roman"/>
          <w:sz w:val="24"/>
        </w:rPr>
        <w:br/>
        <w:t xml:space="preserve">I. </w:t>
      </w:r>
      <w:r w:rsidR="000B0181">
        <w:rPr>
          <w:rFonts w:ascii="Times New Roman" w:hAnsi="Times New Roman"/>
          <w:sz w:val="24"/>
        </w:rPr>
        <w:t>-</w:t>
      </w:r>
      <w:r>
        <w:rPr>
          <w:rFonts w:ascii="Times New Roman" w:hAnsi="Times New Roman"/>
          <w:sz w:val="24"/>
        </w:rPr>
        <w:t xml:space="preserve"> Površinska temperatura mora biti manja od 15 °C, u zimskim uvjetima, na golom iznutra i na golom dijelu izolacije, u bilo kojem trenutku na tim površinama.</w:t>
      </w:r>
      <w:r>
        <w:rPr>
          <w:rFonts w:ascii="Times New Roman" w:hAnsi="Times New Roman"/>
          <w:sz w:val="24"/>
        </w:rPr>
        <w:br/>
        <w:t xml:space="preserve">II. </w:t>
      </w:r>
      <w:r w:rsidR="000B0181">
        <w:rPr>
          <w:rFonts w:ascii="Times New Roman" w:hAnsi="Times New Roman"/>
          <w:sz w:val="24"/>
        </w:rPr>
        <w:t>-</w:t>
      </w:r>
      <w:r>
        <w:rPr>
          <w:rFonts w:ascii="Times New Roman" w:hAnsi="Times New Roman"/>
          <w:sz w:val="24"/>
        </w:rPr>
        <w:t xml:space="preserve"> Istodobno ispunjava sljedeće zahtjeve:</w:t>
      </w:r>
    </w:p>
    <w:p w14:paraId="3A1005BC" w14:textId="4DBDF50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ukupni prosječni omjer linearnog prijenosa topline, omjer ψ, toplinskih mostova zgrade ne bi trebao biti veći od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Taj omjer predstavlja gubitke topline svih toplinskih mostova zgrada u odnosu na referentno područje zgrade. Određuje se u skladu s metodom izračuna iz članka 8.</w:t>
      </w:r>
    </w:p>
    <w:p w14:paraId="32C3A6AD" w14:textId="082BE13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prosječni linearni koeficijent prijenosa topline za spojeve između srednjih katova i vanjskih zidova ili zidova u negrijanim prostorijama, Ψ 9, ne smije biti veći od 0,6 W/(linearni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IX.: PRISTUP PRIRODNOM OSVJETLJENJU(članak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23.</w:t>
      </w:r>
    </w:p>
    <w:p w14:paraId="6019846A" w14:textId="0A3A930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Kako bi se osigurala dostatna prirodno osvjetljenje i vanjski pogled, stambene zgrade moraju ispunjavati jedan od zahtjeva navedenih u I. ili II. ovog članka.</w:t>
      </w:r>
      <w:r>
        <w:rPr>
          <w:rFonts w:ascii="Times New Roman" w:hAnsi="Times New Roman"/>
          <w:sz w:val="24"/>
        </w:rPr>
        <w:br/>
        <w:t xml:space="preserve">I. </w:t>
      </w:r>
      <w:r w:rsidR="007C7C60">
        <w:rPr>
          <w:rFonts w:ascii="Times New Roman" w:hAnsi="Times New Roman"/>
          <w:sz w:val="24"/>
        </w:rPr>
        <w:t>-</w:t>
      </w:r>
      <w:r>
        <w:rPr>
          <w:rFonts w:ascii="Times New Roman" w:hAnsi="Times New Roman"/>
          <w:sz w:val="24"/>
        </w:rPr>
        <w:t xml:space="preserve"> Svaki stan mora imati sve sljedeće značajke:</w:t>
      </w:r>
    </w:p>
    <w:p w14:paraId="4DF9AF26" w14:textId="1AD52E4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razina osvjetljenja od najmanje 300 lx u 50 % stambenih prostora, osim u prostorima s privremenim boravkom, tijekom više od polovice dnevnih sati u godini;</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razina osvjetljenja od najmanje 100 lx u 95 % stambenih prostora, osim u prostorima s privremenim boravkom, tijekom više od polovice dnevnih sati u godini;</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u najmanje jednom stambenom prostoru, u smislu članka R. 111</w:t>
      </w:r>
      <w:r w:rsidR="00665BB1">
        <w:rPr>
          <w:rFonts w:ascii="Times New Roman" w:hAnsi="Times New Roman"/>
          <w:sz w:val="24"/>
        </w:rPr>
        <w:t>-</w:t>
      </w:r>
      <w:r>
        <w:rPr>
          <w:rFonts w:ascii="Times New Roman" w:hAnsi="Times New Roman"/>
          <w:sz w:val="24"/>
        </w:rPr>
        <w:t>1. Zakona o graditeljstvu i stanovanju, stanovnik ima, na udaljenosti od najmanje jedan metar od pročelja, pogled na vanjsku stranu uključujući i nebo i horizont.</w:t>
      </w:r>
    </w:p>
    <w:p w14:paraId="7EC11A12" w14:textId="0741328F"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 Ukupna površina otvora, izmjerena u tablici, veća je ili jednaka 1/6 referentnog područja.</w:t>
      </w:r>
      <w:r>
        <w:rPr>
          <w:rFonts w:ascii="Times New Roman" w:hAnsi="Times New Roman"/>
          <w:sz w:val="24"/>
        </w:rPr>
        <w:br/>
        <w:t>Ako je raspoloživa površina pročelja zgrade manja od polovine stambene površine zgrade ili ako je prosječna stambena površina zgrade manja od 25 m², umjesto prethodnih zahtjeva može imati ukupnu površinu otvaranja, izmjerenu u tablici, veću ili jednaku jednoj trećini raspoložive površine pročelja.</w:t>
      </w:r>
      <w:r>
        <w:rPr>
          <w:rFonts w:ascii="Times New Roman" w:hAnsi="Times New Roman"/>
          <w:sz w:val="24"/>
        </w:rPr>
        <w:br/>
      </w:r>
      <w:r>
        <w:rPr>
          <w:rFonts w:ascii="Times New Roman" w:hAnsi="Times New Roman"/>
          <w:sz w:val="24"/>
        </w:rPr>
        <w:lastRenderedPageBreak/>
        <w:t xml:space="preserve">Ovaj se članak ne primjenjuje u slučajevima kada bi njegova usklađenost bila u suprotnosti s odobrenjem za planiranje u zaštićenim područjima, zaštićenim područjima arhitektonske, urbane i krajobrazne baštine ili promoviranim područjima arhitekture i baštine, okolinom povijesnih spomenika, registriranih i klasificiranih lokaliteta, lokalitetima s UNESCO-ova popisa svjetske baštine ili bilo kojim drugim očuvanjem koje su odredila lokalna tijela, kao i na mjestima i sektorima određenima u članku L. 151 </w:t>
      </w:r>
      <w:r w:rsidR="000E20D0">
        <w:rPr>
          <w:rFonts w:ascii="Times New Roman" w:hAnsi="Times New Roman"/>
          <w:sz w:val="24"/>
        </w:rPr>
        <w:t>-</w:t>
      </w:r>
      <w:r>
        <w:rPr>
          <w:rFonts w:ascii="Times New Roman" w:hAnsi="Times New Roman"/>
          <w:sz w:val="24"/>
        </w:rPr>
        <w:t xml:space="preserve"> 19 Zakonika o prostornom planiranju.</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X.: LJETNI UGODA (članci od 24. do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Uz iznimku otvora u prostorijama s privremenim zauzetošću, otvori imaju solarni faktor manji ili jednak solarnom faktoru utvrđenom u tablici u nastavku, s uređajem za sjenčanje, ako postoji, koji se razmatra u potpuno proširenom položaju: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2"/>
        <w:gridCol w:w="1419"/>
        <w:gridCol w:w="1790"/>
        <w:gridCol w:w="1805"/>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Sve visine</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 H1a, H1b i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Visina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Visina &lt; ili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 H1c i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Visina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Visina &lt; ili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Zone H2d i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Visina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Visina &lt; ili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BR1 izloženi otvori – spavaonice</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Vertikalni otvor okrenut prema sjeveru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Vertikalni otvor koji nije okrenut prema sjeveru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Vodoravni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BR2 ili BR3 izloženi otvori – spavaonice</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Vertikalni otvor okrenut prema sjeveru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Vertikalni otvor koji nije okrenut prema sjeveru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Vodoravni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Otvoreni otvori BR1 – osim u spavaćim sobama</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Vertikalni otvor koji nije okrenut prema sjeveru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Vodoravni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Izloženi otvori – BR2 ili BR3 osim u spavaćim sobama</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Vertikalni otvor koji nije okrenut prema sjeveru</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Vodoravni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 otvore koji nisu izloženi izravnoj sunčevoj svjetlosti od travnja do listopada, zbog udaljenog solarnog sjenčanja, se mogu primjenjivati samo zahtjevi za otvore okrenute prema sjeveru.</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Otvori unutar iste prostorije, osim prostorija s privremenom zauzetosti, trebali bi biti otvoreni za najmanje 30% njihove površine, osim ako je to zabranjeno higijenskim ili sigurnosnim pravilima. To se ograničenje smanjuje na 10% za prostorije u kojima je razlika u visini između najniže točke njezina najnižeg otvora i najviše točke njezina najvišeg otvora jednaka ili veća od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XI.: POTROŠNJA ENERGIJE (članci od 26. do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Svaka automatizacija koja rezultira povećanjem potrošnje energije:</w:t>
      </w:r>
    </w:p>
    <w:p w14:paraId="56C2F6BF" w14:textId="70C45A1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mora se projektirati i provesti tako da se automatizacija aktivira samo kada je to potrebno;</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mora se vremenski odrediti ili programirati tako da se automatski zaustavi povećanje potrošnje energije čim to više nije potrebno;</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može se prilagoditi od strane budućeg upravitelja zgrade prema uvjetima popunjenosti zgrade.</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Automatizacijom se dopušta automatsko aktiviranje umjetne rasvjete u domovima, </w:t>
      </w:r>
      <w:r>
        <w:rPr>
          <w:rFonts w:ascii="Times New Roman" w:hAnsi="Times New Roman"/>
          <w:sz w:val="24"/>
        </w:rPr>
        <w:lastRenderedPageBreak/>
        <w:t>uredima, dvoranama za sastanke, učionicama i višenamjenskim sobama samo nakon ručnog djelovanja stanara u dotičnoj prostoriji ili u njezinoj neposrednoj blizini, manje od šest sati ranije.</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Stambene zgrade ili njihovi dijelovi opremljeni su sustavima koji omogućuju mjerenje ili procjenu potrošnje energije svakog stambenog objekta, osim potrošnje pojedinačnih drvnih sustava u pojedinačnim ili susjednim kućama.</w:t>
      </w:r>
      <w:r>
        <w:rPr>
          <w:rFonts w:ascii="Times New Roman" w:hAnsi="Times New Roman"/>
          <w:sz w:val="24"/>
        </w:rPr>
        <w:br/>
        <w:t>U slučaju kolektivne proizvodnje energije, „energija potrošena u stambenom objektu” znači udio ukupne potrošnje energije namijenjene tom stanu prema ključu raspodjele koji određuje vlasnik zgrade tijekom izgradnje zgrade.</w:t>
      </w:r>
      <w:r>
        <w:rPr>
          <w:rFonts w:ascii="Times New Roman" w:hAnsi="Times New Roman"/>
          <w:sz w:val="24"/>
        </w:rPr>
        <w:br/>
        <w:t>Ti sustavi omogućuju korisnicima da budu obaviješteni o svojoj potrošnji energije najmanje jednom mjesečno.</w:t>
      </w:r>
      <w:r>
        <w:rPr>
          <w:rFonts w:ascii="Times New Roman" w:hAnsi="Times New Roman"/>
          <w:sz w:val="24"/>
        </w:rPr>
        <w:br/>
        <w:t>Te se informacije dostavljaju u stambenom prostoru, prema vrsti energije, raščlanjene na najmanje sljedeće:</w:t>
      </w:r>
    </w:p>
    <w:p w14:paraId="4891DCEE" w14:textId="4559B15C"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grijanje;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hlađenje;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proizvodnja tople vode u kućanstvu;</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mrežne utičnice;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i drugo.</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Ta se raščlamba može temeljiti na izmjerenim podacima ili na procijenjenim podacima na temelju unaprijed definiranih postavki.</w:t>
      </w:r>
      <w:r>
        <w:rPr>
          <w:rFonts w:ascii="Times New Roman" w:hAnsi="Times New Roman"/>
          <w:sz w:val="24"/>
        </w:rPr>
        <w:br/>
        <w:t>Međutim, u slučaju kada je vlasnik projekta ujedno i budući posjednik i najmodavac izgrađene zgrade; konkretno, vlasnici stambenog prostora za iznajmljivanje, te se informacije mogu dostaviti stanarima, barem jednom mjesečno, elektroničkim ili poštanskim sredstvima, a ne izravno u stambenom prostoru.</w:t>
      </w:r>
      <w:r>
        <w:rPr>
          <w:rFonts w:ascii="Times New Roman" w:hAnsi="Times New Roman"/>
          <w:sz w:val="24"/>
        </w:rPr>
        <w:br/>
        <w:t>Dokaz da je ovaj članak uzet u obzir pruža se u skladu sa smjernicama pod nazivom Sustavi za mjerenje ili procjenu potrošnje u kućištu, u kojima se navode postupci za njegovu primjenu.</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Nestambene zgrade ili njihovi dijelovi moraju biti opremljeni sustavima koji omogućuju mjerenje ili izračunavanje potrošnje energije:</w:t>
      </w:r>
    </w:p>
    <w:p w14:paraId="16BE002B" w14:textId="37F7895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grijanje: za svakih 500 m² predmetne površine ili za svaku električnu ploču ili za svaki kat ili za svaki izravni izlazni kabel;</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hlađenje: za svakih 500 m² predmetne površine ili za svaku električnu ploču ili za svaki kat ili za svaki izravni izlazni kabel;</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proizvodnju tople vode;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rasvjetu: za svakih 500 m² predmetne površine ili za svaku električnu ploču ili </w:t>
      </w:r>
      <w:r>
        <w:rPr>
          <w:rFonts w:ascii="Times New Roman" w:hAnsi="Times New Roman"/>
          <w:sz w:val="24"/>
        </w:rPr>
        <w:lastRenderedPageBreak/>
        <w:t>za svaki kat;</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mrežu električnih utičnica: za svakih 500 m² predmetne površine ili za svaku električnu ploču ili za svaki kat;</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ventilacijske jedinice: za svaku jedinicu;</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svaki izravni izlaz snage veće od 80 ampera.</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XII.: GRIJANJE I HLAĐENJE (članci od 29. do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29.</w:t>
      </w:r>
    </w:p>
    <w:p w14:paraId="3E6600B7" w14:textId="5D02650B"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Jedinice za grijanje moraju za svaku isporučenu prostoriju uključivati jedan ili više uređaja koji se mogu ručno zaustaviti ili automatski namjestiti u skladu s temperaturom unutar prostorije.</w:t>
      </w:r>
      <w:r>
        <w:rPr>
          <w:rFonts w:ascii="Times New Roman" w:hAnsi="Times New Roman"/>
          <w:sz w:val="24"/>
        </w:rPr>
        <w:br/>
        <w:t>Međutim, kada je grijanje provedeno podnim grijanjem s niskom temperaturom toplom vodom ili puhanim zrakom ili neovisnim uređajem za grijanje drva, taj se uređaj može dijeliti po prostorijama s maksimalnom ukupnom površinom od 100 m².</w:t>
      </w:r>
      <w:r>
        <w:rPr>
          <w:rFonts w:ascii="Times New Roman" w:hAnsi="Times New Roman"/>
          <w:sz w:val="24"/>
        </w:rPr>
        <w:br/>
        <w:t>Automatsko namještanje programira se tako da ispunjava zahtjeve iz članka R. 241</w:t>
      </w:r>
      <w:r w:rsidR="0080784F">
        <w:rPr>
          <w:rFonts w:ascii="Times New Roman" w:hAnsi="Times New Roman"/>
          <w:sz w:val="24"/>
        </w:rPr>
        <w:t>-</w:t>
      </w:r>
      <w:r>
        <w:rPr>
          <w:rFonts w:ascii="Times New Roman" w:hAnsi="Times New Roman"/>
          <w:sz w:val="24"/>
        </w:rPr>
        <w:t>26. Zakona o energiji.</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slučaju nestambenih zgrada ili njihovih dijelova, svaka jedinica za grijanje koja opskrbljuje prostorije koje se povremeno zauzete mora uključivati uređaj kojim se može ručno upravljati i automatski programirati, barem koristeći sat, koji omogućuje:</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toplinu koja se isporučuje u skladu sa sljedećim četirima razinama: udobno, nisko, sprečava smrzavanje i zaustavljanje;</w:t>
      </w:r>
      <w:r>
        <w:rPr>
          <w:rFonts w:ascii="Times New Roman" w:hAnsi="Times New Roman"/>
          <w:sz w:val="24"/>
        </w:rPr>
        <w:br/>
        <w:t>- automatsko prebacivanje između tih razina.</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Tijekom prebacivanja između dvije razine, snaga grijanja mora biti nula ili najveća kako bi se trajanje prijelaznih faza svelo na najmanju moguću mjeru.</w:t>
      </w:r>
      <w:r>
        <w:rPr>
          <w:rFonts w:ascii="Times New Roman" w:hAnsi="Times New Roman"/>
          <w:sz w:val="24"/>
        </w:rPr>
        <w:br/>
        <w:t>Takav uređaj mogu dijeliti samo prostorije sa sličnim razdobljima zauzetosti. Isti uređaj može posluživati površine ne veće od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Zajedničke mreže koje distribuiraju vodu za grijanje ili hlađenje moraju biti opremljene jedinicom za uravnoteženje u podnožju svakog stupca.</w:t>
      </w:r>
      <w:r>
        <w:rPr>
          <w:rFonts w:ascii="Times New Roman" w:hAnsi="Times New Roman"/>
          <w:sz w:val="24"/>
        </w:rPr>
        <w:br/>
        <w:t>Crpke za instalacije grijanje i hlađenje opremljene su uređajima za njihovo zaustavljanje.</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Rashladne jedinice moraju uključivati, za svaku prostoriju u kojoj se isporučuje, jedan ili više uređaj koji se mogu ručno zaustaviti i koji automatski prilagođavaju opskrbu hladnoćom u skladu s temperaturom unutar prostorije.</w:t>
      </w:r>
      <w:r>
        <w:rPr>
          <w:rFonts w:ascii="Times New Roman" w:hAnsi="Times New Roman"/>
          <w:sz w:val="24"/>
        </w:rPr>
        <w:br/>
        <w:t>Međutim:</w:t>
      </w:r>
    </w:p>
    <w:p w14:paraId="035004FD" w14:textId="3274FD9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kada se prostor hladi preko sustava s promjenjivim protokom zraka, taj se uređaj može dijeliti po prostorijama s najvećom ukupnom površinom od 100 m², pod uvjetom da je ukupna brzina protoka puhanog zraka regulirana bez povećanja gubitka tlaka;</w:t>
      </w:r>
      <w:r>
        <w:rPr>
          <w:rFonts w:ascii="Times New Roman" w:hAnsi="Times New Roman"/>
          <w:sz w:val="24"/>
        </w:rPr>
        <w:br/>
        <w:t>- kada se prostor hladi preko rashladnog poda, ovaj uređaj se može dijeliti po prostorijama s maksimalnom ukupnom površinom od 100 m².</w:t>
      </w:r>
      <w:r>
        <w:rPr>
          <w:rFonts w:ascii="Times New Roman" w:hAnsi="Times New Roman"/>
          <w:sz w:val="24"/>
        </w:rPr>
        <w:br/>
        <w:t>- za „dvocijevne ventilatorski konvektore koji samo hlade” smatra se da je zahtjev iz stavka 1. ispunjen ako je svaki ventilator pod kontrolom unutarnje temperature, a uređaji za proizvodnju i distribuciju hladne vode opremljeni su uređajem koji omogućuje njihovo programiranje;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za zgrade ili dijelove zgrade koji se hlade hladnim svježim zrakom bez povećanja brzine obrađenog protoka iznad dvostruke razine higijenskih potreba, smatra se da je zahtjev iz stavka 1. ispunjen ako je hladna opskrba, prvo, prilagođena barem prema temperaturi povrata zraka i vanjskoj temperaturi i, kao drugo, zabranjena u razdobljima zagrijavanja.</w:t>
      </w:r>
    </w:p>
    <w:p w14:paraId="2FDC1968" w14:textId="3CD1728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Automatsko namještanje programira se tako da ispunjava zahtjeve iz članka R. 241</w:t>
      </w:r>
      <w:r w:rsidR="0080784F">
        <w:rPr>
          <w:rFonts w:ascii="Times New Roman" w:hAnsi="Times New Roman"/>
          <w:sz w:val="24"/>
        </w:rPr>
        <w:t>-</w:t>
      </w:r>
      <w:r>
        <w:rPr>
          <w:rFonts w:ascii="Times New Roman" w:hAnsi="Times New Roman"/>
          <w:sz w:val="24"/>
        </w:rPr>
        <w:t>30. Zakona o energiji.</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Vrata za pristup hlađenim zonama moraju biti opremljena </w:t>
      </w:r>
      <w:proofErr w:type="spellStart"/>
      <w:r>
        <w:rPr>
          <w:rFonts w:ascii="Times New Roman" w:hAnsi="Times New Roman"/>
          <w:sz w:val="24"/>
        </w:rPr>
        <w:t>samozatvarajućim</w:t>
      </w:r>
      <w:proofErr w:type="spellEnd"/>
      <w:r>
        <w:rPr>
          <w:rFonts w:ascii="Times New Roman" w:hAnsi="Times New Roman"/>
          <w:sz w:val="24"/>
        </w:rPr>
        <w:t xml:space="preserve"> uređajem.</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Prije konačnog izlaza u prostoriju, osim gdje se grijanje dobiva oporavkom iz hladne proizvodnje, zrak se ne smije zagrijavati, a zatim hladiti, ili obrnuto, uređajima koji troše energiju namijenjenim za zagrijavanje ili hlađenje zraka.</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XIII.: RASVJETA (članci od 35. do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pješačkim zonama, vertikalnim i vodoravnim zajedničkim zatvorenim prostorima i parkiralištima, sve rasvjetne instalacije za svaku prostoriju uključuju automatski uređaj koji omogućuje, kada je prostorija ili parkiralište prazno, da se:</w:t>
      </w:r>
    </w:p>
    <w:p w14:paraId="0741976C" w14:textId="1796590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6B5B5E">
        <w:rPr>
          <w:rFonts w:ascii="Times New Roman" w:hAnsi="Times New Roman"/>
          <w:sz w:val="24"/>
        </w:rPr>
        <w:t>-</w:t>
      </w:r>
      <w:r>
        <w:rPr>
          <w:rFonts w:ascii="Times New Roman" w:hAnsi="Times New Roman"/>
          <w:sz w:val="24"/>
        </w:rPr>
        <w:t xml:space="preserve"> osvjetljenje priguši na najnižu regulatornu razinu;</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ili ugasi umjetni izvor svjetlosti, ako nijedan propis ne propisuje minimalnu razinu.</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Osim toga, ako prostorija ima pristup prirodnom svjetlu, treba uključiti uređaj koji omogućuje automatsko isključivanje sustava rasvjete čim je prirodno svjetlo dovoljno.</w:t>
      </w:r>
      <w:r>
        <w:rPr>
          <w:rFonts w:ascii="Times New Roman" w:hAnsi="Times New Roman"/>
          <w:sz w:val="24"/>
        </w:rPr>
        <w:br/>
        <w:t>Jedan uređaj mora opsluživati najviše:</w:t>
      </w:r>
    </w:p>
    <w:p w14:paraId="05A2C700" w14:textId="3332AE0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maksimalnu površina od 100 m² i jednu etažu vodoravne pješačke staze i unutarnja zajednička područja;</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tri etaže vertikalne pješačke staze;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jednu etažu i maksimalnu površine 500 m² za parkirna mjesta.</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nestambenim zgradama ili njihovim dijelovima svaka prostorija mora biti opremljena ručnim uređajem za uključivanje i isključivanje ili automatskim uređajem u skladu sa stupnjem popunjenosti.</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nestambenim zgradama ili njihovim dijelovima svaka prostorija u kojoj je upravljanje rasvjetom odgovorno njezino upravljačko osoblje mora, čak i tijekom razdoblja popunjenosti, uključivati uređaj koji omogućuje uključivanje i isključivanje rasvjete. Ako se taj uređaj ne nalazi u dotičnoj prostoriji, mora se omogućiti pregled stanja osvjetljenja u ovoj prostoriji s upravljačke točke.</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zgradama ili dijelovima zgrada za nestambenu uporabu u istoj prostoriji, umjetno osvijetljene točke, koje se nalaze manje od 5 m od otvora, kontroliraju se odvojeno od drugih rasvjetnih točaka kada ukupna instalirana snaga u svakom od tih položaja prelazi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Poglavlje XIV.: VENTILACIJA (članci od 39. do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Članak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slučaju nestambenih zgrada ili njihovih dijelova, prostorije ili skupine prostorija čija je popunjenost ili uporaba vrlo različita, iste se moraju opsluživati neovisnim ventilacijskim sustavima.</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Članak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 slučaju nestambenih zgrada ili njihovih dijelova opremljenih posebnim mehaničkim ventilacijskim sustavima, svakim ručnim uređajem za izmjenu protoka zraka prostorije mora se upravljati s mjeračem vremena.</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IV.: PRIJEDLOG ZA POJEDNOSTAVLJENI NAČIN PRIMJENE U POJEDINAČNIM KUĆAMA (članci od 41. do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Pojednostavljeni način primjene kombinacija je arhitektonskih karakteristika, energetske i ekološke učinkovitosti radova i opreme pripojenih na definiranu obitelj pojedinačnih kuća, za koje se smatra da su u skladu s odredbama glava I. do III. Ove Uredbe za sve zgrade u toj obitelji.</w:t>
      </w:r>
      <w:r>
        <w:rPr>
          <w:rFonts w:ascii="Times New Roman" w:hAnsi="Times New Roman"/>
          <w:sz w:val="24"/>
        </w:rPr>
        <w:br/>
        <w:t>Pojednostavljeni način primjene može se koristiti samo u njegovom integralnom obliku.</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Prijedlog pojednostavljenog načina primjene šalje se ministru nadležnom za energetiku i ministru nadležnom za graditeljstvo, zajedno sa studijskim spisom sastavljenim kako je navedeno u Prilogu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V. POSEBNI SLUČAJEVI (članci od 43. do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 slučaju da metoda izračuna iz članka 8. ne uzima u obzir posebnosti građevinskog projekta, zahtjev za odobrenje projekta šalje se ministru nadležnom za energetiku i ministru nadležnom za graditeljstvo.</w:t>
      </w:r>
      <w:r>
        <w:rPr>
          <w:rFonts w:ascii="Times New Roman" w:hAnsi="Times New Roman"/>
          <w:sz w:val="24"/>
        </w:rPr>
        <w:br/>
        <w:t>U sljedećim se slučajevima ministru nadležnom za energetiku i ministru nadležnom za graditeljstvo može poslati zahtjev za odobrenje projekta ili metode koja se koristi za opravdanje izvedbe sustava grijanja ili hlađenja ili mreže:</w:t>
      </w:r>
    </w:p>
    <w:p w14:paraId="5A0B0C39" w14:textId="00ECAF5D"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ako se metodom izračuna iz članka 8. ne uzimaju u obzir posebnosti sustava;</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ako je stvorena mreža za gradsko grijanje ili hlađenje;</w:t>
      </w:r>
      <w:r>
        <w:rPr>
          <w:rFonts w:ascii="Times New Roman" w:hAnsi="Times New Roman"/>
          <w:sz w:val="24"/>
        </w:rPr>
        <w:br/>
      </w:r>
      <w:r w:rsidR="006B5B5E">
        <w:rPr>
          <w:rFonts w:ascii="Times New Roman" w:hAnsi="Times New Roman"/>
          <w:sz w:val="24"/>
        </w:rPr>
        <w:t>-</w:t>
      </w:r>
      <w:r>
        <w:rPr>
          <w:rFonts w:ascii="Times New Roman" w:hAnsi="Times New Roman"/>
          <w:sz w:val="24"/>
        </w:rPr>
        <w:t xml:space="preserve"> ako je vjerojatno da će rad na izmjeni mreže za grijanje ili hlađenje prouzročiti znatnu promjenu njezina emisijskog faktora kako je predviđeno u članku 10.</w:t>
      </w:r>
    </w:p>
    <w:p w14:paraId="74E0BDC5" w14:textId="49BC82EB"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Zahtjevima za odobrenje prilaže se studijska dokumentacija sastavljena kako je navedeno u Prilogu X., u kojoj se posebno navodi način na koji se metodom izračuna iz članka 8. ne uzimaju u obzir specifičnosti projekta ili sustava izgradnje, ovisno o slučaju.</w:t>
      </w:r>
      <w:r>
        <w:rPr>
          <w:rFonts w:ascii="Times New Roman" w:hAnsi="Times New Roman"/>
          <w:sz w:val="24"/>
        </w:rPr>
        <w:br/>
      </w:r>
      <w:r>
        <w:rPr>
          <w:rFonts w:ascii="Times New Roman" w:hAnsi="Times New Roman"/>
          <w:sz w:val="24"/>
        </w:rPr>
        <w:lastRenderedPageBreak/>
        <w:t>Odobrenje građevinskog projekta nije obvezno ako potvrda o sukladnosti s ciljevima u smislu članka L. 112</w:t>
      </w:r>
      <w:r w:rsidR="0019372E">
        <w:rPr>
          <w:rFonts w:ascii="Times New Roman" w:hAnsi="Times New Roman"/>
          <w:sz w:val="24"/>
        </w:rPr>
        <w:t>-</w:t>
      </w:r>
      <w:r>
        <w:rPr>
          <w:rFonts w:ascii="Times New Roman" w:hAnsi="Times New Roman"/>
          <w:sz w:val="24"/>
        </w:rPr>
        <w:t>9. koja se odnosi na subjekt a koja nije vezana za energetsku učinkovitost, predviđa ulazne podatke specifične za rješenja s istovrsnim učinkom koja omogućuju primjenu metode izračuna iz članka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Ministar nadležan za energetiku i ministar nadležan za graditeljstvo mogu odobriti prijedlog da se u obzir uzmu građevinski projekt ili sustav grijanja ili hlađenja ili mreža, nakon savjetovanja sa stručnim povjerenstvom osnovanim u tu svrhu.</w:t>
      </w:r>
      <w:r>
        <w:rPr>
          <w:rFonts w:ascii="Times New Roman" w:hAnsi="Times New Roman"/>
          <w:sz w:val="24"/>
        </w:rPr>
        <w:br/>
        <w:t>Za stvaranje mreža centraliziranoga grijanja ili hlađenja odobrenje vrijedi najviše tri godine; za radove na izmjeni mreža centraliziranoga grijanja ili hlađenja odobrenje vrijedi najviše pet godina i može se obnoviti dvije godine nakon mišljenja stručnog odbora.</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Glava VI.: RAZNE ODREDBE (članci od 45. do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45.</w:t>
      </w:r>
    </w:p>
    <w:p w14:paraId="04CAF51E" w14:textId="4A2D1770"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Ako se zgrada ili dio zgrade isporučuje bez sustava grijanja, ista se procjenjuju standardnim sustavom grijanja kako je predviđeno metodom iz članka 8. Ako u metodi za predmetnu zgradu nije predviđen zadani sustav grijanja, on može ispunjavati samo zahtjeve u pogledu resursa utvrđene u glavi III. i zahtjeve definirane u članku R. 172</w:t>
      </w:r>
      <w:r w:rsidR="003F7F0A">
        <w:rPr>
          <w:rFonts w:ascii="Times New Roman" w:hAnsi="Times New Roman"/>
          <w:sz w:val="24"/>
        </w:rPr>
        <w:t>-</w:t>
      </w:r>
      <w:r>
        <w:rPr>
          <w:rFonts w:ascii="Times New Roman" w:hAnsi="Times New Roman"/>
          <w:sz w:val="24"/>
        </w:rPr>
        <w:t>4. točkama 1., 4. i 5. Zakonika o graditeljstvu i stanovanju i utvrđene u skladu s postupcima navedenima u Prilogu istom članku.</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46.</w:t>
      </w:r>
    </w:p>
    <w:p w14:paraId="6521031A" w14:textId="36846ECA"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E64AE4">
        <w:rPr>
          <w:rFonts w:ascii="Times New Roman" w:hAnsi="Times New Roman"/>
          <w:sz w:val="24"/>
        </w:rPr>
        <w:t>-</w:t>
      </w:r>
      <w:r>
        <w:rPr>
          <w:rFonts w:ascii="Times New Roman" w:hAnsi="Times New Roman"/>
          <w:sz w:val="24"/>
        </w:rPr>
        <w:t xml:space="preserve"> Pretpostavlja se da su zahtjevi utvrđeni u gore navedenim Uredbama od 26. listopada 2010. i 28. prosinca 2012. ispunjeni ako su ispunjeni zahtjevi iz članka R. 172</w:t>
      </w:r>
      <w:r w:rsidR="00E64AE4">
        <w:rPr>
          <w:rFonts w:ascii="Times New Roman" w:hAnsi="Times New Roman"/>
          <w:sz w:val="24"/>
        </w:rPr>
        <w:t>-</w:t>
      </w:r>
      <w:r>
        <w:rPr>
          <w:rFonts w:ascii="Times New Roman" w:hAnsi="Times New Roman"/>
          <w:sz w:val="24"/>
        </w:rPr>
        <w:t>4. Zakonika o graditeljstvu i stanovanju i utvrđeni u skladu s postupcima iz Priloga tom istom članku, kao i zahtjevi iz ove Uredbe.</w:t>
      </w:r>
      <w:r>
        <w:rPr>
          <w:rFonts w:ascii="Times New Roman" w:hAnsi="Times New Roman"/>
          <w:sz w:val="24"/>
        </w:rPr>
        <w:br/>
        <w:t xml:space="preserve">II. </w:t>
      </w:r>
      <w:r w:rsidR="00E64AE4">
        <w:rPr>
          <w:rFonts w:ascii="Times New Roman" w:hAnsi="Times New Roman"/>
          <w:sz w:val="24"/>
        </w:rPr>
        <w:t>-</w:t>
      </w:r>
      <w:r>
        <w:rPr>
          <w:rFonts w:ascii="Times New Roman" w:hAnsi="Times New Roman"/>
          <w:sz w:val="24"/>
        </w:rPr>
        <w:t xml:space="preserve"> Pretpostavlja se da su ispunjeni zahtjevi utvrđeni u gore navedenim odlukama od 13. lipnja 2008. i od 3. svibnja 2007. kada su ispunjeni zahtjevi definirani u članku R. 172</w:t>
      </w:r>
      <w:r w:rsidR="00E64AE4">
        <w:rPr>
          <w:rFonts w:ascii="Times New Roman" w:hAnsi="Times New Roman"/>
          <w:sz w:val="24"/>
        </w:rPr>
        <w:t>-</w:t>
      </w:r>
      <w:r>
        <w:rPr>
          <w:rFonts w:ascii="Times New Roman" w:hAnsi="Times New Roman"/>
          <w:sz w:val="24"/>
        </w:rPr>
        <w:t>4. stavcima 1. do 3. i 5. Zakonika o graditeljstvu i stanovanju i utvrđeni u skladu s postupcima navedenima u prilogu istom članku, kao i zahtjevima iz glave III. Ove Uredbe.</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Odredbama ove Uredbe ne dovode se u pitanje zakonodavne i administrativne mjere koje su na snazi u pogledu zdravlja, sanitarnih uvjeta, higijene i sigurnosti.</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U člancima 11. i 12. prethodno navedene Uredbe od 26. listopada 2010. riječi „1. rujna 2021.” zamjenjuju se riječima „31. prosinca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49.</w:t>
      </w:r>
    </w:p>
    <w:p w14:paraId="01833B6B" w14:textId="764AC84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25EAA">
        <w:rPr>
          <w:rFonts w:ascii="Times New Roman" w:hAnsi="Times New Roman"/>
          <w:sz w:val="24"/>
        </w:rPr>
        <w:t>-</w:t>
      </w:r>
      <w:r>
        <w:rPr>
          <w:rFonts w:ascii="Times New Roman" w:hAnsi="Times New Roman"/>
          <w:sz w:val="24"/>
        </w:rPr>
        <w:t xml:space="preserve"> Članak 10. Odluke od 26. listopada 2010. i članak 10. gore navedene Odluke od 28. prosinca 2012. zamjenjuju se sljedećim:</w:t>
      </w:r>
    </w:p>
    <w:p w14:paraId="228B35D7" w14:textId="346E135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„Članak 10. </w:t>
      </w:r>
      <w:r w:rsidR="00225EAA">
        <w:rPr>
          <w:rFonts w:ascii="Times New Roman" w:hAnsi="Times New Roman"/>
          <w:sz w:val="24"/>
        </w:rPr>
        <w:t>-</w:t>
      </w:r>
      <w:r>
        <w:rPr>
          <w:rFonts w:ascii="Times New Roman" w:hAnsi="Times New Roman"/>
          <w:sz w:val="24"/>
        </w:rPr>
        <w:t xml:space="preserve"> Najkasnije do 1. siječnja 2013., softver za izračune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Bbio</w:t>
      </w:r>
      <w:proofErr w:type="spellEnd"/>
      <w:r>
        <w:rPr>
          <w:rFonts w:ascii="Times New Roman" w:hAnsi="Times New Roman"/>
          <w:sz w:val="24"/>
        </w:rPr>
        <w:t xml:space="preserve"> i </w:t>
      </w:r>
      <w:proofErr w:type="spellStart"/>
      <w:r>
        <w:rPr>
          <w:rFonts w:ascii="Times New Roman" w:hAnsi="Times New Roman"/>
          <w:sz w:val="24"/>
        </w:rPr>
        <w:t>Tic</w:t>
      </w:r>
      <w:proofErr w:type="spellEnd"/>
      <w:r>
        <w:rPr>
          <w:rFonts w:ascii="Times New Roman" w:hAnsi="Times New Roman"/>
          <w:sz w:val="24"/>
        </w:rPr>
        <w:t xml:space="preserve"> mora procijeniti ministar nadležan za graditeljstvo i </w:t>
      </w:r>
      <w:proofErr w:type="spellStart"/>
      <w:r>
        <w:rPr>
          <w:rFonts w:ascii="Times New Roman" w:hAnsi="Times New Roman"/>
          <w:sz w:val="24"/>
        </w:rPr>
        <w:t>minisar</w:t>
      </w:r>
      <w:proofErr w:type="spellEnd"/>
      <w:r>
        <w:rPr>
          <w:rFonts w:ascii="Times New Roman" w:hAnsi="Times New Roman"/>
          <w:sz w:val="24"/>
        </w:rPr>
        <w:t xml:space="preserve"> nadležan za energetiku, u skladu s postupkom utvrđenim u Prilogu X. Na kraju te procjene izdaje se izvješće o istoj. Tu bi evaluaciju trebalo preispitati svake dvije godine, na datum obljetnice izdavanja izvješća o evaluaciji, ili barem jednom od 1. siječnja 2018.”</w:t>
      </w:r>
    </w:p>
    <w:p w14:paraId="519D34E6" w14:textId="70773494"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6B5B5E">
        <w:rPr>
          <w:rFonts w:ascii="Times New Roman" w:hAnsi="Times New Roman"/>
          <w:sz w:val="24"/>
        </w:rPr>
        <w:t>-</w:t>
      </w:r>
      <w:r>
        <w:rPr>
          <w:rFonts w:ascii="Times New Roman" w:hAnsi="Times New Roman"/>
          <w:sz w:val="24"/>
        </w:rPr>
        <w:t xml:space="preserve"> Na početku točke 5. gore navedenog Priloga X. Uredbi od 26. listopada 2010. i na početku točke 5. Priloga VI. gore navedenoj Odluci od 28. prosinca 2012. dodaje se sljedeća rečenica: „Sljedeći stavak ne primjenjuje se na softver koji je nakon 1. siječnja 2018. bio predmet preispitivanja evaluacije.”</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Na kraju članka 49. gore navedenog Uredbe od 26. listopada 2010. i na kraju gore navedenog članka 39. Uredbe od 28. prosinca 2012. dodaje se sljedeći stavak: </w:t>
      </w:r>
      <w:r>
        <w:rPr>
          <w:rFonts w:ascii="Times New Roman" w:hAnsi="Times New Roman"/>
          <w:sz w:val="24"/>
        </w:rPr>
        <w:br/>
        <w:t>„Odobrenje građevinskog projekta nije obvezno ako potvrda o sukladnosti s ciljevima u smislu članka L. 112–9. Zakonika o graditeljstvu i stanovanju, a koja se odnosi na subjekt i nije vezano za energetsku učinkovitost, predviđa ulazne podatke specifične za rješenja s istovrsnim učinkom koja omogućuju metodu izračuna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51.</w:t>
      </w:r>
    </w:p>
    <w:p w14:paraId="24D85573" w14:textId="50CD9395"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0E3956">
        <w:rPr>
          <w:rFonts w:ascii="Times New Roman" w:hAnsi="Times New Roman"/>
          <w:sz w:val="24"/>
        </w:rPr>
        <w:t>-</w:t>
      </w:r>
      <w:r>
        <w:rPr>
          <w:rFonts w:ascii="Times New Roman" w:hAnsi="Times New Roman"/>
          <w:sz w:val="24"/>
        </w:rPr>
        <w:t xml:space="preserve"> Odredbe članaka 48. do 50. stupaju na snagu dan nakon objave ove Uredbe.</w:t>
      </w:r>
      <w:r>
        <w:rPr>
          <w:rFonts w:ascii="Times New Roman" w:hAnsi="Times New Roman"/>
          <w:sz w:val="24"/>
        </w:rPr>
        <w:br/>
        <w:t xml:space="preserve">II. </w:t>
      </w:r>
      <w:r w:rsidR="000E3956">
        <w:rPr>
          <w:rFonts w:ascii="Times New Roman" w:hAnsi="Times New Roman"/>
          <w:sz w:val="24"/>
        </w:rPr>
        <w:t>-</w:t>
      </w:r>
      <w:r>
        <w:rPr>
          <w:rFonts w:ascii="Times New Roman" w:hAnsi="Times New Roman"/>
          <w:sz w:val="24"/>
        </w:rPr>
        <w:t xml:space="preserve"> Odredbe drugih članaka stupaju na snagu 1. siječnja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Ova se Uredba objavljuje u Službenom listu Francuske Republike.</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Prilog</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Članak</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PRILOZI:</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Možete vidjeti cijeli tekst sa slikama iz izvatka ovjerenog elektroničkog Službenog lista dostupnog na dnu stranice</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Dana 4. kolovoza 2021.</w:t>
      </w:r>
    </w:p>
    <w:p w14:paraId="43B0B023" w14:textId="77777777" w:rsidR="00491ADB" w:rsidRDefault="001E2566" w:rsidP="00491ADB">
      <w:pPr>
        <w:spacing w:after="0" w:line="240" w:lineRule="auto"/>
        <w:rPr>
          <w:rFonts w:ascii="Times New Roman" w:hAnsi="Times New Roman"/>
          <w:sz w:val="24"/>
        </w:rPr>
      </w:pPr>
      <w:r>
        <w:rPr>
          <w:rFonts w:ascii="Times New Roman" w:hAnsi="Times New Roman"/>
          <w:sz w:val="24"/>
        </w:rPr>
        <w:br/>
        <w:t>Ministar kojeg je ovlastila ministrica ekološke tranzicije, nadležan za stanovanje, Za ministra i od strane delegacije:</w:t>
      </w:r>
      <w:r>
        <w:rPr>
          <w:rFonts w:ascii="Times New Roman" w:hAnsi="Times New Roman"/>
          <w:sz w:val="24"/>
        </w:rPr>
        <w:br/>
        <w:t xml:space="preserve">Ravnatelj Uprave za stanovanje, prostorno uređenje i planiranje, </w:t>
      </w:r>
    </w:p>
    <w:p w14:paraId="133B264A" w14:textId="041F66A0" w:rsidR="001E2566" w:rsidRPr="001E2566" w:rsidRDefault="001E2566" w:rsidP="00491ADB">
      <w:pPr>
        <w:spacing w:after="0" w:line="240" w:lineRule="auto"/>
        <w:rPr>
          <w:rFonts w:ascii="Times New Roman" w:eastAsia="Times New Roman" w:hAnsi="Times New Roman" w:cs="Times New Roman"/>
          <w:sz w:val="24"/>
          <w:szCs w:val="24"/>
        </w:rPr>
      </w:pPr>
      <w:r>
        <w:rPr>
          <w:rFonts w:ascii="Times New Roman" w:hAnsi="Times New Roman"/>
          <w:sz w:val="24"/>
        </w:rPr>
        <w:t>F. Adam</w:t>
      </w:r>
    </w:p>
    <w:p w14:paraId="3937B5F8" w14:textId="77777777" w:rsidR="00491ADB" w:rsidRDefault="001E2566" w:rsidP="00491ADB">
      <w:pPr>
        <w:spacing w:after="0" w:line="240" w:lineRule="auto"/>
        <w:rPr>
          <w:rFonts w:ascii="Times New Roman" w:hAnsi="Times New Roman"/>
          <w:sz w:val="24"/>
        </w:rPr>
      </w:pPr>
      <w:r>
        <w:rPr>
          <w:rFonts w:ascii="Times New Roman" w:hAnsi="Times New Roman"/>
          <w:sz w:val="24"/>
        </w:rPr>
        <w:br/>
        <w:t>Ministrica ekološke tranzicije,</w:t>
      </w:r>
      <w:r>
        <w:rPr>
          <w:rFonts w:ascii="Times New Roman" w:hAnsi="Times New Roman"/>
          <w:sz w:val="24"/>
        </w:rPr>
        <w:br/>
        <w:t>Za ministricu i na temelju ovlaštenja:</w:t>
      </w:r>
      <w:r>
        <w:rPr>
          <w:rFonts w:ascii="Times New Roman" w:hAnsi="Times New Roman"/>
          <w:sz w:val="24"/>
        </w:rPr>
        <w:br/>
        <w:t xml:space="preserve">Ravnatelj Uprave za stanovanje, prostorno uređenje i planiranje, </w:t>
      </w:r>
    </w:p>
    <w:p w14:paraId="001DA2A8" w14:textId="77777777" w:rsidR="00491ADB" w:rsidRDefault="001E2566" w:rsidP="00491ADB">
      <w:pPr>
        <w:spacing w:after="0" w:line="240" w:lineRule="auto"/>
        <w:rPr>
          <w:rFonts w:ascii="Times New Roman" w:hAnsi="Times New Roman"/>
          <w:sz w:val="24"/>
        </w:rPr>
      </w:pPr>
      <w:r>
        <w:rPr>
          <w:rFonts w:ascii="Times New Roman" w:hAnsi="Times New Roman"/>
          <w:sz w:val="24"/>
        </w:rPr>
        <w:t xml:space="preserve">F. Adam. </w:t>
      </w:r>
    </w:p>
    <w:p w14:paraId="07E94185" w14:textId="294CBDE4" w:rsidR="00491ADB" w:rsidRDefault="001E2566" w:rsidP="00491ADB">
      <w:pPr>
        <w:spacing w:after="0" w:line="240" w:lineRule="auto"/>
        <w:rPr>
          <w:rFonts w:ascii="Times New Roman" w:hAnsi="Times New Roman"/>
          <w:sz w:val="24"/>
        </w:rPr>
      </w:pPr>
      <w:r>
        <w:rPr>
          <w:rFonts w:ascii="Times New Roman" w:hAnsi="Times New Roman"/>
          <w:sz w:val="24"/>
        </w:rPr>
        <w:t xml:space="preserve">Glavni direktor za energetiku i okoliš, </w:t>
      </w:r>
    </w:p>
    <w:p w14:paraId="1A7604DF" w14:textId="6C620867" w:rsidR="007570FC" w:rsidRDefault="001E2566" w:rsidP="00491ADB">
      <w:pPr>
        <w:spacing w:after="0" w:line="240" w:lineRule="auto"/>
      </w:pPr>
      <w:r>
        <w:rPr>
          <w:rFonts w:ascii="Times New Roman" w:hAnsi="Times New Roman"/>
          <w:sz w:val="24"/>
        </w:rPr>
        <w:t>L. Michel</w:t>
      </w:r>
    </w:p>
    <w:sectPr w:rsidR="007570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EAC1" w14:textId="77777777" w:rsidR="00481960" w:rsidRDefault="00481960" w:rsidP="005B0E54">
      <w:pPr>
        <w:spacing w:after="0" w:line="240" w:lineRule="auto"/>
      </w:pPr>
      <w:r>
        <w:separator/>
      </w:r>
    </w:p>
  </w:endnote>
  <w:endnote w:type="continuationSeparator" w:id="0">
    <w:p w14:paraId="78564BE3" w14:textId="77777777" w:rsidR="00481960" w:rsidRDefault="00481960" w:rsidP="005B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1695" w14:textId="77777777" w:rsidR="005B0E54" w:rsidRDefault="005B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A52A" w14:textId="77777777" w:rsidR="005B0E54" w:rsidRDefault="005B0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912" w14:textId="77777777" w:rsidR="005B0E54" w:rsidRDefault="005B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1C3" w14:textId="77777777" w:rsidR="00481960" w:rsidRDefault="00481960" w:rsidP="005B0E54">
      <w:pPr>
        <w:spacing w:after="0" w:line="240" w:lineRule="auto"/>
      </w:pPr>
      <w:r>
        <w:separator/>
      </w:r>
    </w:p>
  </w:footnote>
  <w:footnote w:type="continuationSeparator" w:id="0">
    <w:p w14:paraId="153C8605" w14:textId="77777777" w:rsidR="00481960" w:rsidRDefault="00481960" w:rsidP="005B0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0C14" w14:textId="77777777" w:rsidR="005B0E54" w:rsidRDefault="005B0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E144" w14:textId="77777777" w:rsidR="005B0E54" w:rsidRDefault="005B0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0941" w14:textId="77777777" w:rsidR="005B0E54" w:rsidRDefault="005B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0B0181"/>
    <w:rsid w:val="000E20D0"/>
    <w:rsid w:val="000E3956"/>
    <w:rsid w:val="0019372E"/>
    <w:rsid w:val="001E2566"/>
    <w:rsid w:val="00225EAA"/>
    <w:rsid w:val="002D086D"/>
    <w:rsid w:val="002F212D"/>
    <w:rsid w:val="003F7F0A"/>
    <w:rsid w:val="00481960"/>
    <w:rsid w:val="00491ADB"/>
    <w:rsid w:val="005B0E54"/>
    <w:rsid w:val="00665BB1"/>
    <w:rsid w:val="006B5B5E"/>
    <w:rsid w:val="007570FC"/>
    <w:rsid w:val="007C7C60"/>
    <w:rsid w:val="0080784F"/>
    <w:rsid w:val="00AF7174"/>
    <w:rsid w:val="00BA00AE"/>
    <w:rsid w:val="00BA2550"/>
    <w:rsid w:val="00BC1D98"/>
    <w:rsid w:val="00BF2C75"/>
    <w:rsid w:val="00E203F0"/>
    <w:rsid w:val="00E64AE4"/>
    <w:rsid w:val="00F70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E54"/>
  </w:style>
  <w:style w:type="paragraph" w:styleId="Footer">
    <w:name w:val="footer"/>
    <w:basedOn w:val="Normal"/>
    <w:link w:val="FooterChar"/>
    <w:uiPriority w:val="99"/>
    <w:unhideWhenUsed/>
    <w:rsid w:val="005B0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6284</Words>
  <Characters>36282</Characters>
  <Application>Microsoft Office Word</Application>
  <DocSecurity>0</DocSecurity>
  <Lines>1016</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2022-02-11T09:44:00Z</dcterms:created>
  <dcterms:modified xsi:type="dcterms:W3CDTF">2022-02-11T09:44:00Z</dcterms:modified>
</cp:coreProperties>
</file>