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43EB" w14:textId="77777777" w:rsidR="00AA0AC6" w:rsidRDefault="00EE0B86">
      <w:pPr>
        <w:pStyle w:val="Heading10"/>
        <w:keepNext/>
        <w:keepLines/>
      </w:pPr>
      <w:bookmarkStart w:id="0" w:name="bookmark0"/>
      <w:r>
        <w:rPr>
          <w:rStyle w:val="Heading1"/>
        </w:rPr>
        <w:t>Seadusandlike ettepanekute eelnõud</w:t>
      </w:r>
      <w:bookmarkEnd w:id="0"/>
    </w:p>
    <w:p w14:paraId="08A98031" w14:textId="77777777" w:rsidR="00AA0AC6" w:rsidRDefault="00EE0B86">
      <w:pPr>
        <w:pStyle w:val="Heading20"/>
        <w:keepNext/>
        <w:keepLines/>
      </w:pPr>
      <w:bookmarkStart w:id="1" w:name="bookmark2"/>
      <w:r>
        <w:rPr>
          <w:rStyle w:val="Heading2"/>
        </w:rPr>
        <w:t>Täiendused ja muudatusettepanekud on kursiivis.</w:t>
      </w:r>
      <w:bookmarkEnd w:id="1"/>
    </w:p>
    <w:p w14:paraId="69A787FA" w14:textId="77777777" w:rsidR="00AA0AC6" w:rsidRDefault="00EE0B86">
      <w:pPr>
        <w:pStyle w:val="Heading30"/>
        <w:keepNext/>
        <w:keepLines/>
        <w:spacing w:after="200" w:line="264" w:lineRule="auto"/>
      </w:pPr>
      <w:bookmarkStart w:id="2" w:name="bookmark4"/>
      <w:r>
        <w:rPr>
          <w:rStyle w:val="Heading3"/>
          <w:b/>
        </w:rPr>
        <w:t>Tubaka kahjulike mõjude ennetamist käsitleva 9. märtsi 1973. aasta seaduse nr 14 muutmise eelnõu</w:t>
      </w:r>
      <w:bookmarkEnd w:id="2"/>
    </w:p>
    <w:p w14:paraId="5B187A27" w14:textId="7E3EBB20" w:rsidR="00AA0AC6" w:rsidRDefault="001F37DB" w:rsidP="001F37DB">
      <w:pPr>
        <w:pStyle w:val="BodyText"/>
        <w:tabs>
          <w:tab w:val="left" w:pos="243"/>
        </w:tabs>
        <w:spacing w:after="120"/>
        <w:ind w:firstLine="0"/>
      </w:pPr>
      <w:r>
        <w:rPr>
          <w:rStyle w:val="BodyTextChar"/>
        </w:rPr>
        <w:t>§ 30. Pakendite ja toodete standarditud kujundus ja märgistamine</w:t>
      </w:r>
    </w:p>
    <w:p w14:paraId="55131F6E" w14:textId="77777777" w:rsidR="00AA0AC6" w:rsidRDefault="00EE0B86">
      <w:pPr>
        <w:pStyle w:val="BodyText"/>
        <w:ind w:firstLine="580"/>
      </w:pPr>
      <w:r>
        <w:rPr>
          <w:rStyle w:val="BodyTextChar"/>
        </w:rPr>
        <w:t>Norrasse on keelatud importida või müüa tubakapakendeid ja tubakatooteid, mis ei ole standardi</w:t>
      </w:r>
      <w:r>
        <w:rPr>
          <w:rStyle w:val="BodyTextChar"/>
        </w:rPr>
        <w:t xml:space="preserve">tud kujundusega vastavalt ministeeriumi poolt määrustes kehtestatud üksikasjalikele sätetele. </w:t>
      </w:r>
      <w:r>
        <w:rPr>
          <w:rStyle w:val="BodyTextChar"/>
          <w:i/>
        </w:rPr>
        <w:t>Sama kehtib elektrooniliste sigarettide ja täitepakendite kohta, olenemata nikotiinisisaldusest.</w:t>
      </w:r>
      <w:r>
        <w:rPr>
          <w:rStyle w:val="BodyTextChar"/>
        </w:rPr>
        <w:t xml:space="preserve"> Standardimine võib muu hulgas puudutada värvi, kuju, välimust, ma</w:t>
      </w:r>
      <w:r>
        <w:rPr>
          <w:rStyle w:val="BodyTextChar"/>
        </w:rPr>
        <w:t>terjali ja märgistust, sealhulgas kaubamärkide, logode ja muude kaubamärgiga seotud elementide kasutamist.</w:t>
      </w:r>
    </w:p>
    <w:p w14:paraId="59A9A310" w14:textId="77777777" w:rsidR="00AA0AC6" w:rsidRDefault="00EE0B86" w:rsidP="00EE0B86">
      <w:pPr>
        <w:pStyle w:val="BodyText"/>
        <w:spacing w:after="240"/>
        <w:ind w:firstLine="578"/>
      </w:pPr>
      <w:r>
        <w:rPr>
          <w:rStyle w:val="BodyTextChar"/>
        </w:rPr>
        <w:t>Ministeerium võib välja anda määruseid suitsetamistarvikute ja tubakaasendajate märgistamise ja kujunduse sarnase standardimise kohta ning teha erand</w:t>
      </w:r>
      <w:r>
        <w:rPr>
          <w:rStyle w:val="BodyTextChar"/>
        </w:rPr>
        <w:t>eid konkreetsetele tootekategooriatele. Ministeerium võib määrustega piirata seda, mis liiki jaemüügipunktidel on lubatud müüa standardimisnõudest vabastatud tooteid.</w:t>
      </w:r>
    </w:p>
    <w:p w14:paraId="5BE1906D" w14:textId="060A2BBD" w:rsidR="00AA0AC6" w:rsidRDefault="001F37DB" w:rsidP="001F37DB">
      <w:pPr>
        <w:pStyle w:val="BodyText"/>
        <w:tabs>
          <w:tab w:val="left" w:pos="243"/>
        </w:tabs>
        <w:spacing w:after="200"/>
        <w:ind w:firstLine="0"/>
      </w:pPr>
      <w:r>
        <w:rPr>
          <w:rStyle w:val="BodyTextChar"/>
        </w:rPr>
        <w:t>§ 30a. Terviseohu hoiatus ja toote esitusviis</w:t>
      </w:r>
    </w:p>
    <w:p w14:paraId="776E89D9" w14:textId="652A9ACA" w:rsidR="00AA0AC6" w:rsidRDefault="00EE0B86">
      <w:pPr>
        <w:pStyle w:val="BodyText"/>
        <w:spacing w:after="200" w:line="240" w:lineRule="auto"/>
        <w:ind w:firstLine="500"/>
      </w:pPr>
      <w:r>
        <w:rPr>
          <w:rStyle w:val="BodyTextChar"/>
        </w:rPr>
        <w:t>Norrasse on keelatud importida või müüa tub</w:t>
      </w:r>
      <w:r>
        <w:rPr>
          <w:rStyle w:val="BodyTextChar"/>
        </w:rPr>
        <w:t>akatooteid, elektroonilisi sigarette ja täitepakendeid ning taimseid suitsetatavaid tooteid, mis ei ole märgistatud terviseohu hoiatustega.</w:t>
      </w:r>
    </w:p>
    <w:p w14:paraId="66AB4B62" w14:textId="77777777" w:rsidR="00AA0AC6" w:rsidRDefault="00EE0B86">
      <w:pPr>
        <w:pStyle w:val="BodyText"/>
        <w:spacing w:line="240" w:lineRule="auto"/>
        <w:ind w:firstLine="500"/>
      </w:pPr>
      <w:r>
        <w:rPr>
          <w:rStyle w:val="BodyTextChar"/>
        </w:rPr>
        <w:t>[Norrasse on keelatud importida või müüa tubakatooteid, taimseid suitsetatavaid tooteid, elektroonilisi sigarette ja</w:t>
      </w:r>
      <w:r>
        <w:rPr>
          <w:rStyle w:val="BodyTextChar"/>
        </w:rPr>
        <w:t xml:space="preserve"> täitepakendeid, millel on mis tahes element või omadus, sealhulgas tekst, nimed, kaubamärgid, sümbolid, kujutised või muud märgid, mis:</w:t>
      </w:r>
    </w:p>
    <w:p w14:paraId="5477CAB0" w14:textId="0C31A780" w:rsidR="00AA0AC6" w:rsidRDefault="00EE0B86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>reklaamivad tubakatoodet või soodustavad selle tarbimist, luues väära mulje tooteomaduste, tervisemõjude, riskide võ</w:t>
      </w:r>
      <w:r>
        <w:rPr>
          <w:rStyle w:val="BodyTextChar"/>
        </w:rPr>
        <w:t>i eralduvate ainete kohta;</w:t>
      </w:r>
    </w:p>
    <w:p w14:paraId="12A7A4D9" w14:textId="77777777" w:rsidR="00AA0AC6" w:rsidRDefault="00EE0B86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>sisaldavad mis tahes teavet tubakatoote nikotiini-, tõrva- või süsinikmonooksiidisisalduse kohta;</w:t>
      </w:r>
    </w:p>
    <w:p w14:paraId="446BC351" w14:textId="77777777" w:rsidR="00AA0AC6" w:rsidRDefault="00EE0B86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>viitavad sellele, et konkreetne toode on teistest vähem kahjulik või on elujõuline, energiline, tervendav, taasväärtustav, loodusli</w:t>
      </w:r>
      <w:r>
        <w:rPr>
          <w:rStyle w:val="BodyTextChar"/>
        </w:rPr>
        <w:t>k, orgaaniline või muu tervisele või elustiilile kasulik;</w:t>
      </w:r>
    </w:p>
    <w:p w14:paraId="7530D3E3" w14:textId="77777777" w:rsidR="00AA0AC6" w:rsidRDefault="00EE0B86" w:rsidP="00EE0B86">
      <w:pPr>
        <w:pStyle w:val="BodyText"/>
        <w:numPr>
          <w:ilvl w:val="0"/>
          <w:numId w:val="2"/>
        </w:numPr>
        <w:tabs>
          <w:tab w:val="left" w:pos="732"/>
        </w:tabs>
        <w:ind w:left="740" w:hanging="360"/>
      </w:pPr>
      <w:r>
        <w:rPr>
          <w:rStyle w:val="BodyTextChar"/>
        </w:rPr>
        <w:t>viitavad maitsele, lõhnale, mis tahes lõhna- ja maitseainetele või muudele lisaainetele või nende puudumisele;</w:t>
      </w:r>
    </w:p>
    <w:p w14:paraId="6D3DA705" w14:textId="77777777" w:rsidR="00AA0AC6" w:rsidRDefault="00EE0B86">
      <w:pPr>
        <w:pStyle w:val="BodyText"/>
        <w:numPr>
          <w:ilvl w:val="0"/>
          <w:numId w:val="2"/>
        </w:numPr>
        <w:tabs>
          <w:tab w:val="left" w:pos="732"/>
        </w:tabs>
        <w:ind w:firstLine="380"/>
      </w:pPr>
      <w:r>
        <w:rPr>
          <w:rStyle w:val="BodyTextChar"/>
        </w:rPr>
        <w:t>sarnanevad toidu või kosmeetikatootega;</w:t>
      </w:r>
    </w:p>
    <w:p w14:paraId="713D58E2" w14:textId="77777777" w:rsidR="00AA0AC6" w:rsidRDefault="00EE0B86">
      <w:pPr>
        <w:pStyle w:val="BodyText"/>
        <w:numPr>
          <w:ilvl w:val="0"/>
          <w:numId w:val="2"/>
        </w:numPr>
        <w:tabs>
          <w:tab w:val="left" w:pos="732"/>
          <w:tab w:val="left" w:pos="735"/>
        </w:tabs>
        <w:spacing w:after="200"/>
        <w:ind w:firstLine="380"/>
      </w:pPr>
      <w:r>
        <w:rPr>
          <w:rStyle w:val="BodyTextChar"/>
        </w:rPr>
        <w:t>viitavad sellele, et teatud tubakatootel on keskkonnaalased või rahalised eelised.</w:t>
      </w:r>
    </w:p>
    <w:p w14:paraId="5987CFDC" w14:textId="77777777" w:rsidR="00AA0AC6" w:rsidRDefault="00EE0B86">
      <w:pPr>
        <w:pStyle w:val="BodyText"/>
        <w:spacing w:after="200" w:line="240" w:lineRule="auto"/>
        <w:ind w:firstLine="500"/>
      </w:pPr>
      <w:r>
        <w:rPr>
          <w:rStyle w:val="BodyTextChar"/>
        </w:rPr>
        <w:t xml:space="preserve">Esimese </w:t>
      </w:r>
      <w:r>
        <w:rPr>
          <w:rStyle w:val="BodyTextChar"/>
          <w:strike/>
        </w:rPr>
        <w:t>ja t</w:t>
      </w:r>
      <w:r>
        <w:rPr>
          <w:rStyle w:val="BodyTextChar"/>
        </w:rPr>
        <w:t>e</w:t>
      </w:r>
      <w:r>
        <w:rPr>
          <w:rStyle w:val="BodyTextChar"/>
          <w:strike/>
        </w:rPr>
        <w:t>ise</w:t>
      </w:r>
      <w:r>
        <w:rPr>
          <w:rStyle w:val="BodyTextChar"/>
        </w:rPr>
        <w:t xml:space="preserve"> lõigu sätteid ei kohaldata nikotiinita ühekordselt kasutatavate e-sigarettide ja nikotiinita täitepakendite suhtes. Teise lõigu punktis b sätestatud nikotii</w:t>
      </w:r>
      <w:r>
        <w:rPr>
          <w:rStyle w:val="BodyTextChar"/>
        </w:rPr>
        <w:t xml:space="preserve">nisisalduse kohta teabe esitamise keeld </w:t>
      </w:r>
      <w:r>
        <w:rPr>
          <w:rStyle w:val="BodyTextChar"/>
          <w:strike/>
        </w:rPr>
        <w:t>ning viide lõhna- ja maitseainetele punktis d</w:t>
      </w:r>
      <w:r>
        <w:rPr>
          <w:rStyle w:val="BodyTextChar"/>
        </w:rPr>
        <w:t xml:space="preserve"> </w:t>
      </w:r>
      <w:r>
        <w:rPr>
          <w:rStyle w:val="BodyTextChar"/>
          <w:i/>
        </w:rPr>
        <w:t>ei</w:t>
      </w:r>
      <w:r>
        <w:rPr>
          <w:rStyle w:val="BodyTextChar"/>
        </w:rPr>
        <w:t xml:space="preserve"> kehti elektrooniliste sigarettide ja täitepakendite kohta. Teise lõigu punkte d ja f ei kohaldata taimsete suitsetatavate toodete suhtes, kuid siiski ei ole lubatud mä</w:t>
      </w:r>
      <w:r>
        <w:rPr>
          <w:rStyle w:val="BodyTextChar"/>
        </w:rPr>
        <w:t>rkida, et toode ei sisalda lisaaineid ega lõhna- ja maitseaineid.</w:t>
      </w:r>
    </w:p>
    <w:p w14:paraId="4A3E0B34" w14:textId="77777777" w:rsidR="00AA0AC6" w:rsidRDefault="00EE0B86">
      <w:pPr>
        <w:pStyle w:val="BodyText"/>
        <w:spacing w:after="200" w:line="240" w:lineRule="auto"/>
        <w:ind w:firstLine="500"/>
      </w:pPr>
      <w:r>
        <w:rPr>
          <w:rStyle w:val="BodyTextChar"/>
        </w:rPr>
        <w:t>Ministeerium võib määrustes kehtestada esimeses ja teises lõigus sätestatud nõuete rakendamiseks täiendavaid sätteid ning teha neist erandeid.</w:t>
      </w:r>
    </w:p>
    <w:p w14:paraId="4940B364" w14:textId="77777777" w:rsidR="00AA0AC6" w:rsidRDefault="00EE0B86" w:rsidP="001F37DB">
      <w:pPr>
        <w:pStyle w:val="BodyText"/>
        <w:keepNext/>
        <w:spacing w:after="140"/>
        <w:ind w:firstLine="0"/>
      </w:pPr>
      <w:r>
        <w:rPr>
          <w:rStyle w:val="BodyTextChar"/>
        </w:rPr>
        <w:lastRenderedPageBreak/>
        <w:t>Uus § 32a. Eristava maitse või lõhna keeld elek</w:t>
      </w:r>
      <w:r>
        <w:rPr>
          <w:rStyle w:val="BodyTextChar"/>
        </w:rPr>
        <w:t>troonilistes sigarettides jne.</w:t>
      </w:r>
    </w:p>
    <w:p w14:paraId="522ED393" w14:textId="77777777" w:rsidR="00AA0AC6" w:rsidRDefault="00EE0B86">
      <w:pPr>
        <w:pStyle w:val="BodyText"/>
        <w:ind w:firstLine="580"/>
      </w:pPr>
      <w:r>
        <w:rPr>
          <w:rStyle w:val="BodyTextChar"/>
          <w:i/>
        </w:rPr>
        <w:t>Norras on keelatud importida või müüa elektroonilisi sigarette ja täitepakendeid, olenemata nikotiinisisaldusest, millel on eristav maitse või lõhn. Sama kehtib elektroonilistes sigarettides kasutatavate lõhna- ja maitselisan</w:t>
      </w:r>
      <w:r>
        <w:rPr>
          <w:rStyle w:val="BodyTextChar"/>
          <w:i/>
        </w:rPr>
        <w:t>dite eraldi mahutite kohta.</w:t>
      </w:r>
    </w:p>
    <w:p w14:paraId="69779CD8" w14:textId="77777777" w:rsidR="00AA0AC6" w:rsidRDefault="00EE0B86">
      <w:pPr>
        <w:pStyle w:val="BodyText"/>
        <w:ind w:firstLine="580"/>
      </w:pPr>
      <w:r>
        <w:rPr>
          <w:rStyle w:val="BodyTextChar"/>
          <w:i/>
        </w:rPr>
        <w:t>Esimeses lõigus sätestatud keeld kehtib ka elektrooniliste sigarettidega seoses kasutatavate seadmete ja osade suhtes, mis võimaldavad muuta toote maitset või lõhna.</w:t>
      </w:r>
    </w:p>
    <w:p w14:paraId="2CC900A2" w14:textId="77777777" w:rsidR="00AA0AC6" w:rsidRDefault="00EE0B86">
      <w:pPr>
        <w:pStyle w:val="BodyText"/>
        <w:spacing w:after="420"/>
        <w:ind w:firstLine="580"/>
      </w:pPr>
      <w:r>
        <w:rPr>
          <w:rStyle w:val="BodyTextChar"/>
          <w:i/>
        </w:rPr>
        <w:t>Ministeerium võib esimeses ja teises lõigus sätestatud keeldud</w:t>
      </w:r>
      <w:r>
        <w:rPr>
          <w:rStyle w:val="BodyTextChar"/>
          <w:i/>
        </w:rPr>
        <w:t>e kohta vastu võtta täiendavaid määrusi, teha erandeid, kehtestada eristavat maitset või lõhna andvate lisaainete või lisaainete kombinatsioonide piirmäärad ning kehtestada tasud, mis katavad valitsusi keeldude käitlemiseks ja järelevalveks. Ministeerium v</w:t>
      </w:r>
      <w:r>
        <w:rPr>
          <w:rStyle w:val="BodyTextChar"/>
          <w:i/>
        </w:rPr>
        <w:t>õib määrustes vastu võtta ka loetelu, milliseid maitset määravaid lisaaineid on lubatud kasutada elektroonilistes sigarettides ja täitepakendites koostisosadena.</w:t>
      </w:r>
    </w:p>
    <w:p w14:paraId="362A0B7D" w14:textId="77777777" w:rsidR="00AA0AC6" w:rsidRDefault="00EE0B86">
      <w:pPr>
        <w:pStyle w:val="Heading30"/>
        <w:keepNext/>
        <w:keepLines/>
        <w:spacing w:after="140" w:line="259" w:lineRule="auto"/>
      </w:pPr>
      <w:bookmarkStart w:id="3" w:name="bookmark6"/>
      <w:r>
        <w:rPr>
          <w:rStyle w:val="Heading3"/>
          <w:b/>
        </w:rPr>
        <w:t>Tubakatoodete sisu, märgistamist ja kujundust jne käsitleva 6. veebruari 2003. aasta määruse n</w:t>
      </w:r>
      <w:r>
        <w:rPr>
          <w:rStyle w:val="Heading3"/>
          <w:b/>
        </w:rPr>
        <w:t>r 141 muudatuste eelnõu.</w:t>
      </w:r>
      <w:bookmarkEnd w:id="3"/>
    </w:p>
    <w:p w14:paraId="06077C93" w14:textId="2B6CC7A0" w:rsidR="00AA0AC6" w:rsidRDefault="001F37DB" w:rsidP="001F37DB">
      <w:pPr>
        <w:pStyle w:val="BodyText"/>
        <w:tabs>
          <w:tab w:val="left" w:pos="278"/>
        </w:tabs>
        <w:spacing w:after="140"/>
        <w:ind w:firstLine="0"/>
      </w:pPr>
      <w:r>
        <w:rPr>
          <w:rStyle w:val="BodyTextChar"/>
        </w:rPr>
        <w:t>§ 31. Tubakatoodete miinimumsuurus ja kaal</w:t>
      </w:r>
    </w:p>
    <w:p w14:paraId="6842D5C9" w14:textId="77777777" w:rsidR="00AA0AC6" w:rsidRDefault="00EE0B86">
      <w:pPr>
        <w:pStyle w:val="BodyText"/>
        <w:ind w:firstLine="580"/>
      </w:pPr>
      <w:r>
        <w:rPr>
          <w:rStyle w:val="BodyTextChar"/>
        </w:rPr>
        <w:t>Tarbijale müügiks mõeldud tarbijapakend, mis sisaldab:</w:t>
      </w:r>
    </w:p>
    <w:p w14:paraId="67107DAC" w14:textId="77777777" w:rsidR="00AA0AC6" w:rsidRDefault="00EE0B86">
      <w:pPr>
        <w:pStyle w:val="BodyText"/>
        <w:numPr>
          <w:ilvl w:val="0"/>
          <w:numId w:val="3"/>
        </w:numPr>
        <w:tabs>
          <w:tab w:val="left" w:pos="1286"/>
        </w:tabs>
        <w:spacing w:line="240" w:lineRule="auto"/>
        <w:ind w:firstLine="940"/>
      </w:pPr>
      <w:r>
        <w:rPr>
          <w:rStyle w:val="BodyTextChar"/>
        </w:rPr>
        <w:t>sigarette, peab sisaldama vähemalt 20 sigaretti;</w:t>
      </w:r>
    </w:p>
    <w:p w14:paraId="7EB220C6" w14:textId="77777777" w:rsidR="00AA0AC6" w:rsidRDefault="00EE0B86">
      <w:pPr>
        <w:pStyle w:val="BodyText"/>
        <w:numPr>
          <w:ilvl w:val="0"/>
          <w:numId w:val="3"/>
        </w:numPr>
        <w:tabs>
          <w:tab w:val="left" w:pos="1286"/>
          <w:tab w:val="left" w:pos="1300"/>
        </w:tabs>
        <w:spacing w:line="240" w:lineRule="auto"/>
        <w:ind w:firstLine="940"/>
      </w:pPr>
      <w:r>
        <w:rPr>
          <w:rStyle w:val="BodyTextChar"/>
        </w:rPr>
        <w:t>isevalmistatavate sigarettide tubakat, peab sisaldama vähemalt 30 kilogrammi;</w:t>
      </w:r>
    </w:p>
    <w:p w14:paraId="12A03E59" w14:textId="77777777" w:rsidR="00AA0AC6" w:rsidRDefault="00EE0B86" w:rsidP="00EE0B86">
      <w:pPr>
        <w:pStyle w:val="BodyText"/>
        <w:numPr>
          <w:ilvl w:val="0"/>
          <w:numId w:val="3"/>
        </w:numPr>
        <w:tabs>
          <w:tab w:val="left" w:pos="1286"/>
          <w:tab w:val="left" w:pos="1300"/>
        </w:tabs>
        <w:spacing w:line="240" w:lineRule="auto"/>
        <w:ind w:left="1276" w:hanging="335"/>
      </w:pPr>
      <w:r>
        <w:rPr>
          <w:rStyle w:val="BodyTextChar"/>
          <w:i/>
        </w:rPr>
        <w:t>suukau</w:t>
      </w:r>
      <w:r>
        <w:rPr>
          <w:rStyle w:val="BodyTextChar"/>
          <w:i/>
        </w:rPr>
        <w:t>dseks kasutamiseks mõeldud tubaka portsjoneid, peab sisaldama vähemalt 20 portsjonit ja 15 kilogrammi;</w:t>
      </w:r>
    </w:p>
    <w:p w14:paraId="28849DE5" w14:textId="77777777" w:rsidR="00AA0AC6" w:rsidRDefault="00EE0B86" w:rsidP="00EE0B86">
      <w:pPr>
        <w:pStyle w:val="BodyText"/>
        <w:numPr>
          <w:ilvl w:val="0"/>
          <w:numId w:val="3"/>
        </w:numPr>
        <w:tabs>
          <w:tab w:val="left" w:pos="1300"/>
        </w:tabs>
        <w:spacing w:line="240" w:lineRule="auto"/>
        <w:ind w:left="1276" w:hanging="335"/>
      </w:pPr>
      <w:r>
        <w:rPr>
          <w:rStyle w:val="BodyTextChar"/>
          <w:i/>
        </w:rPr>
        <w:t>suukaudseks huuletubakaks mõeldud lahtist tubakat, peab sisaldama vähemalt 30 kilogrammi.</w:t>
      </w:r>
    </w:p>
    <w:p w14:paraId="02AA3190" w14:textId="77777777" w:rsidR="00AA0AC6" w:rsidRDefault="00EE0B86">
      <w:pPr>
        <w:pStyle w:val="BodyText"/>
        <w:ind w:firstLine="580"/>
      </w:pPr>
      <w:r>
        <w:rPr>
          <w:rStyle w:val="BodyTextChar"/>
        </w:rPr>
        <w:t>Need tarbijapakendid ei tohi sisaldada väiksemaid pakendeid ega</w:t>
      </w:r>
      <w:r>
        <w:rPr>
          <w:rStyle w:val="BodyTextChar"/>
        </w:rPr>
        <w:t xml:space="preserve"> tohi olla väiksemateks pakenditeks jaotatavad.</w:t>
      </w:r>
    </w:p>
    <w:p w14:paraId="563C0CD8" w14:textId="77777777" w:rsidR="00AA0AC6" w:rsidRDefault="00EE0B86">
      <w:pPr>
        <w:pStyle w:val="BodyText"/>
        <w:spacing w:after="80"/>
        <w:ind w:firstLine="580"/>
      </w:pPr>
      <w:r>
        <w:rPr>
          <w:rStyle w:val="BodyTextChar"/>
        </w:rPr>
        <w:t>Sigareid võib müüa eraldi koos terviseohu hoiatustega pakendil.</w:t>
      </w:r>
    </w:p>
    <w:sectPr w:rsidR="00AA0AC6">
      <w:footerReference w:type="default" r:id="rId7"/>
      <w:pgSz w:w="11900" w:h="16840"/>
      <w:pgMar w:top="1599" w:right="1432" w:bottom="1855" w:left="1396" w:header="117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4F89" w14:textId="77777777" w:rsidR="002E616B" w:rsidRDefault="002E616B">
      <w:r>
        <w:separator/>
      </w:r>
    </w:p>
  </w:endnote>
  <w:endnote w:type="continuationSeparator" w:id="0">
    <w:p w14:paraId="43C0479E" w14:textId="77777777" w:rsidR="002E616B" w:rsidRDefault="002E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2050" w14:textId="77777777" w:rsidR="00AA0AC6" w:rsidRDefault="00EE0B8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88FE458" wp14:editId="5337D9B0">
              <wp:simplePos x="0" y="0"/>
              <wp:positionH relativeFrom="page">
                <wp:posOffset>3745865</wp:posOffset>
              </wp:positionH>
              <wp:positionV relativeFrom="page">
                <wp:posOffset>10006965</wp:posOffset>
              </wp:positionV>
              <wp:extent cx="3683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706FC" w14:textId="77777777" w:rsidR="00AA0AC6" w:rsidRDefault="00EE0B86">
                          <w:pPr>
                            <w:pStyle w:val="Headerorfooter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"/>
                            </w:rPr>
                            <w:t>#</w:t>
                          </w:r>
                          <w:r>
                            <w:rPr>
                              <w:rStyle w:val="Headerorfoote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FE458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4.95pt;margin-top:787.95pt;width:2.9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" filled="f" stroked="f">
              <v:textbox style="mso-fit-shape-to-text:t" inset="0,0,0,0">
                <w:txbxContent>
                  <w:p w14:paraId="20A706FC" w14:textId="77777777" w:rsidR="00AA0AC6" w:rsidRDefault="00EE0B86">
                    <w:pPr>
                      <w:pStyle w:val="Headerorfooter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"/>
                      </w:rPr>
                      <w:t>#</w:t>
                    </w:r>
                    <w:r>
                      <w:rPr>
                        <w:rStyle w:val="Headerorfoot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99E2" w14:textId="77777777" w:rsidR="002E616B" w:rsidRDefault="002E616B"/>
  </w:footnote>
  <w:footnote w:type="continuationSeparator" w:id="0">
    <w:p w14:paraId="7675EB7F" w14:textId="77777777" w:rsidR="002E616B" w:rsidRDefault="002E61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B29"/>
    <w:multiLevelType w:val="multilevel"/>
    <w:tmpl w:val="8A46022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7D21F6"/>
    <w:multiLevelType w:val="multilevel"/>
    <w:tmpl w:val="3BBAA5D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CD7421"/>
    <w:multiLevelType w:val="multilevel"/>
    <w:tmpl w:val="BD6C5884"/>
    <w:lvl w:ilvl="0">
      <w:start w:val="4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5376501">
    <w:abstractNumId w:val="2"/>
  </w:num>
  <w:num w:numId="2" w16cid:durableId="1832718140">
    <w:abstractNumId w:val="1"/>
  </w:num>
  <w:num w:numId="3" w16cid:durableId="122290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C6"/>
    <w:rsid w:val="001F37DB"/>
    <w:rsid w:val="002E616B"/>
    <w:rsid w:val="00AA0AC6"/>
    <w:rsid w:val="00E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F1CA"/>
  <w15:docId w15:val="{D0ABA9B6-12DE-4D0E-9488-FFC0253F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t-EE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E74B5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DefaultParagraphFont"/>
    <w:link w:val="Heading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al"/>
    <w:link w:val="Heading1"/>
    <w:pPr>
      <w:spacing w:after="260"/>
      <w:outlineLvl w:val="0"/>
    </w:pPr>
    <w:rPr>
      <w:rFonts w:ascii="Cambria" w:eastAsia="Cambria" w:hAnsi="Cambria" w:cs="Cambria"/>
      <w:color w:val="2E74B5"/>
      <w:sz w:val="32"/>
      <w:szCs w:val="32"/>
    </w:rPr>
  </w:style>
  <w:style w:type="paragraph" w:customStyle="1" w:styleId="Headerorfooter0">
    <w:name w:val="Header or footer"/>
    <w:basedOn w:val="Normal"/>
    <w:link w:val="Headerorfooter"/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al"/>
    <w:link w:val="Heading2"/>
    <w:pPr>
      <w:spacing w:after="44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Heading30">
    <w:name w:val="Heading #3"/>
    <w:basedOn w:val="Normal"/>
    <w:link w:val="Heading3"/>
    <w:pPr>
      <w:spacing w:after="170" w:line="262" w:lineRule="auto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Helena</dc:creator>
  <cp:keywords/>
  <cp:lastModifiedBy>Liana Brili</cp:lastModifiedBy>
  <cp:revision>3</cp:revision>
  <dcterms:created xsi:type="dcterms:W3CDTF">2023-01-30T12:45:00Z</dcterms:created>
  <dcterms:modified xsi:type="dcterms:W3CDTF">2023-02-06T09:36:00Z</dcterms:modified>
</cp:coreProperties>
</file>