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B43EB" w14:textId="77777777" w:rsidR="00AA0AC6" w:rsidRDefault="00000000">
      <w:pPr>
        <w:pStyle w:val="Heading10"/>
        <w:keepNext/>
        <w:keepLines/>
      </w:pPr>
      <w:bookmarkStart w:id="0" w:name="bookmark0"/>
      <w:r>
        <w:rPr>
          <w:rStyle w:val="Heading1"/>
        </w:rPr>
        <w:t xml:space="preserve">Pasiūlymų dėl teisėkūros procedūra priimtų aktų projektai</w:t>
      </w:r>
      <w:bookmarkEnd w:id="0"/>
    </w:p>
    <w:p w14:paraId="08A98031" w14:textId="77777777" w:rsidR="00AA0AC6" w:rsidRDefault="00000000">
      <w:pPr>
        <w:pStyle w:val="Heading20"/>
        <w:keepNext/>
        <w:keepLines/>
      </w:pPr>
      <w:bookmarkStart w:id="1" w:name="bookmark2"/>
      <w:r>
        <w:rPr>
          <w:rStyle w:val="Heading2"/>
        </w:rPr>
        <w:t xml:space="preserve">Papildymai ir pakeitimai pateikti kursyvu.</w:t>
      </w:r>
      <w:bookmarkEnd w:id="1"/>
    </w:p>
    <w:p w14:paraId="69A787FA" w14:textId="77777777" w:rsidR="00AA0AC6" w:rsidRDefault="00000000">
      <w:pPr>
        <w:pStyle w:val="Heading30"/>
        <w:keepNext/>
        <w:keepLines/>
        <w:spacing w:after="200" w:line="264" w:lineRule="auto"/>
      </w:pPr>
      <w:bookmarkStart w:id="2" w:name="bookmark4"/>
      <w:r>
        <w:rPr>
          <w:rStyle w:val="Heading3"/>
          <w:b/>
        </w:rPr>
        <w:t xml:space="preserve">1973 m. kovo 9 d. Įstatymo Nr. 14 dėl tabako žalingo poveikio prevencijos pakeitimų projektas</w:t>
      </w:r>
      <w:bookmarkEnd w:id="2"/>
    </w:p>
    <w:p w14:paraId="5B187A27" w14:textId="7E3EBB20" w:rsidR="00AA0AC6" w:rsidRDefault="001F37DB" w:rsidP="001F37DB">
      <w:pPr>
        <w:pStyle w:val="BodyText"/>
        <w:tabs>
          <w:tab w:val="left" w:pos="243"/>
        </w:tabs>
        <w:spacing w:after="120"/>
        <w:ind w:firstLine="0"/>
      </w:pPr>
      <w:r>
        <w:rPr>
          <w:rStyle w:val="BodyTextChar"/>
        </w:rPr>
        <w:t xml:space="preserve">30 straipsnis</w:t>
      </w:r>
      <w:r>
        <w:rPr>
          <w:rStyle w:val="BodyTextChar"/>
        </w:rPr>
        <w:t xml:space="preserve"> </w:t>
      </w:r>
      <w:r>
        <w:rPr>
          <w:rStyle w:val="BodyTextChar"/>
        </w:rPr>
        <w:t xml:space="preserve">Standartizuotas pakuočių ir gaminių dizainas ir ženklinimas</w:t>
      </w:r>
    </w:p>
    <w:p w14:paraId="55131F6E" w14:textId="77777777" w:rsidR="00AA0AC6" w:rsidRDefault="00000000">
      <w:pPr>
        <w:pStyle w:val="BodyText"/>
        <w:ind w:firstLine="580"/>
      </w:pPr>
      <w:r>
        <w:rPr>
          <w:rStyle w:val="BodyTextChar"/>
        </w:rPr>
        <w:t xml:space="preserve">Draudžiama importuoti į Norvegiją arba parduoti tabako pakuotes ir tabako gaminius, kurie nėra standartizuoto dizaino pagal išsamias ministerijos reglamentuose nustatytas nuostatas.</w:t>
      </w:r>
      <w:r>
        <w:rPr>
          <w:rStyle w:val="BodyTextChar"/>
        </w:rPr>
        <w:t xml:space="preserve"> </w:t>
      </w:r>
      <w:r>
        <w:rPr>
          <w:rStyle w:val="BodyTextChar"/>
          <w:i/>
        </w:rPr>
        <w:t xml:space="preserve">Tas pats taikytina elektroninėms cigaretėms ir pildomosioms talpykloms, neatsižvelgiant į nikotino kiekį.</w:t>
      </w:r>
      <w:r>
        <w:rPr>
          <w:rStyle w:val="BodyTextChar"/>
        </w:rPr>
        <w:t xml:space="preserve"> </w:t>
      </w:r>
      <w:r>
        <w:rPr>
          <w:rStyle w:val="BodyTextChar"/>
        </w:rPr>
        <w:t xml:space="preserve">Standartizavimas, be kita ko, gali būti taikomas spalvai, formai, išvaizdai, medžiagai ir ženklinimui, įskaitant prekių ženklų, logotipų ir kitų su prekės ženklu susietų elementų naudojimą.</w:t>
      </w:r>
    </w:p>
    <w:p w14:paraId="59A9A310" w14:textId="77777777" w:rsidR="00AA0AC6" w:rsidRDefault="00000000">
      <w:pPr>
        <w:pStyle w:val="BodyText"/>
        <w:spacing w:after="540"/>
        <w:ind w:firstLine="580"/>
      </w:pPr>
      <w:r>
        <w:rPr>
          <w:rStyle w:val="BodyTextChar"/>
        </w:rPr>
        <w:t xml:space="preserve">Ministerija gali priimti reglamentus dėl panašaus rūkymo priedų ir tabako pakaitalų pakuočių ženklinimo bei dizaino standartizavimo ir nustatyti išimtis konkrečioms gaminių kategorijoms.</w:t>
      </w:r>
      <w:r>
        <w:rPr>
          <w:rStyle w:val="BodyTextChar"/>
        </w:rPr>
        <w:t xml:space="preserve"> </w:t>
      </w:r>
      <w:r>
        <w:rPr>
          <w:rStyle w:val="BodyTextChar"/>
        </w:rPr>
        <w:t xml:space="preserve">Ministerija gali reglamentais apriboti, kokio tipo mažmeninės prekybos vietoms leidžiama parduoti gaminius, kuriems netaikomas standartizavimo reikalavimas.</w:t>
      </w:r>
    </w:p>
    <w:p w14:paraId="5BE1906D" w14:textId="060A2BBD" w:rsidR="00AA0AC6" w:rsidRDefault="001F37DB" w:rsidP="001F37DB">
      <w:pPr>
        <w:pStyle w:val="BodyText"/>
        <w:tabs>
          <w:tab w:val="left" w:pos="243"/>
        </w:tabs>
        <w:spacing w:after="200"/>
        <w:ind w:firstLine="0"/>
      </w:pPr>
      <w:r>
        <w:rPr>
          <w:rStyle w:val="BodyTextChar"/>
        </w:rPr>
        <w:t xml:space="preserve">30a straipsnis</w:t>
      </w:r>
      <w:r>
        <w:rPr>
          <w:rStyle w:val="BodyTextChar"/>
        </w:rPr>
        <w:t xml:space="preserve"> </w:t>
      </w:r>
      <w:r>
        <w:rPr>
          <w:rStyle w:val="BodyTextChar"/>
        </w:rPr>
        <w:t xml:space="preserve">Įspėjimas apie pavojų sveikatai ir gaminio pateikimas</w:t>
      </w:r>
    </w:p>
    <w:p w14:paraId="776E89D9" w14:textId="652A9ACA" w:rsidR="00AA0AC6" w:rsidRDefault="00000000">
      <w:pPr>
        <w:pStyle w:val="BodyText"/>
        <w:spacing w:after="200" w:line="240" w:lineRule="auto"/>
        <w:ind w:firstLine="500"/>
      </w:pPr>
      <w:r>
        <w:rPr>
          <w:rStyle w:val="BodyTextChar"/>
        </w:rPr>
        <w:t xml:space="preserve">Draudžiama importuoti į Norvegiją arba parduoti tabako gaminius, elektronines cigaretes ir pildomąsias talpyklas, taip pat žolinius rūkomuosius gaminius, kurie nėra paženklinti įspėjimais apie pavojų sveikatai.</w:t>
      </w:r>
    </w:p>
    <w:p w14:paraId="66AB4B62" w14:textId="77777777" w:rsidR="00AA0AC6" w:rsidRDefault="00000000">
      <w:pPr>
        <w:pStyle w:val="BodyText"/>
        <w:spacing w:line="240" w:lineRule="auto"/>
        <w:ind w:firstLine="500"/>
      </w:pPr>
      <w:r>
        <w:rPr>
          <w:rStyle w:val="BodyTextChar"/>
        </w:rPr>
        <w:t xml:space="preserve">[Draudžiama importuoti Į Norvegiją arba parduoti tabako gaminius, žolinius rūkomuosius gaminius, elektronines cigaretes ir pildomąsias talpyklas, paženklintas bet kokiu elementu ar požymiu, įskaitant tekstus, pavadinimus, prekių ženklus, simbolius, vaizdinius ar kitus ženklus, kuriuose:</w:t>
      </w:r>
    </w:p>
    <w:p w14:paraId="5477CAB0" w14:textId="77777777" w:rsidR="00AA0AC6" w:rsidRDefault="00000000">
      <w:pPr>
        <w:pStyle w:val="BodyText"/>
        <w:numPr>
          <w:ilvl w:val="0"/>
          <w:numId w:val="2"/>
        </w:numPr>
        <w:tabs>
          <w:tab w:val="left" w:pos="735"/>
        </w:tabs>
        <w:ind w:left="740" w:hanging="360"/>
      </w:pPr>
      <w:r>
        <w:rPr>
          <w:rStyle w:val="BodyTextChar"/>
        </w:rPr>
        <w:t xml:space="preserve">skatinama pirkti tabako gaminį ar jį vartoti sukuriant klaidingą įspūdį apie jo savybes, poveikį sveikatai, riziką ar išsiskiriančias medžiagas;</w:t>
      </w:r>
    </w:p>
    <w:p w14:paraId="12A7A4D9" w14:textId="77777777" w:rsidR="00AA0AC6" w:rsidRDefault="00000000">
      <w:pPr>
        <w:pStyle w:val="BodyText"/>
        <w:numPr>
          <w:ilvl w:val="0"/>
          <w:numId w:val="2"/>
        </w:numPr>
        <w:tabs>
          <w:tab w:val="left" w:pos="735"/>
        </w:tabs>
        <w:ind w:left="740" w:hanging="360"/>
      </w:pPr>
      <w:r>
        <w:rPr>
          <w:rStyle w:val="BodyTextChar"/>
        </w:rPr>
        <w:t xml:space="preserve">nepateikiama jokia informacija apie nikotino, dervų ar anglies monoksido tabako gaminyje kiekį;</w:t>
      </w:r>
    </w:p>
    <w:p w14:paraId="446BC351" w14:textId="77777777" w:rsidR="00AA0AC6" w:rsidRDefault="00000000">
      <w:pPr>
        <w:pStyle w:val="BodyText"/>
        <w:numPr>
          <w:ilvl w:val="0"/>
          <w:numId w:val="2"/>
        </w:numPr>
        <w:tabs>
          <w:tab w:val="left" w:pos="735"/>
        </w:tabs>
        <w:ind w:left="740" w:hanging="360"/>
      </w:pPr>
      <w:r>
        <w:rPr>
          <w:rStyle w:val="BodyTextChar"/>
        </w:rPr>
        <w:t xml:space="preserve">sudaromas įspūdis, kad tam tikras gaminys yra mažiau kenksmingas nei kiti arba turi gyvybingumo suteikiančių, energetinių, gydomųjų, atjauninančių, natūralių, ekologinių savybių arba kitokį teigiamą poveikį sveikatai ar gyvenimo būdui;</w:t>
      </w:r>
    </w:p>
    <w:p w14:paraId="7530D3E3" w14:textId="77777777" w:rsidR="00AA0AC6" w:rsidRDefault="00000000">
      <w:pPr>
        <w:pStyle w:val="BodyText"/>
        <w:numPr>
          <w:ilvl w:val="0"/>
          <w:numId w:val="2"/>
        </w:numPr>
        <w:tabs>
          <w:tab w:val="left" w:pos="732"/>
        </w:tabs>
        <w:ind w:firstLine="380"/>
      </w:pPr>
      <w:r>
        <w:rPr>
          <w:rStyle w:val="BodyTextChar"/>
        </w:rPr>
        <w:t xml:space="preserve">nurodomas skonis, kvapas, bet kokios kvapiosios medžiagos ar kiti priedai arba jų nebuvimas;</w:t>
      </w:r>
    </w:p>
    <w:p w14:paraId="6D3DA705" w14:textId="77777777" w:rsidR="00AA0AC6" w:rsidRDefault="00000000">
      <w:pPr>
        <w:pStyle w:val="BodyText"/>
        <w:numPr>
          <w:ilvl w:val="0"/>
          <w:numId w:val="2"/>
        </w:numPr>
        <w:tabs>
          <w:tab w:val="left" w:pos="732"/>
        </w:tabs>
        <w:ind w:firstLine="380"/>
      </w:pPr>
      <w:r>
        <w:rPr>
          <w:rStyle w:val="BodyTextChar"/>
        </w:rPr>
        <w:t xml:space="preserve">suteikiama panašumo į maisto ar kosmetikos gaminį;</w:t>
      </w:r>
    </w:p>
    <w:p w14:paraId="713D58E2" w14:textId="77777777" w:rsidR="00AA0AC6" w:rsidRDefault="00000000">
      <w:pPr>
        <w:pStyle w:val="BodyText"/>
        <w:numPr>
          <w:ilvl w:val="0"/>
          <w:numId w:val="2"/>
        </w:numPr>
        <w:tabs>
          <w:tab w:val="left" w:pos="732"/>
          <w:tab w:val="left" w:pos="735"/>
        </w:tabs>
        <w:spacing w:after="200"/>
        <w:ind w:firstLine="380"/>
      </w:pPr>
      <w:r>
        <w:rPr>
          <w:rStyle w:val="BodyTextChar"/>
        </w:rPr>
        <w:t xml:space="preserve">sudaromas įspūdis, kad tam tikras tabako gaminys turi ekologinių ar finansinių pranašumų.</w:t>
      </w:r>
    </w:p>
    <w:p w14:paraId="5987CFDC" w14:textId="77777777" w:rsidR="00AA0AC6" w:rsidRDefault="00000000">
      <w:pPr>
        <w:pStyle w:val="BodyText"/>
        <w:spacing w:after="200" w:line="240" w:lineRule="auto"/>
        <w:ind w:firstLine="500"/>
      </w:pPr>
      <w:r>
        <w:rPr>
          <w:rStyle w:val="BodyTextChar"/>
        </w:rPr>
        <w:t xml:space="preserve">Pirmosios </w:t>
      </w:r>
      <w:r>
        <w:rPr>
          <w:rStyle w:val="BodyTextChar"/>
          <w:strike/>
        </w:rPr>
        <w:t xml:space="preserve">ir antrosios</w:t>
      </w:r>
      <w:r>
        <w:rPr>
          <w:rStyle w:val="BodyTextChar"/>
        </w:rPr>
        <w:t xml:space="preserve"> dalies nuostatos netaikomos vienkartinėms elektroninėms cigaretėms be nikotino ir pildomosioms talpykloms be nikotino.</w:t>
      </w:r>
      <w:r>
        <w:rPr>
          <w:rStyle w:val="BodyTextChar"/>
        </w:rPr>
        <w:t xml:space="preserve"> </w:t>
      </w:r>
      <w:r>
        <w:rPr>
          <w:rStyle w:val="BodyTextChar"/>
        </w:rPr>
        <w:t xml:space="preserve">Draudimas teikti informaciją apie nikotino kiekį antrosios dalies b punkte </w:t>
      </w:r>
      <w:r>
        <w:rPr>
          <w:rStyle w:val="BodyTextChar"/>
          <w:strike/>
        </w:rPr>
        <w:t xml:space="preserve">ir nuoroda į kvapiąsias medžiagas d punkte</w:t>
      </w:r>
      <w:r>
        <w:rPr>
          <w:rStyle w:val="BodyTextChar"/>
        </w:rPr>
        <w:t xml:space="preserve"> </w:t>
      </w:r>
      <w:r>
        <w:rPr>
          <w:rStyle w:val="BodyTextChar"/>
          <w:i/>
          <w:iCs/>
        </w:rPr>
        <w:t xml:space="preserve">netaikomas</w:t>
      </w:r>
      <w:r>
        <w:rPr>
          <w:rStyle w:val="BodyTextChar"/>
        </w:rPr>
        <w:t xml:space="preserve"> elektroninėms cigaretėms ir pildomosioms talpykloms.</w:t>
      </w:r>
      <w:r>
        <w:rPr>
          <w:rStyle w:val="BodyTextChar"/>
        </w:rPr>
        <w:t xml:space="preserve"> </w:t>
      </w:r>
      <w:r>
        <w:rPr>
          <w:rStyle w:val="BodyTextChar"/>
        </w:rPr>
        <w:t xml:space="preserve">Antrosios dalies d ir f punktai netaikomi žoliniams rūkomiesiems gaminiams, tačiau vis dėlto neleidžiama teigti, kad gaminyje nėra priedų ar kvapiųjų medžiagų.</w:t>
      </w:r>
    </w:p>
    <w:p w14:paraId="4A3E0B34" w14:textId="77777777" w:rsidR="00AA0AC6" w:rsidRDefault="00000000">
      <w:pPr>
        <w:pStyle w:val="BodyText"/>
        <w:spacing w:after="200" w:line="240" w:lineRule="auto"/>
        <w:ind w:firstLine="500"/>
      </w:pPr>
      <w:r>
        <w:rPr>
          <w:rStyle w:val="BodyTextChar"/>
        </w:rPr>
        <w:t xml:space="preserve">Ministerija reglamentuose gali nustatyti papildomas nuostatas, skirtas įgyvendinti pirmosios ir antrosios dalies reikalavimus, ir taikyti jų išimtis.</w:t>
      </w:r>
    </w:p>
    <w:p w14:paraId="4940B364" w14:textId="77777777" w:rsidR="00AA0AC6" w:rsidRDefault="00000000" w:rsidP="001F37DB">
      <w:pPr>
        <w:pStyle w:val="BodyText"/>
        <w:keepNext/>
        <w:spacing w:after="140"/>
        <w:ind w:firstLine="0"/>
      </w:pPr>
      <w:r>
        <w:rPr>
          <w:rStyle w:val="BodyTextChar"/>
        </w:rPr>
        <w:t xml:space="preserve">Naujas 32 a straipsnis. Draudimas naudoti būdingą kvapą elektroninėse cigaretėse ir kt.</w:t>
      </w:r>
    </w:p>
    <w:p w14:paraId="522ED393" w14:textId="77777777" w:rsidR="00AA0AC6" w:rsidRDefault="00000000">
      <w:pPr>
        <w:pStyle w:val="BodyText"/>
        <w:ind w:firstLine="580"/>
      </w:pPr>
      <w:r>
        <w:rPr>
          <w:rStyle w:val="BodyTextChar"/>
          <w:i/>
        </w:rPr>
        <w:t xml:space="preserve">Draudžiama importuoti į Norvegiją arba joje parduoti būdingo kvapo elektronines cigaretes ir pildomąsias talpyklas, neatsižvelgiant į nikotino kiekį.</w:t>
      </w:r>
      <w:r>
        <w:rPr>
          <w:rStyle w:val="BodyTextChar"/>
          <w:i/>
        </w:rPr>
        <w:t xml:space="preserve"> </w:t>
      </w:r>
      <w:r>
        <w:rPr>
          <w:rStyle w:val="BodyTextChar"/>
          <w:i/>
        </w:rPr>
        <w:t xml:space="preserve">Tas pats taikytina ir atskiroms kvapo priedų talpykloms, skirtoms naudoti elektroninėse cigaretėse.</w:t>
      </w:r>
    </w:p>
    <w:p w14:paraId="69779CD8" w14:textId="77777777" w:rsidR="00AA0AC6" w:rsidRDefault="00000000">
      <w:pPr>
        <w:pStyle w:val="BodyText"/>
        <w:ind w:firstLine="580"/>
      </w:pPr>
      <w:r>
        <w:rPr>
          <w:rStyle w:val="BodyTextChar"/>
          <w:i/>
        </w:rPr>
        <w:t xml:space="preserve">Pirmojoje dalyje nustatytas draudimas taip pat taikomas su elektroninėmis cigaretėmis susijusiems įrenginiams ir komponentams, kurie suteikia galimybę pakeisti gaminio skonį ar kvapą.</w:t>
      </w:r>
    </w:p>
    <w:p w14:paraId="2CC900A2" w14:textId="77777777" w:rsidR="00AA0AC6" w:rsidRDefault="00000000">
      <w:pPr>
        <w:pStyle w:val="BodyText"/>
        <w:spacing w:after="420"/>
        <w:ind w:firstLine="580"/>
      </w:pPr>
      <w:r>
        <w:rPr>
          <w:rStyle w:val="BodyTextChar"/>
          <w:i/>
        </w:rPr>
        <w:t xml:space="preserve">Ministerija gali priimti papildomus reglamentus dėl pirmojoje ir antrojoje dalyje nustatytų draudimų, numatyti išimtis, nustatyti didžiausius priedų ar priedų derinių kiekius, kurie suteikia būdingą kvapą, ir nustatyti mokesčius už draudimų tvarkymą ir priežiūrą.</w:t>
      </w:r>
      <w:r>
        <w:rPr>
          <w:rStyle w:val="BodyTextChar"/>
          <w:i/>
        </w:rPr>
        <w:t xml:space="preserve"> </w:t>
      </w:r>
      <w:r>
        <w:rPr>
          <w:rStyle w:val="BodyTextChar"/>
          <w:i/>
        </w:rPr>
        <w:t xml:space="preserve">Ministerija taip pat reglamentuose gali išvardyti, kuriuos aromatą lemiančius priedus leidžiama naudoti kaip elektroninių cigarečių ir pildomųjų talpyklų sudedamąsias dalis.</w:t>
      </w:r>
    </w:p>
    <w:p w14:paraId="362A0B7D" w14:textId="77777777" w:rsidR="00AA0AC6" w:rsidRDefault="00000000">
      <w:pPr>
        <w:pStyle w:val="Heading30"/>
        <w:keepNext/>
        <w:keepLines/>
        <w:spacing w:after="140" w:line="259" w:lineRule="auto"/>
      </w:pPr>
      <w:bookmarkStart w:id="3" w:name="bookmark6"/>
      <w:r>
        <w:rPr>
          <w:rStyle w:val="Heading3"/>
          <w:b/>
        </w:rPr>
        <w:t xml:space="preserve">2003 m. vasario 6 d. Reglamento Nr. 141 dėl tabako gaminių sudėties, ženklinimo, dizaino ir kt. pakeitimų projektas</w:t>
      </w:r>
      <w:bookmarkEnd w:id="3"/>
    </w:p>
    <w:p w14:paraId="06077C93" w14:textId="2B6CC7A0" w:rsidR="00AA0AC6" w:rsidRDefault="001F37DB" w:rsidP="001F37DB">
      <w:pPr>
        <w:pStyle w:val="BodyText"/>
        <w:tabs>
          <w:tab w:val="left" w:pos="278"/>
        </w:tabs>
        <w:spacing w:after="140"/>
        <w:ind w:firstLine="0"/>
      </w:pPr>
      <w:r>
        <w:rPr>
          <w:rStyle w:val="BodyTextChar"/>
        </w:rPr>
        <w:t xml:space="preserve">31 straipsnis</w:t>
      </w:r>
      <w:r>
        <w:rPr>
          <w:rStyle w:val="BodyTextChar"/>
        </w:rPr>
        <w:t xml:space="preserve"> </w:t>
      </w:r>
      <w:r>
        <w:rPr>
          <w:rStyle w:val="BodyTextChar"/>
        </w:rPr>
        <w:t xml:space="preserve">Mažiausias tabako gaminių dydis ir svoris</w:t>
      </w:r>
    </w:p>
    <w:p w14:paraId="6842D5C9" w14:textId="77777777" w:rsidR="00AA0AC6" w:rsidRDefault="00000000">
      <w:pPr>
        <w:pStyle w:val="BodyText"/>
        <w:ind w:firstLine="580"/>
      </w:pPr>
      <w:r>
        <w:rPr>
          <w:rStyle w:val="BodyTextChar"/>
        </w:rPr>
        <w:t xml:space="preserve">Vienetiniame pakelyje, skirtame parduoti vartotojams, kuriame yra</w:t>
      </w:r>
    </w:p>
    <w:p w14:paraId="67107DAC" w14:textId="77777777" w:rsidR="00AA0AC6" w:rsidRDefault="00000000">
      <w:pPr>
        <w:pStyle w:val="BodyText"/>
        <w:numPr>
          <w:ilvl w:val="0"/>
          <w:numId w:val="3"/>
        </w:numPr>
        <w:tabs>
          <w:tab w:val="left" w:pos="1286"/>
        </w:tabs>
        <w:spacing w:line="240" w:lineRule="auto"/>
        <w:ind w:firstLine="940"/>
      </w:pPr>
      <w:r>
        <w:rPr>
          <w:rStyle w:val="BodyTextChar"/>
        </w:rPr>
        <w:t xml:space="preserve">cigaretės, turi būti ne mažiau kaip 20 cigarečių</w:t>
      </w:r>
    </w:p>
    <w:p w14:paraId="7EB220C6" w14:textId="77777777" w:rsidR="00AA0AC6" w:rsidRDefault="00000000">
      <w:pPr>
        <w:pStyle w:val="BodyText"/>
        <w:numPr>
          <w:ilvl w:val="0"/>
          <w:numId w:val="3"/>
        </w:numPr>
        <w:tabs>
          <w:tab w:val="left" w:pos="1286"/>
          <w:tab w:val="left" w:pos="1300"/>
        </w:tabs>
        <w:spacing w:line="240" w:lineRule="auto"/>
        <w:ind w:firstLine="940"/>
      </w:pPr>
      <w:r>
        <w:rPr>
          <w:rStyle w:val="BodyTextChar"/>
        </w:rPr>
        <w:t xml:space="preserve">suktinių tabako turi būti ne mažiau kaip 30 gramų</w:t>
      </w:r>
    </w:p>
    <w:p w14:paraId="12A03E59" w14:textId="77777777" w:rsidR="00AA0AC6" w:rsidRDefault="00000000">
      <w:pPr>
        <w:pStyle w:val="BodyText"/>
        <w:numPr>
          <w:ilvl w:val="0"/>
          <w:numId w:val="3"/>
        </w:numPr>
        <w:tabs>
          <w:tab w:val="left" w:pos="1286"/>
          <w:tab w:val="left" w:pos="1300"/>
        </w:tabs>
        <w:spacing w:line="240" w:lineRule="auto"/>
        <w:ind w:firstLine="940"/>
      </w:pPr>
      <w:r>
        <w:rPr>
          <w:rStyle w:val="BodyTextChar"/>
          <w:i/>
        </w:rPr>
        <w:t xml:space="preserve">oraliniam vartojimui skirto tabako porcijose turi būti ne mažiau kaip 20 porcijų ir 15 gramų</w:t>
      </w:r>
    </w:p>
    <w:p w14:paraId="28849DE5" w14:textId="77777777" w:rsidR="00AA0AC6" w:rsidRDefault="00000000">
      <w:pPr>
        <w:pStyle w:val="BodyText"/>
        <w:numPr>
          <w:ilvl w:val="0"/>
          <w:numId w:val="3"/>
        </w:numPr>
        <w:tabs>
          <w:tab w:val="left" w:pos="1286"/>
        </w:tabs>
        <w:spacing w:line="240" w:lineRule="auto"/>
        <w:ind w:firstLine="940"/>
      </w:pPr>
      <w:r>
        <w:rPr>
          <w:rStyle w:val="BodyTextChar"/>
          <w:i/>
        </w:rPr>
        <w:t xml:space="preserve">nesusuktas tabakas, skirtas oraliniam snusui – ne mažiau kaip 30 gramų.</w:t>
      </w:r>
    </w:p>
    <w:p w14:paraId="02AA3190" w14:textId="77777777" w:rsidR="00AA0AC6" w:rsidRDefault="00000000">
      <w:pPr>
        <w:pStyle w:val="BodyText"/>
        <w:ind w:firstLine="580"/>
      </w:pPr>
      <w:r>
        <w:rPr>
          <w:rStyle w:val="BodyTextChar"/>
        </w:rPr>
        <w:t xml:space="preserve">Šiuose vienetiniuose pakeliuose neturi būti mažesnių pakelių ir jų negalima skirstyti į mažesnius paketus.</w:t>
      </w:r>
    </w:p>
    <w:p w14:paraId="563C0CD8" w14:textId="77777777" w:rsidR="00AA0AC6" w:rsidRDefault="00000000">
      <w:pPr>
        <w:pStyle w:val="BodyText"/>
        <w:spacing w:after="80"/>
        <w:ind w:firstLine="580"/>
      </w:pPr>
      <w:r>
        <w:rPr>
          <w:rStyle w:val="BodyTextChar"/>
        </w:rPr>
        <w:t xml:space="preserve">Cigarai gali būti parduodami atskirai su įspėjimais ant pakuotės apie pavojų sveikatai.</w:t>
      </w:r>
    </w:p>
    <w:sectPr w:rsidR="00AA0AC6">
      <w:footerReference w:type="default" r:id="rId7"/>
      <w:pgSz w:w="11900" w:h="16840"/>
      <w:pgMar w:top="1599" w:right="1432" w:bottom="1855" w:left="1396" w:header="1171"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C4F89" w14:textId="77777777" w:rsidR="002E616B" w:rsidRDefault="002E616B">
      <w:r>
        <w:separator/>
      </w:r>
    </w:p>
  </w:endnote>
  <w:endnote w:type="continuationSeparator" w:id="0">
    <w:p w14:paraId="43C0479E" w14:textId="77777777" w:rsidR="002E616B" w:rsidRDefault="002E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42050" w14:textId="77777777" w:rsidR="00AA0AC6" w:rsidRDefault="00000000">
    <w:pPr>
      <w:spacing w:line="1" w:lineRule="exact"/>
    </w:pPr>
    <w:r>
      <mc:AlternateContent>
        <mc:Choice Requires="wps">
          <w:drawing>
            <wp:anchor distT="0" distB="0" distL="0" distR="0" simplePos="0" relativeHeight="62914690" behindDoc="1" locked="0" layoutInCell="1" allowOverlap="1" wp14:anchorId="488FE458" wp14:editId="5337D9B0">
              <wp:simplePos x="0" y="0"/>
              <wp:positionH relativeFrom="page">
                <wp:posOffset>3745865</wp:posOffset>
              </wp:positionH>
              <wp:positionV relativeFrom="page">
                <wp:posOffset>10006965</wp:posOffset>
              </wp:positionV>
              <wp:extent cx="36830"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36830" cy="100330"/>
                      </a:xfrm>
                      <a:prstGeom prst="rect">
                        <a:avLst/>
                      </a:prstGeom>
                      <a:noFill/>
                    </wps:spPr>
                    <wps:txbx>
                      <w:txbxContent>
                        <w:p w14:paraId="20A706FC" w14:textId="77777777" w:rsidR="00AA0AC6" w:rsidRDefault="00000000">
                          <w:pPr>
                            <w:pStyle w:val="Headerorfooter0"/>
                          </w:pPr>
                          <w:r>
                            <w:fldChar w:fldCharType="begin"/>
                          </w:r>
                          <w:r>
                            <w:instrText xml:space="preserve"> PAGE \* MERGEFORMAT </w:instrText>
                          </w:r>
                          <w:r>
                            <w:fldChar w:fldCharType="separate"/>
                          </w:r>
                          <w:r>
                            <w:rPr>
                              <w:rStyle w:val="Headerorfooter"/>
                            </w:rPr>
                            <w:t>#</w:t>
                          </w:r>
                          <w:r>
                            <w:rPr>
                              <w:rStyle w:val="Headerorfooter"/>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4.94999999999999pt;margin-top:787.95000000000005pt;width:2.8999999999999999pt;height:7.9000000000000004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Style w:val="Headerorfooter"/>
                      </w:rPr>
                      <w:t>#</w:t>
                    </w:r>
                    <w:r>
                      <w:rPr>
                        <w:rStyle w:val="Headerorfooter"/>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A99E2" w14:textId="77777777" w:rsidR="002E616B" w:rsidRDefault="002E616B"/>
  </w:footnote>
  <w:footnote w:type="continuationSeparator" w:id="0">
    <w:p w14:paraId="7675EB7F" w14:textId="77777777" w:rsidR="002E616B" w:rsidRDefault="002E61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E3B29"/>
    <w:multiLevelType w:val="multilevel"/>
    <w:tmpl w:val="8A46022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7D21F6"/>
    <w:multiLevelType w:val="multilevel"/>
    <w:tmpl w:val="3BBAA5D8"/>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BCD7421"/>
    <w:multiLevelType w:val="multilevel"/>
    <w:tmpl w:val="BD6C5884"/>
    <w:lvl w:ilvl="0">
      <w:start w:val="4"/>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55376501">
    <w:abstractNumId w:val="2"/>
  </w:num>
  <w:num w:numId="2" w16cid:durableId="1832718140">
    <w:abstractNumId w:val="1"/>
  </w:num>
  <w:num w:numId="3" w16cid:durableId="1222906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AC6"/>
    <w:rsid w:val="001F37DB"/>
    <w:rsid w:val="002E616B"/>
    <w:rsid w:val="00AA0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1F1CA"/>
  <w15:docId w15:val="{D0ABA9B6-12DE-4D0E-9488-FFC0253F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lt-LT"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Cambria" w:eastAsia="Cambria" w:hAnsi="Cambria" w:cs="Cambria"/>
      <w:b w:val="0"/>
      <w:bCs w:val="0"/>
      <w:i w:val="0"/>
      <w:iCs w:val="0"/>
      <w:smallCaps w:val="0"/>
      <w:strike w:val="0"/>
      <w:color w:val="2E74B5"/>
      <w:sz w:val="32"/>
      <w:szCs w:val="32"/>
      <w:u w:val="none"/>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22"/>
      <w:szCs w:val="22"/>
      <w:u w:val="none"/>
    </w:rPr>
  </w:style>
  <w:style w:type="character" w:customStyle="1" w:styleId="Heading2">
    <w:name w:val="Heading #2_"/>
    <w:basedOn w:val="DefaultParagraphFont"/>
    <w:link w:val="Heading20"/>
    <w:rPr>
      <w:rFonts w:ascii="Arial" w:eastAsia="Arial" w:hAnsi="Arial" w:cs="Arial"/>
      <w:b w:val="0"/>
      <w:bCs w:val="0"/>
      <w:i w:val="0"/>
      <w:iCs w:val="0"/>
      <w:smallCaps w:val="0"/>
      <w:strike w:val="0"/>
      <w:sz w:val="22"/>
      <w:szCs w:val="22"/>
      <w:u w:val="none"/>
    </w:rPr>
  </w:style>
  <w:style w:type="character" w:customStyle="1" w:styleId="Heading3">
    <w:name w:val="Heading #3_"/>
    <w:basedOn w:val="DefaultParagraphFont"/>
    <w:link w:val="Heading30"/>
    <w:rPr>
      <w:rFonts w:ascii="Cambria" w:eastAsia="Cambria" w:hAnsi="Cambria" w:cs="Cambria"/>
      <w:b/>
      <w:bCs/>
      <w:i w:val="0"/>
      <w:iCs w:val="0"/>
      <w:smallCaps w:val="0"/>
      <w:strike w:val="0"/>
      <w:sz w:val="22"/>
      <w:szCs w:val="22"/>
      <w:u w:val="none"/>
    </w:rPr>
  </w:style>
  <w:style w:type="character" w:customStyle="1" w:styleId="BodyTextChar">
    <w:name w:val="Body Text Char"/>
    <w:basedOn w:val="DefaultParagraphFont"/>
    <w:link w:val="BodyText"/>
    <w:rPr>
      <w:rFonts w:ascii="Cambria" w:eastAsia="Cambria" w:hAnsi="Cambria" w:cs="Cambria"/>
      <w:b w:val="0"/>
      <w:bCs w:val="0"/>
      <w:i w:val="0"/>
      <w:iCs w:val="0"/>
      <w:smallCaps w:val="0"/>
      <w:strike w:val="0"/>
      <w:sz w:val="22"/>
      <w:szCs w:val="22"/>
      <w:u w:val="none"/>
    </w:rPr>
  </w:style>
  <w:style w:type="paragraph" w:customStyle="1" w:styleId="Heading10">
    <w:name w:val="Heading #1"/>
    <w:basedOn w:val="Normal"/>
    <w:link w:val="Heading1"/>
    <w:pPr>
      <w:spacing w:after="260"/>
      <w:outlineLvl w:val="0"/>
    </w:pPr>
    <w:rPr>
      <w:rFonts w:ascii="Cambria" w:eastAsia="Cambria" w:hAnsi="Cambria" w:cs="Cambria"/>
      <w:color w:val="2E74B5"/>
      <w:sz w:val="32"/>
      <w:szCs w:val="32"/>
    </w:rPr>
  </w:style>
  <w:style w:type="paragraph" w:customStyle="1" w:styleId="Headerorfooter0">
    <w:name w:val="Header or footer"/>
    <w:basedOn w:val="Normal"/>
    <w:link w:val="Headerorfooter"/>
    <w:rPr>
      <w:rFonts w:ascii="Arial" w:eastAsia="Arial" w:hAnsi="Arial" w:cs="Arial"/>
      <w:sz w:val="22"/>
      <w:szCs w:val="22"/>
    </w:rPr>
  </w:style>
  <w:style w:type="paragraph" w:customStyle="1" w:styleId="Heading20">
    <w:name w:val="Heading #2"/>
    <w:basedOn w:val="Normal"/>
    <w:link w:val="Heading2"/>
    <w:pPr>
      <w:spacing w:after="440"/>
      <w:outlineLvl w:val="1"/>
    </w:pPr>
    <w:rPr>
      <w:rFonts w:ascii="Arial" w:eastAsia="Arial" w:hAnsi="Arial" w:cs="Arial"/>
      <w:sz w:val="22"/>
      <w:szCs w:val="22"/>
    </w:rPr>
  </w:style>
  <w:style w:type="paragraph" w:customStyle="1" w:styleId="Heading30">
    <w:name w:val="Heading #3"/>
    <w:basedOn w:val="Normal"/>
    <w:link w:val="Heading3"/>
    <w:pPr>
      <w:spacing w:after="170" w:line="262" w:lineRule="auto"/>
      <w:outlineLvl w:val="2"/>
    </w:pPr>
    <w:rPr>
      <w:rFonts w:ascii="Cambria" w:eastAsia="Cambria" w:hAnsi="Cambria" w:cs="Cambria"/>
      <w:b/>
      <w:bCs/>
      <w:sz w:val="22"/>
      <w:szCs w:val="22"/>
    </w:rPr>
  </w:style>
  <w:style w:type="paragraph" w:styleId="BodyText">
    <w:name w:val="Body Text"/>
    <w:basedOn w:val="Normal"/>
    <w:link w:val="BodyTextChar"/>
    <w:qFormat/>
    <w:pPr>
      <w:spacing w:line="259" w:lineRule="auto"/>
      <w:ind w:firstLine="400"/>
    </w:pPr>
    <w:rPr>
      <w:rFonts w:ascii="Cambria" w:eastAsia="Cambria" w:hAnsi="Cambria" w:cs="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Helena</dc:creator>
  <cp:keywords/>
  <cp:lastModifiedBy>Liana Brili</cp:lastModifiedBy>
  <cp:revision>2</cp:revision>
  <dcterms:created xsi:type="dcterms:W3CDTF">2023-01-30T12:45:00Z</dcterms:created>
  <dcterms:modified xsi:type="dcterms:W3CDTF">2023-01-30T12:49:00Z</dcterms:modified>
</cp:coreProperties>
</file>