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43EB" w14:textId="77777777" w:rsidR="00AA0AC6" w:rsidRDefault="00D75226">
      <w:pPr>
        <w:pStyle w:val="Heading10"/>
        <w:keepNext/>
        <w:keepLines/>
      </w:pPr>
      <w:bookmarkStart w:id="0" w:name="bookmark0"/>
      <w:r>
        <w:rPr>
          <w:rStyle w:val="Heading1"/>
        </w:rPr>
        <w:t>Projeto de propostas legislativas</w:t>
      </w:r>
      <w:bookmarkEnd w:id="0"/>
    </w:p>
    <w:p w14:paraId="08A98031" w14:textId="77777777" w:rsidR="00AA0AC6" w:rsidRDefault="00D75226">
      <w:pPr>
        <w:pStyle w:val="Heading20"/>
        <w:keepNext/>
        <w:keepLines/>
      </w:pPr>
      <w:bookmarkStart w:id="1" w:name="bookmark2"/>
      <w:r>
        <w:rPr>
          <w:rStyle w:val="Heading2"/>
        </w:rPr>
        <w:t>Os aditamentos e as alterações encontram-se em itálico.</w:t>
      </w:r>
      <w:bookmarkEnd w:id="1"/>
    </w:p>
    <w:p w14:paraId="69A787FA" w14:textId="77777777" w:rsidR="00AA0AC6" w:rsidRDefault="00D75226">
      <w:pPr>
        <w:pStyle w:val="Heading30"/>
        <w:keepNext/>
        <w:keepLines/>
        <w:spacing w:after="200" w:line="264" w:lineRule="auto"/>
      </w:pPr>
      <w:bookmarkStart w:id="2" w:name="bookmark4"/>
      <w:r>
        <w:rPr>
          <w:rStyle w:val="Heading3"/>
          <w:b/>
        </w:rPr>
        <w:t>Projeto de alteração da Lei n.º 14 de 9 de março de 1973 relativa à prevenção dos efeitos nocivos do tabaco</w:t>
      </w:r>
      <w:bookmarkEnd w:id="2"/>
    </w:p>
    <w:p w14:paraId="5B187A27" w14:textId="7E3EBB20" w:rsidR="00AA0AC6" w:rsidRDefault="001F37DB" w:rsidP="001F37DB">
      <w:pPr>
        <w:pStyle w:val="BodyText"/>
        <w:tabs>
          <w:tab w:val="left" w:pos="243"/>
        </w:tabs>
        <w:spacing w:after="120"/>
        <w:ind w:firstLine="0"/>
      </w:pPr>
      <w:r>
        <w:rPr>
          <w:rStyle w:val="BodyTextChar"/>
        </w:rPr>
        <w:t>Artigo 30.º Conceção e rotulagem normalizadas das embalagens e dos produtos</w:t>
      </w:r>
    </w:p>
    <w:p w14:paraId="55131F6E" w14:textId="77777777" w:rsidR="00AA0AC6" w:rsidRDefault="00D75226">
      <w:pPr>
        <w:pStyle w:val="BodyText"/>
        <w:ind w:firstLine="580"/>
      </w:pPr>
      <w:r>
        <w:rPr>
          <w:rStyle w:val="BodyTextChar"/>
        </w:rPr>
        <w:t>É proibido importar para a Noruega ou vender embalagens de tabaco e prod</w:t>
      </w:r>
      <w:r>
        <w:rPr>
          <w:rStyle w:val="BodyTextChar"/>
        </w:rPr>
        <w:t xml:space="preserve">utos do tabaco que não tenham um </w:t>
      </w:r>
      <w:r>
        <w:rPr>
          <w:rStyle w:val="BodyTextChar"/>
          <w:i/>
          <w:iCs/>
        </w:rPr>
        <w:t>design</w:t>
      </w:r>
      <w:r>
        <w:rPr>
          <w:rStyle w:val="BodyTextChar"/>
        </w:rPr>
        <w:t xml:space="preserve"> normalizado, em conformidade com as disposições pormenorizadas estabelecidas pelo Ministério nos regulamentos. </w:t>
      </w:r>
      <w:r>
        <w:rPr>
          <w:rStyle w:val="BodyTextChar"/>
          <w:i/>
        </w:rPr>
        <w:t>O mesmo se aplica aos cigarros eletrónicos e às recargas, independentemente do teor de nicotina.</w:t>
      </w:r>
      <w:r>
        <w:rPr>
          <w:rStyle w:val="BodyTextChar"/>
        </w:rPr>
        <w:t xml:space="preserve"> A normal</w:t>
      </w:r>
      <w:r>
        <w:rPr>
          <w:rStyle w:val="BodyTextChar"/>
        </w:rPr>
        <w:t>ização pode, nomeadamente, aplicar-se à cor, à forma, à aparência, ao material e à rotulagem, incluindo a utilização de marcas, logótipos e outros elementos ligados à marca.</w:t>
      </w:r>
    </w:p>
    <w:p w14:paraId="59A9A310" w14:textId="77777777" w:rsidR="00AA0AC6" w:rsidRDefault="00D75226" w:rsidP="00D75226">
      <w:pPr>
        <w:pStyle w:val="BodyText"/>
        <w:spacing w:after="360"/>
        <w:ind w:firstLine="578"/>
      </w:pPr>
      <w:r>
        <w:rPr>
          <w:rStyle w:val="BodyTextChar"/>
        </w:rPr>
        <w:t>O Ministério pode emitir regulamentos relativos a uma normalização semelhante da r</w:t>
      </w:r>
      <w:r>
        <w:rPr>
          <w:rStyle w:val="BodyTextChar"/>
        </w:rPr>
        <w:t>otulagem e da conceção das embalagens para os acessórios para fumar e os sucedâneos do tabaco, e conceder isenções para categorias específicas de produtos. O Ministério pode, nos termos da regulamentação, limitar o tipo de estabelecimentos retalhistas auto</w:t>
      </w:r>
      <w:r>
        <w:rPr>
          <w:rStyle w:val="BodyTextChar"/>
        </w:rPr>
        <w:t>rizados a vender produtos isentos da obrigação de normalização.</w:t>
      </w:r>
    </w:p>
    <w:p w14:paraId="5BE1906D" w14:textId="060A2BBD" w:rsidR="00AA0AC6" w:rsidRDefault="001F37DB" w:rsidP="001F37DB">
      <w:pPr>
        <w:pStyle w:val="BodyText"/>
        <w:tabs>
          <w:tab w:val="left" w:pos="243"/>
        </w:tabs>
        <w:spacing w:after="200"/>
        <w:ind w:firstLine="0"/>
      </w:pPr>
      <w:r>
        <w:rPr>
          <w:rStyle w:val="BodyTextChar"/>
        </w:rPr>
        <w:t>Artigo 30.º-A. Advertência de saúde e apresentação do produto</w:t>
      </w:r>
    </w:p>
    <w:p w14:paraId="776E89D9" w14:textId="652A9ACA" w:rsidR="00AA0AC6" w:rsidRDefault="00D75226">
      <w:pPr>
        <w:pStyle w:val="BodyText"/>
        <w:spacing w:after="200" w:line="240" w:lineRule="auto"/>
        <w:ind w:firstLine="500"/>
      </w:pPr>
      <w:r>
        <w:rPr>
          <w:rStyle w:val="BodyTextChar"/>
        </w:rPr>
        <w:t>É proibido importar para a Noruega ou vender produtos do tabaco, cigarros eletrónicos e recargas, bem como produtos à base de plan</w:t>
      </w:r>
      <w:r>
        <w:rPr>
          <w:rStyle w:val="BodyTextChar"/>
        </w:rPr>
        <w:t>tas para fumar, que não estejam rotulados com advertências de saúde.</w:t>
      </w:r>
    </w:p>
    <w:p w14:paraId="66AB4B62" w14:textId="77777777" w:rsidR="00AA0AC6" w:rsidRDefault="00D75226">
      <w:pPr>
        <w:pStyle w:val="BodyText"/>
        <w:spacing w:line="240" w:lineRule="auto"/>
        <w:ind w:firstLine="500"/>
      </w:pPr>
      <w:r>
        <w:rPr>
          <w:rStyle w:val="BodyTextChar"/>
        </w:rPr>
        <w:t>[É proibido importar para a Noruega ou vender produtos do tabaco, produtos à base de plantas para fumar, cigarros eletrónicos e recargas rotuladas com qualquer elemento ou característica,</w:t>
      </w:r>
      <w:r>
        <w:rPr>
          <w:rStyle w:val="BodyTextChar"/>
        </w:rPr>
        <w:t xml:space="preserve"> incluindo textos, nomes, marcas comerciais, símbolos, sinais figurativos ou outros, que:</w:t>
      </w:r>
    </w:p>
    <w:p w14:paraId="5477CAB0" w14:textId="77777777" w:rsidR="00AA0AC6" w:rsidRDefault="00D75226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promovam um produto do tabaco ou incentivam o seu consumo criando uma impressão errónea quanto às suas características, efeitos na saúde, riscos ou emissões;</w:t>
      </w:r>
    </w:p>
    <w:p w14:paraId="12A7A4D9" w14:textId="77777777" w:rsidR="00AA0AC6" w:rsidRDefault="00D75226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incluam </w:t>
      </w:r>
      <w:r>
        <w:rPr>
          <w:rStyle w:val="BodyTextChar"/>
        </w:rPr>
        <w:t>todas as informações sobre o teor de nicotina, alcatrão ou monóxido de carbono do produto do tabaco;</w:t>
      </w:r>
    </w:p>
    <w:p w14:paraId="446BC351" w14:textId="77777777" w:rsidR="00AA0AC6" w:rsidRDefault="00D75226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sugiram que um determinado produto é menos nocivo do que outros ou tem propriedades vitalizantes, energéticas, curativas, rejuvenescedoras, naturais e orgâ</w:t>
      </w:r>
      <w:r>
        <w:rPr>
          <w:rStyle w:val="BodyTextChar"/>
        </w:rPr>
        <w:t>nicas ou tem outros benefícios para a saúde ou o estilo de vida;</w:t>
      </w:r>
    </w:p>
    <w:p w14:paraId="7530D3E3" w14:textId="77777777" w:rsidR="00AA0AC6" w:rsidRDefault="00D75226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>se refiram ao sabor, odor, a qualquer aromatizante ou outros aditivos ou à sua ausência;</w:t>
      </w:r>
    </w:p>
    <w:p w14:paraId="6D3DA705" w14:textId="77777777" w:rsidR="00AA0AC6" w:rsidRDefault="00D75226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>se assemelhem a um alimento ou a um produto cosmético;</w:t>
      </w:r>
    </w:p>
    <w:p w14:paraId="713D58E2" w14:textId="77777777" w:rsidR="00AA0AC6" w:rsidRDefault="00D75226">
      <w:pPr>
        <w:pStyle w:val="BodyText"/>
        <w:numPr>
          <w:ilvl w:val="0"/>
          <w:numId w:val="2"/>
        </w:numPr>
        <w:tabs>
          <w:tab w:val="left" w:pos="732"/>
          <w:tab w:val="left" w:pos="735"/>
        </w:tabs>
        <w:spacing w:after="200"/>
        <w:ind w:firstLine="380"/>
      </w:pPr>
      <w:r>
        <w:rPr>
          <w:rStyle w:val="BodyTextChar"/>
        </w:rPr>
        <w:t>sugiram que um determinado produto do tabaco tem vantagens ambientais ou financeiras.</w:t>
      </w:r>
    </w:p>
    <w:p w14:paraId="5987CFDC" w14:textId="77777777" w:rsidR="00AA0AC6" w:rsidRDefault="00D75226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As disposições do primeiro parágrafo </w:t>
      </w:r>
      <w:r>
        <w:rPr>
          <w:rStyle w:val="BodyTextChar"/>
          <w:strike/>
        </w:rPr>
        <w:t>e s</w:t>
      </w:r>
      <w:r>
        <w:rPr>
          <w:rStyle w:val="BodyTextChar"/>
        </w:rPr>
        <w:t>e</w:t>
      </w:r>
      <w:r>
        <w:rPr>
          <w:rStyle w:val="BodyTextChar"/>
          <w:strike/>
        </w:rPr>
        <w:t>gundo</w:t>
      </w:r>
      <w:r>
        <w:rPr>
          <w:rStyle w:val="BodyTextChar"/>
        </w:rPr>
        <w:t xml:space="preserve"> não se aplicam aos cigarros eletrónicos descartáveis sem nicotina e recargas sem nicotina. A proibição de informação sobre </w:t>
      </w:r>
      <w:r>
        <w:rPr>
          <w:rStyle w:val="BodyTextChar"/>
        </w:rPr>
        <w:t xml:space="preserve">o teor de nicotina prevista no segundo parágrafo, alínea b) </w:t>
      </w:r>
      <w:r>
        <w:rPr>
          <w:rStyle w:val="BodyTextChar"/>
          <w:strike/>
        </w:rPr>
        <w:t>and tenha r</w:t>
      </w:r>
      <w:r>
        <w:rPr>
          <w:rStyle w:val="BodyTextChar"/>
        </w:rPr>
        <w:t>e</w:t>
      </w:r>
      <w:r>
        <w:rPr>
          <w:rStyle w:val="BodyTextChar"/>
          <w:strike/>
        </w:rPr>
        <w:t>f</w:t>
      </w:r>
      <w:r>
        <w:rPr>
          <w:rStyle w:val="BodyTextChar"/>
        </w:rPr>
        <w:t>e</w:t>
      </w:r>
      <w:r>
        <w:rPr>
          <w:rStyle w:val="BodyTextChar"/>
          <w:strike/>
        </w:rPr>
        <w:t>r</w:t>
      </w:r>
      <w:r>
        <w:rPr>
          <w:rStyle w:val="BodyTextChar"/>
        </w:rPr>
        <w:t>ê</w:t>
      </w:r>
      <w:r>
        <w:rPr>
          <w:rStyle w:val="BodyTextChar"/>
          <w:strike/>
        </w:rPr>
        <w:t>nc</w:t>
      </w:r>
      <w:r>
        <w:rPr>
          <w:rStyle w:val="BodyTextChar"/>
        </w:rPr>
        <w:t>ia</w:t>
      </w:r>
      <w:r>
        <w:rPr>
          <w:rStyle w:val="BodyTextChar"/>
          <w:strike/>
        </w:rPr>
        <w:t>aos aromas da alínea d)</w:t>
      </w:r>
      <w:r>
        <w:rPr>
          <w:rStyle w:val="BodyTextChar"/>
          <w:i/>
        </w:rPr>
        <w:t xml:space="preserve"> não</w:t>
      </w:r>
      <w:r>
        <w:rPr>
          <w:rStyle w:val="BodyTextChar"/>
        </w:rPr>
        <w:t xml:space="preserve"> se aplica aos cigarros eletrónicos e aos recipientes de recarga. O segundo parágrafo, alínea d) e f), não se aplica aos produtos à base de plantas d</w:t>
      </w:r>
      <w:r>
        <w:rPr>
          <w:rStyle w:val="BodyTextChar"/>
        </w:rPr>
        <w:t>estinados a fumar, mas não é permitido afirmar que o produto está isento de aditivos ou aromas.</w:t>
      </w:r>
    </w:p>
    <w:p w14:paraId="4A3E0B34" w14:textId="77777777" w:rsidR="00AA0AC6" w:rsidRDefault="00D75226">
      <w:pPr>
        <w:pStyle w:val="BodyText"/>
        <w:spacing w:after="200" w:line="240" w:lineRule="auto"/>
        <w:ind w:firstLine="500"/>
      </w:pPr>
      <w:r>
        <w:rPr>
          <w:rStyle w:val="BodyTextChar"/>
        </w:rPr>
        <w:lastRenderedPageBreak/>
        <w:t>O Ministério pode, nos regulamentos, estabelecer disposições suplementares para a aplicação dos requisitos previstos no primeiro e segundo parágrafos e conceder</w:t>
      </w:r>
      <w:r>
        <w:rPr>
          <w:rStyle w:val="BodyTextChar"/>
        </w:rPr>
        <w:t xml:space="preserve"> isenções.</w:t>
      </w:r>
    </w:p>
    <w:p w14:paraId="4940B364" w14:textId="77777777" w:rsidR="00AA0AC6" w:rsidRDefault="00D75226" w:rsidP="001F37DB">
      <w:pPr>
        <w:pStyle w:val="BodyText"/>
        <w:keepNext/>
        <w:spacing w:after="140"/>
        <w:ind w:firstLine="0"/>
      </w:pPr>
      <w:r>
        <w:rPr>
          <w:rStyle w:val="BodyTextChar"/>
        </w:rPr>
        <w:t>Novo artigo 32.º-A. Proibição de caracterizar aromas em cigarros eletrónicos, etc.</w:t>
      </w:r>
    </w:p>
    <w:p w14:paraId="522ED393" w14:textId="77777777" w:rsidR="00AA0AC6" w:rsidRDefault="00D75226">
      <w:pPr>
        <w:pStyle w:val="BodyText"/>
        <w:ind w:firstLine="580"/>
      </w:pPr>
      <w:r>
        <w:rPr>
          <w:rStyle w:val="BodyTextChar"/>
          <w:i/>
        </w:rPr>
        <w:t>É proibido importar ou vender na Noruega cigarros eletrónicos e recargas, independentemente do teor de nicotina, com aromas distintivos. O mesmo se aplica aos rec</w:t>
      </w:r>
      <w:r>
        <w:rPr>
          <w:rStyle w:val="BodyTextChar"/>
          <w:i/>
        </w:rPr>
        <w:t>ipientes separados de aditivos aromatizantes para utilização em cigarros eletrónicos.</w:t>
      </w:r>
    </w:p>
    <w:p w14:paraId="69779CD8" w14:textId="77777777" w:rsidR="00AA0AC6" w:rsidRDefault="00D75226">
      <w:pPr>
        <w:pStyle w:val="BodyText"/>
        <w:ind w:firstLine="580"/>
      </w:pPr>
      <w:r>
        <w:rPr>
          <w:rStyle w:val="BodyTextChar"/>
          <w:i/>
        </w:rPr>
        <w:t>A proibição prevista no primeiro parágrafo aplica-se igualmente aos equipamentos e componentes utilizados no âmbito de cigarros eletrónicos, o que permite alterar o sabor</w:t>
      </w:r>
      <w:r>
        <w:rPr>
          <w:rStyle w:val="BodyTextChar"/>
          <w:i/>
        </w:rPr>
        <w:t xml:space="preserve"> ou o cheiro dos produtos.</w:t>
      </w:r>
    </w:p>
    <w:p w14:paraId="2CC900A2" w14:textId="77777777" w:rsidR="00AA0AC6" w:rsidRDefault="00D75226">
      <w:pPr>
        <w:pStyle w:val="BodyText"/>
        <w:spacing w:after="420"/>
        <w:ind w:firstLine="580"/>
      </w:pPr>
      <w:r>
        <w:rPr>
          <w:rStyle w:val="BodyTextChar"/>
          <w:i/>
        </w:rPr>
        <w:t>O Ministério pode adotar disposições complementares relativas às proibições previstas no primeiro e segundo parágrafos, estabelecer isenções, fixar teores máximos de aditivos ou combinações de aditivos que conferem um aroma disti</w:t>
      </w:r>
      <w:r>
        <w:rPr>
          <w:rStyle w:val="BodyTextChar"/>
          <w:i/>
        </w:rPr>
        <w:t>ntivo e fixar taxas para cobrir o tratamento e a supervisão das proibições pelos governos. O Ministério pode igualmente adotar, nos regulamentos, uma lista dos aditivos que podem ser utilizados como ingredientes nos cigarros eletrónicos e nas recargas.</w:t>
      </w:r>
    </w:p>
    <w:p w14:paraId="362A0B7D" w14:textId="77777777" w:rsidR="00AA0AC6" w:rsidRDefault="00D75226">
      <w:pPr>
        <w:pStyle w:val="Heading30"/>
        <w:keepNext/>
        <w:keepLines/>
        <w:spacing w:after="140" w:line="259" w:lineRule="auto"/>
      </w:pPr>
      <w:bookmarkStart w:id="3" w:name="bookmark6"/>
      <w:r>
        <w:rPr>
          <w:rStyle w:val="Heading3"/>
          <w:b/>
        </w:rPr>
        <w:t>Pro</w:t>
      </w:r>
      <w:r>
        <w:rPr>
          <w:rStyle w:val="Heading3"/>
          <w:b/>
        </w:rPr>
        <w:t>jetos de alteração do Regulamento n.º 141, de 6 de fevereiro de 2003, relativo ao conteúdo, rotulagem e desenho dos produtos do tabaco, etc.</w:t>
      </w:r>
      <w:bookmarkEnd w:id="3"/>
    </w:p>
    <w:p w14:paraId="06077C93" w14:textId="2B6CC7A0" w:rsidR="00AA0AC6" w:rsidRDefault="001F37DB" w:rsidP="001F37DB">
      <w:pPr>
        <w:pStyle w:val="BodyText"/>
        <w:tabs>
          <w:tab w:val="left" w:pos="278"/>
        </w:tabs>
        <w:spacing w:after="140"/>
        <w:ind w:firstLine="0"/>
      </w:pPr>
      <w:r>
        <w:rPr>
          <w:rStyle w:val="BodyTextChar"/>
        </w:rPr>
        <w:t>Artigo 31.º Tamanho e peso mínimos dos produtos do tabaco</w:t>
      </w:r>
    </w:p>
    <w:p w14:paraId="6842D5C9" w14:textId="77777777" w:rsidR="00AA0AC6" w:rsidRDefault="00D75226">
      <w:pPr>
        <w:pStyle w:val="BodyText"/>
        <w:ind w:firstLine="580"/>
      </w:pPr>
      <w:r>
        <w:rPr>
          <w:rStyle w:val="BodyTextChar"/>
        </w:rPr>
        <w:t xml:space="preserve">Uma embalagem individual para venda aos consumidores que </w:t>
      </w:r>
      <w:r>
        <w:rPr>
          <w:rStyle w:val="BodyTextChar"/>
        </w:rPr>
        <w:t>contenha</w:t>
      </w:r>
    </w:p>
    <w:p w14:paraId="67107DAC" w14:textId="77777777" w:rsidR="00AA0AC6" w:rsidRDefault="00D75226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</w:rPr>
        <w:t>cigarros devem conter pelo menos 20 cigarros</w:t>
      </w:r>
    </w:p>
    <w:p w14:paraId="7EB220C6" w14:textId="77777777" w:rsidR="00AA0AC6" w:rsidRDefault="00D75226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</w:rPr>
        <w:t>o tabaco de enrolar deve conter pelo menos 30 gramas</w:t>
      </w:r>
    </w:p>
    <w:p w14:paraId="12A03E59" w14:textId="77777777" w:rsidR="00AA0AC6" w:rsidRDefault="00D75226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  <w:i/>
        </w:rPr>
        <w:t>as porções de tabaco para uso oral devem conter pelo menos 20 porções e 15 gramas</w:t>
      </w:r>
    </w:p>
    <w:p w14:paraId="28849DE5" w14:textId="77777777" w:rsidR="00AA0AC6" w:rsidRDefault="00D75226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  <w:i/>
        </w:rPr>
        <w:t>tabaco solto para snus oral pelo menos 30 gramas.</w:t>
      </w:r>
    </w:p>
    <w:p w14:paraId="02AA3190" w14:textId="77777777" w:rsidR="00AA0AC6" w:rsidRDefault="00D75226">
      <w:pPr>
        <w:pStyle w:val="BodyText"/>
        <w:ind w:firstLine="580"/>
      </w:pPr>
      <w:r>
        <w:rPr>
          <w:rStyle w:val="BodyTextChar"/>
        </w:rPr>
        <w:t xml:space="preserve">Estas embalagens </w:t>
      </w:r>
      <w:r>
        <w:rPr>
          <w:rStyle w:val="BodyTextChar"/>
        </w:rPr>
        <w:t>individuais não devem conter embalagens mais pequenas e não podem ser divisíveis em embalagens mais pequenas.</w:t>
      </w:r>
    </w:p>
    <w:p w14:paraId="563C0CD8" w14:textId="77777777" w:rsidR="00AA0AC6" w:rsidRDefault="00D75226">
      <w:pPr>
        <w:pStyle w:val="BodyText"/>
        <w:spacing w:after="80"/>
        <w:ind w:firstLine="580"/>
      </w:pPr>
      <w:r>
        <w:rPr>
          <w:rStyle w:val="BodyTextChar"/>
        </w:rPr>
        <w:t>Os charutos podem ser vendidos individualmente com advertências de saúde na embalagem.</w:t>
      </w:r>
    </w:p>
    <w:sectPr w:rsidR="00AA0AC6">
      <w:footerReference w:type="default" r:id="rId7"/>
      <w:pgSz w:w="11900" w:h="16840"/>
      <w:pgMar w:top="1599" w:right="1432" w:bottom="1855" w:left="1396" w:header="11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4F89" w14:textId="77777777" w:rsidR="002E616B" w:rsidRDefault="002E616B">
      <w:r>
        <w:separator/>
      </w:r>
    </w:p>
  </w:endnote>
  <w:endnote w:type="continuationSeparator" w:id="0">
    <w:p w14:paraId="43C0479E" w14:textId="77777777" w:rsidR="002E616B" w:rsidRDefault="002E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2050" w14:textId="77777777" w:rsidR="00AA0AC6" w:rsidRDefault="00D7522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88FE458" wp14:editId="5337D9B0">
              <wp:simplePos x="0" y="0"/>
              <wp:positionH relativeFrom="page">
                <wp:posOffset>3745865</wp:posOffset>
              </wp:positionH>
              <wp:positionV relativeFrom="page">
                <wp:posOffset>10006965</wp:posOffset>
              </wp:positionV>
              <wp:extent cx="3683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706FC" w14:textId="77777777" w:rsidR="00AA0AC6" w:rsidRDefault="00D75226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"/>
                            </w:rPr>
                            <w:t>#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FE45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95pt;margin-top:787.95pt;width:2.9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" filled="f" stroked="f">
              <v:textbox style="mso-fit-shape-to-text:t" inset="0,0,0,0">
                <w:txbxContent>
                  <w:p w14:paraId="20A706FC" w14:textId="77777777" w:rsidR="00AA0AC6" w:rsidRDefault="00D75226">
                    <w:pPr>
                      <w:pStyle w:val="Headerorfooter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"/>
                      </w:rPr>
                      <w:t>#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99E2" w14:textId="77777777" w:rsidR="002E616B" w:rsidRDefault="002E616B"/>
  </w:footnote>
  <w:footnote w:type="continuationSeparator" w:id="0">
    <w:p w14:paraId="7675EB7F" w14:textId="77777777" w:rsidR="002E616B" w:rsidRDefault="002E6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B29"/>
    <w:multiLevelType w:val="multilevel"/>
    <w:tmpl w:val="8A4602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D21F6"/>
    <w:multiLevelType w:val="multilevel"/>
    <w:tmpl w:val="3BBAA5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D7421"/>
    <w:multiLevelType w:val="multilevel"/>
    <w:tmpl w:val="BD6C5884"/>
    <w:lvl w:ilvl="0">
      <w:start w:val="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376501">
    <w:abstractNumId w:val="2"/>
  </w:num>
  <w:num w:numId="2" w16cid:durableId="1832718140">
    <w:abstractNumId w:val="1"/>
  </w:num>
  <w:num w:numId="3" w16cid:durableId="12229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C6"/>
    <w:rsid w:val="001F37DB"/>
    <w:rsid w:val="002E616B"/>
    <w:rsid w:val="00AA0AC6"/>
    <w:rsid w:val="00D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1CA"/>
  <w15:docId w15:val="{D0ABA9B6-12DE-4D0E-9488-FFC0253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PT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74B5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pacing w:after="260"/>
      <w:outlineLvl w:val="0"/>
    </w:pPr>
    <w:rPr>
      <w:rFonts w:ascii="Cambria" w:eastAsia="Cambria" w:hAnsi="Cambria" w:cs="Cambria"/>
      <w:color w:val="2E74B5"/>
      <w:sz w:val="32"/>
      <w:szCs w:val="32"/>
    </w:rPr>
  </w:style>
  <w:style w:type="paragraph" w:customStyle="1" w:styleId="Headerorfooter0">
    <w:name w:val="Header or footer"/>
    <w:basedOn w:val="Normal"/>
    <w:link w:val="Headerorfooter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170" w:line="262" w:lineRule="auto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Helena</dc:creator>
  <cp:keywords/>
  <cp:lastModifiedBy>Liana Brili</cp:lastModifiedBy>
  <cp:revision>3</cp:revision>
  <dcterms:created xsi:type="dcterms:W3CDTF">2023-01-30T12:45:00Z</dcterms:created>
  <dcterms:modified xsi:type="dcterms:W3CDTF">2023-02-20T15:52:00Z</dcterms:modified>
</cp:coreProperties>
</file>