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DRÉACHT DAR DÁTA 24 Aibreán 2023</w:t>
      </w:r>
    </w:p>
    <w:p w14:paraId="47AEB7CF" w14:textId="77777777" w:rsidR="00A61365" w:rsidRDefault="00A61365">
      <w:pPr>
        <w:rPr>
          <w:b/>
        </w:rPr>
      </w:pPr>
    </w:p>
    <w:p w14:paraId="6180DDA9" w14:textId="710E2BAE" w:rsidR="00812A71" w:rsidRDefault="00DE2DBE">
      <w:r>
        <w:rPr>
          <w:b/>
        </w:rPr>
        <w:t>Foraithne an. lena leasaítear an Fhoraithne maidir le Tinte Ealaíne i ndáil le cur chun feidhme Chinneadh Benelux maidir le pireaphas a thabhairt isteach agus leasuithe eile</w:t>
      </w:r>
    </w:p>
    <w:p w14:paraId="72D47658" w14:textId="77777777" w:rsidR="004550E6" w:rsidRDefault="004550E6"/>
    <w:p w14:paraId="27C48DC3" w14:textId="1F17E5B8" w:rsidR="00812A71" w:rsidRDefault="00DE2DBE">
      <w:r>
        <w:t> </w:t>
      </w:r>
    </w:p>
    <w:p w14:paraId="29AE9671" w14:textId="77777777" w:rsidR="001B02F2" w:rsidRDefault="00DE2DBE">
      <w:r>
        <w:t>Ar mholadh ón Státrúnaí Bonneagair agus Bainistithe Uisce, Uimh. Ien/BSK, an Lár-Roinn Riaracháin agus Gnóthaí Dlíthiúla;</w:t>
      </w:r>
    </w:p>
    <w:p w14:paraId="35B52BA7" w14:textId="77777777" w:rsidR="001B02F2" w:rsidRDefault="00DE2DBE">
      <w:r>
        <w:t>Ag féachaint d’Airteagal 9.2.2.1(1) agus (2) agus d’Airteagal 9.5.8(3), (4) agus (6) den Acht um Bainistiú Comhshaoil;</w:t>
      </w:r>
    </w:p>
    <w:p w14:paraId="0BFE77BB" w14:textId="59C115BB" w:rsidR="001B02F2" w:rsidRDefault="00DE2DBE">
      <w:r>
        <w:t>Tar éis tuairim chomhairleach na Comhairle Stáit (tuairim</w:t>
      </w:r>
      <w:r w:rsidR="00483CA8">
        <w:rPr>
          <w:lang w:val="en-US"/>
        </w:rPr>
        <w:t xml:space="preserve">            </w:t>
      </w:r>
      <w:r>
        <w:t>, Uimh.) a éisteacht;</w:t>
      </w:r>
    </w:p>
    <w:p w14:paraId="6870CA70" w14:textId="3C44008C" w:rsidR="00812A71" w:rsidRDefault="00DE2DBE">
      <w:r>
        <w:t>I bhfianaise na tuarascála mionsonraithe ón Státrúnaí Bonneagair agus Bainistíochta Uisce, Uimh. IenW/BSK-, Lár-Roinn Riaracháin agus Gnóthaí Dlíthiúla;</w:t>
      </w:r>
    </w:p>
    <w:p w14:paraId="4A13238C" w14:textId="77777777" w:rsidR="00812A71" w:rsidRDefault="00DE2DBE">
      <w:r>
        <w:t> </w:t>
      </w:r>
    </w:p>
    <w:p w14:paraId="5B478B2C" w14:textId="77777777" w:rsidR="00812A71" w:rsidRDefault="00DE2DBE">
      <w:r>
        <w:t>Tar éis an méid seo a leanas a fhormheas agus foraithne a thabhairt leis seo:</w:t>
      </w:r>
    </w:p>
    <w:p w14:paraId="62B3049A" w14:textId="77777777" w:rsidR="00812A71" w:rsidRDefault="00DE2DBE">
      <w:r>
        <w:t> </w:t>
      </w:r>
    </w:p>
    <w:p w14:paraId="08C47E30" w14:textId="147069F8" w:rsidR="00812A71" w:rsidRDefault="006F7252">
      <w:pPr>
        <w:rPr>
          <w:b/>
          <w:bCs/>
        </w:rPr>
      </w:pPr>
      <w:bookmarkStart w:id="0" w:name="_Hlk124949658"/>
      <w:r>
        <w:rPr>
          <w:b/>
        </w:rPr>
        <w:t>AIRTEAGAL I</w:t>
      </w:r>
    </w:p>
    <w:p w14:paraId="379E0185" w14:textId="43AD2E86" w:rsidR="006F7252" w:rsidRDefault="006F7252">
      <w:pPr>
        <w:rPr>
          <w:b/>
          <w:bCs/>
        </w:rPr>
      </w:pPr>
    </w:p>
    <w:p w14:paraId="65DE9109" w14:textId="514A9AD2" w:rsidR="006F7252" w:rsidRPr="006F7252" w:rsidRDefault="006F7252">
      <w:r>
        <w:t>Leasaítear an Fhoraithne maidir le Tinte Ealaíne [Vuurwerkbesluit] mar a leanas:</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In ord aibítre Airteagal 1.1.1(1), cuirtear isteach na sainmhínithe seo a leanas:</w:t>
      </w:r>
    </w:p>
    <w:p w14:paraId="0714850A" w14:textId="6A9B9B8B" w:rsidR="00A00841" w:rsidRPr="00DF3AEC" w:rsidRDefault="00A00841" w:rsidP="00864C9A">
      <w:r>
        <w:t>Pireaphas: doiciméad cigireachta arna eisiúint ag an údarás inniúil sa Bheilg, i Lucsamburg nó san Ísiltír agus lena gceadaítear don sealbhóir a léiriú go bhféadfar earraí piriteicniúla de chatagóir F3 agus F4, earraí piriteicniúla d’úsáid ag an amharclann de chatagóir T2 agus earraí piriteicniúla eile de chatagóir P2 a chur ar fáil dóibh;</w:t>
      </w:r>
    </w:p>
    <w:p w14:paraId="02589494" w14:textId="44710ED4" w:rsidR="006722D9" w:rsidRPr="00DF3AEC" w:rsidRDefault="006722D9" w:rsidP="00864C9A">
      <w:r>
        <w:t>Clár Pireaphas: clár dá dtagraítear in Airteagal 9.5.8(1) den Ghníomh um Bainistíocht Comhshaoil;</w:t>
      </w:r>
    </w:p>
    <w:p w14:paraId="5F9CB859" w14:textId="063BB3E5" w:rsidR="001D30A8" w:rsidRPr="00DF3AEC" w:rsidRDefault="00031518" w:rsidP="00317EB5">
      <w:r>
        <w:t xml:space="preserve">duine freagrach: duine ag a bhfuil eolas speisialaithe, próiseálaí tinte ealaíne nó oibreoir tinte ealaíne atá ainmnithe ag </w:t>
      </w:r>
      <w:bookmarkStart w:id="1" w:name="_Hlk130044621"/>
      <w:r>
        <w:t xml:space="preserve">duine dlítheanach ag a bhfuil an ceart chun earraí piriteicniúla a úsáid, a stóráil nó a chur ar fáil ar an margadh, </w:t>
      </w:r>
      <w:bookmarkEnd w:id="1"/>
      <w:r>
        <w:t>nó chun earraí piriteicniúla a láimhseáil nó a úsáid thar ceann an duine dhlítheanaigh sin;</w:t>
      </w:r>
    </w:p>
    <w:p w14:paraId="317A0783" w14:textId="73E49B15" w:rsidR="001D30A8" w:rsidRPr="00DF3AEC" w:rsidRDefault="001D30A8" w:rsidP="00317EB5">
      <w:r>
        <w:t xml:space="preserve">Próiseálaí Tinte Ealaíne: duine </w:t>
      </w:r>
      <w:bookmarkStart w:id="2" w:name="_Hlk124078821"/>
      <w:r>
        <w:t>cláraithe i gClár na bpróiseálaithe tinte ealaíne dá dtagraítear in Airteagal 4.9(2) d’Fhoraithne maidir le Dálaí Oibre</w:t>
      </w:r>
      <w:bookmarkEnd w:id="2"/>
      <w:r>
        <w:t>;</w:t>
      </w:r>
    </w:p>
    <w:p w14:paraId="710EEB49" w14:textId="241E6D0A" w:rsidR="00031518" w:rsidRDefault="001D30A8" w:rsidP="00317EB5">
      <w:r>
        <w:t xml:space="preserve">Oibreoir tinte ealaíne: duine atá cláraithe i gClár na n-oibreoirí tinte ealaíne dá dtagraítear in Airteagal 4.9(1) den Fhoraithne maidir le Dálaí Oibre. </w:t>
      </w:r>
    </w:p>
    <w:p w14:paraId="6785AB54" w14:textId="5BBC2F4A" w:rsidR="00864C9A" w:rsidRDefault="00864C9A" w:rsidP="00864C9A"/>
    <w:p w14:paraId="5D6EFE7A" w14:textId="416A9532" w:rsidR="003F0C01" w:rsidRDefault="003F0C01" w:rsidP="00864C9A">
      <w:r>
        <w:t>B</w:t>
      </w:r>
    </w:p>
    <w:p w14:paraId="30EA7B1A" w14:textId="2E81696A" w:rsidR="00400AC3" w:rsidRDefault="00400AC3" w:rsidP="00864C9A"/>
    <w:p w14:paraId="67F69213" w14:textId="0D7C0B08" w:rsidR="003F0C01" w:rsidRDefault="00603A66" w:rsidP="00864C9A">
      <w:r>
        <w:t>Cuirtear mír le hAirteagal 1.1.3 leis an téacs seo a leanas:</w:t>
      </w:r>
    </w:p>
    <w:p w14:paraId="6207D1B7" w14:textId="2B1CFD2E" w:rsidR="00603A66" w:rsidRDefault="00603A66" w:rsidP="00864C9A">
      <w:r>
        <w:t>3. Tá feidhm ag Caibidil 4 freisin maidir le hearraí piriteicniúla de chatagóir P2.</w:t>
      </w:r>
    </w:p>
    <w:p w14:paraId="206638C4" w14:textId="77777777" w:rsidR="00603A66" w:rsidRDefault="00603A66" w:rsidP="00864C9A"/>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In Airteagal 1.2.5(2), cuirfear ‘nóta coinsíneachta dá dtagraítear in Airteagal 2.13 den Ghníomh Lasta Bóthair’ in ionad ‘deimhniú clárúcháin nó nóta coinsíneachta dá dtagraítear in Airteagail 20 agus 29 den Ghníomh Lasta Bóthair’.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Cuirtear mír le hAirteagal 3B.1, an léamh seo a leanas:</w:t>
      </w:r>
    </w:p>
    <w:p w14:paraId="649EF529" w14:textId="77777777" w:rsidR="002B6FA7" w:rsidRDefault="002B6FA7" w:rsidP="002B6FA7">
      <w:r>
        <w:t xml:space="preserve">7. Beidh an cead iarratais bailí ar feadh cúig bliana.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Cuirtear mír le hAirteagal 3B.6, an léamh seo a leanas:</w:t>
      </w:r>
    </w:p>
    <w:p w14:paraId="1CDB343A" w14:textId="0F48CA81" w:rsidR="00895E5E" w:rsidRDefault="0054451D" w:rsidP="00864C9A">
      <w:r>
        <w:t>6. Cuirfear leasú ar na sonraí dá dtagraítear i mír 1(a) in iúl láithreach d’ár Aire.</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I ndiaidh Chaibidil 3B, cuirtear caibidil isteach mar a leanas:</w:t>
      </w:r>
    </w:p>
    <w:p w14:paraId="4CEFE234" w14:textId="29C5BC09" w:rsidR="000F702A" w:rsidRDefault="000F702A" w:rsidP="00864C9A"/>
    <w:p w14:paraId="21CB6243" w14:textId="17276665" w:rsidR="000F702A" w:rsidRPr="002304E9" w:rsidRDefault="004B4934">
      <w:pPr>
        <w:rPr>
          <w:b/>
          <w:bCs/>
        </w:rPr>
      </w:pPr>
      <w:r>
        <w:rPr>
          <w:b/>
        </w:rPr>
        <w:t>Caibidil 4. An pireaphas</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Airteagal 4.1</w:t>
      </w:r>
    </w:p>
    <w:p w14:paraId="57E5750B" w14:textId="28D6C40F" w:rsidR="004B4934" w:rsidRPr="009A55B4" w:rsidRDefault="003F1E3A" w:rsidP="004B4934">
      <w:pPr>
        <w:pStyle w:val="ListParagraph"/>
        <w:numPr>
          <w:ilvl w:val="0"/>
          <w:numId w:val="26"/>
        </w:numPr>
      </w:pPr>
      <w:r>
        <w:t>Ní fhéadfaidh oibreoirí tinte ealaíne gairmiúla, earraí piriteicniúla amharclannaíochta agus earraí piriteicniúla de chatagóir P2 a chur ar fáil ar an margadh ach amháin do dhaoine a bhfuil saineolas acu, ar dhoiciméad rialaithe agus doiciméad aitheantais a thíolacadh.</w:t>
      </w:r>
    </w:p>
    <w:p w14:paraId="7E9230A5" w14:textId="530D3733" w:rsidR="00AB2AC7" w:rsidRPr="009A55B4" w:rsidRDefault="00AB2AC7" w:rsidP="004B4934">
      <w:pPr>
        <w:pStyle w:val="ListParagraph"/>
        <w:numPr>
          <w:ilvl w:val="0"/>
          <w:numId w:val="26"/>
        </w:numPr>
      </w:pPr>
      <w:r>
        <w:t xml:space="preserve">Ina theannta sin, i gcás ina ngníomhaíonn duine nádúrtha thar ceann duine dlítheanach atá i dteideal earraí piriteicniúla a chur i bhfeidhm, a stóráil nó a chur ar fáil ar an margadh, ní fhéadfar na hearraí piriteicniúla lena mbaineann a sholáthar ach amháin ar thíolacadh dhoiciméad rialaithe agus dhoiciméad aitheantais an duine arna ainmniú ag an duine dlítheanach sin. </w:t>
      </w:r>
    </w:p>
    <w:p w14:paraId="31B600EA" w14:textId="7B16AA02" w:rsidR="00C532E8" w:rsidRDefault="008E1C92" w:rsidP="004B4934">
      <w:pPr>
        <w:pStyle w:val="ListParagraph"/>
        <w:numPr>
          <w:ilvl w:val="0"/>
          <w:numId w:val="26"/>
        </w:numPr>
      </w:pPr>
      <w:r>
        <w:t xml:space="preserve">Do dhaoine a bhfuil saineolas acu nó daoine freagracha atá ainmnithe amhlaidh faoin dlí sa Bheilg, i Lucsamburg nó san Ísiltír, cé is moite de dhaoine a bhfuil saineolas acu dá dtagraítear in Airteagal 1.1.2a(1)(c) go (f), is é an doiciméad rialaithe dá dtagraítear i mír 1 a bheidh sa phireaphas. </w:t>
      </w:r>
    </w:p>
    <w:p w14:paraId="6F2C5157" w14:textId="1E4A15D5" w:rsidR="00C532E8" w:rsidRDefault="00C532E8" w:rsidP="004B4934">
      <w:pPr>
        <w:pStyle w:val="ListParagraph"/>
        <w:numPr>
          <w:ilvl w:val="0"/>
          <w:numId w:val="26"/>
        </w:numPr>
      </w:pPr>
      <w:r>
        <w:t xml:space="preserve">Measfar sealbhóirí píreasa pas atá údaraithe le haghaidh tinte ealaíne de chatagóir F3 nó F4 a bheith údaraithe le haghaidh tinte ealaíne de chatagóir F2 nach bhfuil ainmnithe le haghaidh úsáid phríobháideach. </w:t>
      </w:r>
    </w:p>
    <w:p w14:paraId="3BA1F50D" w14:textId="3F881A76" w:rsidR="000850FB" w:rsidRPr="009A55B4" w:rsidRDefault="00C532E8" w:rsidP="004B4934">
      <w:pPr>
        <w:pStyle w:val="ListParagraph"/>
        <w:numPr>
          <w:ilvl w:val="0"/>
          <w:numId w:val="26"/>
        </w:numPr>
      </w:pPr>
      <w:r>
        <w:t xml:space="preserve">Measfar freisin sealbhóirí pireaphas atá údaraithe d’earraí piriteicniúla d’úsáid earraí piriteicniúla de chatagóir T2 a bheith údaraithe le haghaidh earraí piriteicniúla de chatagóir T1. </w:t>
      </w:r>
    </w:p>
    <w:p w14:paraId="790DA6F6" w14:textId="07CEEADF" w:rsidR="008E1C92" w:rsidRPr="009A55B4" w:rsidRDefault="00C41727" w:rsidP="004B4934">
      <w:pPr>
        <w:pStyle w:val="ListParagraph"/>
        <w:numPr>
          <w:ilvl w:val="0"/>
          <w:numId w:val="26"/>
        </w:numPr>
      </w:pPr>
      <w:r>
        <w:t>Agus an pireaphas á sheiceáil acu, rachaidh oibreoirí eacnamaíocha i gcomhairle le clár an phireaphas freisin chun bailíocht an phireaphas a fhíorú.</w:t>
      </w:r>
    </w:p>
    <w:p w14:paraId="5A80755F" w14:textId="37B504C7" w:rsidR="00BB309A" w:rsidRPr="009A55B4" w:rsidRDefault="00BB309A" w:rsidP="004B4934">
      <w:pPr>
        <w:pStyle w:val="ListParagraph"/>
        <w:numPr>
          <w:ilvl w:val="0"/>
          <w:numId w:val="26"/>
        </w:numPr>
      </w:pPr>
      <w:r>
        <w:t xml:space="preserve">I gcás daoine a bhfuil saineolas acu agus nár ainmníodh mar dhaoine den sórt sin sa Bheilg, i Lucsamburg nó san Ísiltír, is é a bheidh sa doiciméad rialaithe cruthúnas i scríbhinn ar an údarú a fuair duine i mBallstát den Aontas Eorpach nach cuid de Benelux é dá dtagraítear in Airteagal 1.1.2a(2). </w:t>
      </w:r>
    </w:p>
    <w:p w14:paraId="401495BD" w14:textId="09A5EDDF" w:rsidR="00F57FFC" w:rsidRDefault="003A36BF" w:rsidP="004B4934">
      <w:pPr>
        <w:pStyle w:val="ListParagraph"/>
        <w:numPr>
          <w:ilvl w:val="0"/>
          <w:numId w:val="26"/>
        </w:numPr>
      </w:pPr>
      <w:r>
        <w:t xml:space="preserve">Coinneoidh oibreoirí margaidh </w:t>
      </w:r>
      <w:r>
        <w:rPr>
          <w:color w:val="auto"/>
        </w:rPr>
        <w:t>a sholáthraíonn tinte ealaíne dá dtagraítear sa chéad mhír</w:t>
      </w:r>
      <w:r>
        <w:t xml:space="preserve"> agus sa chéad mhír cóip den doiciméad rialaithe sna taifid, mar aon leis an sonrasc ábhartha agus an doiciméad iompair lena mbaineann, mar a cheanglaítear le hIarscríbhinn 1 den Rialachán maidir le substaintí contúirteacha </w:t>
      </w:r>
      <w:r>
        <w:lastRenderedPageBreak/>
        <w:t xml:space="preserve">a iompar de thalamh, arb ionann é agus aistriúchán Ollainnise ar Iarscríbhinní A agus B de ADR agus na hiarscríbhinní a ghabhann leis, ar feadh seacht mbliana </w:t>
      </w:r>
    </w:p>
    <w:bookmarkEnd w:id="3"/>
    <w:p w14:paraId="77CCAB3D" w14:textId="6C5EE37D" w:rsidR="000D187A" w:rsidRPr="00F57FFC" w:rsidRDefault="000D187A" w:rsidP="000D187A"/>
    <w:p w14:paraId="0F4A2607" w14:textId="6E2FEC3B" w:rsidR="007542A2" w:rsidRDefault="007542A2" w:rsidP="000D187A">
      <w:pPr>
        <w:rPr>
          <w:b/>
          <w:bCs/>
        </w:rPr>
      </w:pPr>
      <w:r>
        <w:rPr>
          <w:b/>
        </w:rPr>
        <w:t>Airteagal 4.2</w:t>
      </w:r>
    </w:p>
    <w:p w14:paraId="6C9263C0" w14:textId="2F392ECE" w:rsidR="00E32087" w:rsidRDefault="002F342A" w:rsidP="00C03B50">
      <w:pPr>
        <w:pStyle w:val="ListParagraph"/>
        <w:numPr>
          <w:ilvl w:val="0"/>
          <w:numId w:val="28"/>
        </w:numPr>
      </w:pPr>
      <w:r>
        <w:t>Tá na daoine nádúrtha seo a leanas incháilithe le haghaidh pireaphas:</w:t>
      </w:r>
    </w:p>
    <w:p w14:paraId="7E1D1169" w14:textId="0C382BF9" w:rsidR="002E68CD" w:rsidRPr="00DF3AEC" w:rsidRDefault="002E68CD" w:rsidP="00B35E9F">
      <w:pPr>
        <w:pStyle w:val="ListParagraph"/>
        <w:numPr>
          <w:ilvl w:val="1"/>
          <w:numId w:val="28"/>
        </w:numPr>
      </w:pPr>
      <w:r>
        <w:t>duine ag a bhfuil eolas speisialaithe dá dtagraítear in Airteagal 1.1.2a(1)(a), ar próiseálaí tinte ealaíne é freisin;</w:t>
      </w:r>
    </w:p>
    <w:p w14:paraId="6D94DC98" w14:textId="09CB35A6" w:rsidR="002E68CD" w:rsidRPr="00DF3AEC" w:rsidRDefault="002E68CD" w:rsidP="002E68CD">
      <w:pPr>
        <w:pStyle w:val="ListParagraph"/>
        <w:numPr>
          <w:ilvl w:val="1"/>
          <w:numId w:val="28"/>
        </w:numPr>
      </w:pPr>
      <w:r>
        <w:t>duine ag a bhfuil eolas speisialaithe dá dtagraítear in Airteagal 1.1.2a(1)(b), ar oibreoir tinte ealaíne é freisin;</w:t>
      </w:r>
    </w:p>
    <w:p w14:paraId="53D5CF3C" w14:textId="24BCD38A" w:rsidR="00BC356D" w:rsidRPr="00DF3AEC" w:rsidRDefault="00B35E9F" w:rsidP="002E68CD">
      <w:pPr>
        <w:pStyle w:val="ListParagraph"/>
        <w:numPr>
          <w:ilvl w:val="1"/>
          <w:numId w:val="28"/>
        </w:numPr>
      </w:pPr>
      <w:r>
        <w:t xml:space="preserve">duine freagrach; </w:t>
      </w:r>
    </w:p>
    <w:p w14:paraId="56DE35FC" w14:textId="1FE5C43F" w:rsidR="006A7277" w:rsidRPr="00DF3AEC" w:rsidRDefault="0076622F" w:rsidP="002E68CD">
      <w:pPr>
        <w:pStyle w:val="ListParagraph"/>
        <w:numPr>
          <w:ilvl w:val="1"/>
          <w:numId w:val="28"/>
        </w:numPr>
      </w:pPr>
      <w:r>
        <w:t xml:space="preserve">duine a bhfuil saineolas aige ar earraí piriteicniúla de chatagóir P2. </w:t>
      </w:r>
    </w:p>
    <w:p w14:paraId="6C382F70" w14:textId="2769EB19" w:rsidR="0007311B" w:rsidRPr="00DF3AEC" w:rsidRDefault="0007311B" w:rsidP="002D1271">
      <w:pPr>
        <w:pStyle w:val="ListParagraph"/>
        <w:numPr>
          <w:ilvl w:val="0"/>
          <w:numId w:val="28"/>
        </w:numPr>
      </w:pPr>
      <w:r>
        <w:t xml:space="preserve">Déanfaidh sealbhóir ceada iarratais, mar aon leis an duine atá freagrach, an t-iarratas ar phireaphas s do dhuine freagrach a chur faoi bhráid ár Aire. </w:t>
      </w:r>
    </w:p>
    <w:p w14:paraId="4BDACCD8" w14:textId="6400775F" w:rsidR="00BA12A9" w:rsidRPr="00734FD2" w:rsidRDefault="00C57360" w:rsidP="00D73B55">
      <w:pPr>
        <w:pStyle w:val="ListParagraph"/>
        <w:numPr>
          <w:ilvl w:val="0"/>
          <w:numId w:val="28"/>
        </w:numPr>
      </w:pPr>
      <w:r>
        <w:t xml:space="preserve">An tsamhail don phireaphas, na ceanglais don chur i bhfeidhm agus don nós imeachta iarratais, mar a bhunaítear le hordú aireachta. , i bhfeidhm. </w:t>
      </w:r>
    </w:p>
    <w:p w14:paraId="702AC5EF" w14:textId="77777777" w:rsidR="004F1E43" w:rsidRDefault="00C15C66" w:rsidP="00C03B50">
      <w:pPr>
        <w:pStyle w:val="ListParagraph"/>
        <w:numPr>
          <w:ilvl w:val="0"/>
          <w:numId w:val="28"/>
        </w:numPr>
      </w:pPr>
      <w:r>
        <w:t xml:space="preserve">Téann pireaphas na bpróiseálaithe agus na n-oibreoirí obair dóiteáin in éag nuair a éagann a gclárú i gClár na bpróiseálaithe tinte ealaíne nó i gClár na n-oibreoirí tinte ealaíne. </w:t>
      </w:r>
    </w:p>
    <w:p w14:paraId="2A5184CC" w14:textId="0ED72ECA" w:rsidR="0076622F" w:rsidRPr="00734FD2" w:rsidRDefault="009632C8" w:rsidP="00C03B50">
      <w:pPr>
        <w:pStyle w:val="ListParagraph"/>
        <w:numPr>
          <w:ilvl w:val="0"/>
          <w:numId w:val="28"/>
        </w:numPr>
      </w:pPr>
      <w:r>
        <w:t>Is í an tréimhse bailíochta a bheidh ag an bpireaphas ná an tréimhse bhailíochta clárúcháin mar phróiseálaí tinte ealaíne nó mar phróiseálaí tinte ealaíne, ach amháin má tá tréimhse bhailíochta níos giorra ag cead comhshaoil dá dtagraítear in Airteagal 1.1.2a(1)(a) nó ag an gcead iarratais.</w:t>
      </w:r>
    </w:p>
    <w:p w14:paraId="0DE9BD15" w14:textId="7E5A88AF" w:rsidR="00C03B50" w:rsidRDefault="00866364" w:rsidP="008709B6">
      <w:pPr>
        <w:pStyle w:val="ListParagraph"/>
        <w:numPr>
          <w:ilvl w:val="0"/>
          <w:numId w:val="28"/>
        </w:numPr>
      </w:pPr>
      <w:r>
        <w:t xml:space="preserve">Déanfaidh ár Aire an pireaphas a tharraingt siar má tá an duine ar eisíodh an pireaphas dó: </w:t>
      </w:r>
    </w:p>
    <w:p w14:paraId="2ED244AD" w14:textId="215639E0" w:rsidR="00C03B50" w:rsidRDefault="00C03B50" w:rsidP="006D6DD1">
      <w:pPr>
        <w:pStyle w:val="ListParagraph"/>
        <w:numPr>
          <w:ilvl w:val="1"/>
          <w:numId w:val="28"/>
        </w:numPr>
      </w:pPr>
      <w:r>
        <w:t xml:space="preserve">nach gcomhlíonann sé a thuilleadh na ceanglais do dhuine a bhfuil saineolas aige, dá dtagraítear in Airteagal 1.1.2a, nó nach bhfuil ainmnithe a thuilleadh ag duine a bhfuil saineolas aige chun tinte ealaíne a láimhseáil nó a úsáid thar ceann an duine sin; </w:t>
      </w:r>
    </w:p>
    <w:p w14:paraId="26A5E645" w14:textId="7F810F0C" w:rsidR="00C03B50" w:rsidRDefault="00C03B50" w:rsidP="006D6DD1">
      <w:pPr>
        <w:pStyle w:val="ListParagraph"/>
        <w:numPr>
          <w:ilvl w:val="1"/>
          <w:numId w:val="28"/>
        </w:numPr>
      </w:pPr>
      <w:r>
        <w:t>tá mí-úsáid an phireaphas.</w:t>
      </w:r>
    </w:p>
    <w:p w14:paraId="7A9A9F1A" w14:textId="622A6EF4" w:rsidR="00C03B50" w:rsidRDefault="00C03B50" w:rsidP="00C03B50">
      <w:pPr>
        <w:pStyle w:val="ListParagraph"/>
        <w:numPr>
          <w:ilvl w:val="0"/>
          <w:numId w:val="28"/>
        </w:numPr>
      </w:pPr>
      <w:r>
        <w:t>Áireofar an méid seo a leanas i mí-úsáid dá dtagraítear i mír 6(b):</w:t>
      </w:r>
    </w:p>
    <w:p w14:paraId="09E47B8D" w14:textId="1241E2ED" w:rsidR="00C03B50" w:rsidRDefault="00C03B50" w:rsidP="00C03B50">
      <w:pPr>
        <w:pStyle w:val="ListParagraph"/>
        <w:numPr>
          <w:ilvl w:val="1"/>
          <w:numId w:val="28"/>
        </w:numPr>
      </w:pPr>
      <w:r>
        <w:t>tinte ealaíne de chatagóir F3 agus F4, earraí piriteicniúla amharclannaíochta de chatagóir T2 agus earraí piriteicniúla eile de chatagóir P2 a chur ar fáil ar an margadh do dhuine seachas duine a bhfuil saineolas aige;</w:t>
      </w:r>
    </w:p>
    <w:p w14:paraId="51CEFB2A" w14:textId="12860C5F" w:rsidR="00C03B50" w:rsidRDefault="00C03B50" w:rsidP="00450E58">
      <w:pPr>
        <w:pStyle w:val="ListParagraph"/>
        <w:numPr>
          <w:ilvl w:val="1"/>
          <w:numId w:val="28"/>
        </w:numPr>
      </w:pPr>
      <w:r>
        <w:t>stóráil iad seo i suíomh neamhcheadúnaithe.</w:t>
      </w:r>
    </w:p>
    <w:p w14:paraId="3B9564DD" w14:textId="17356908" w:rsidR="00C41727" w:rsidRPr="00C41727" w:rsidRDefault="00C41727" w:rsidP="009A55B4">
      <w:pPr>
        <w:pStyle w:val="ListParagraph"/>
        <w:numPr>
          <w:ilvl w:val="0"/>
          <w:numId w:val="28"/>
        </w:numPr>
      </w:pPr>
      <w:r>
        <w:t>Cuirfidh ár n-Aire in iúl sa chlár má tharraingítear siar an pireaphas nó má tá sé imithe in éag.</w:t>
      </w:r>
    </w:p>
    <w:p w14:paraId="7E2D75FF" w14:textId="77777777" w:rsidR="00BA12A9" w:rsidRPr="00C41727" w:rsidRDefault="00BA12A9" w:rsidP="000D187A"/>
    <w:p w14:paraId="7D32A34D" w14:textId="71E8F1B3" w:rsidR="00F90681" w:rsidRPr="009A55B4" w:rsidRDefault="00F90681" w:rsidP="000D187A">
      <w:pPr>
        <w:rPr>
          <w:b/>
          <w:bCs/>
        </w:rPr>
      </w:pPr>
      <w:r>
        <w:rPr>
          <w:b/>
        </w:rPr>
        <w:t>Airteagal 4.3</w:t>
      </w:r>
    </w:p>
    <w:p w14:paraId="108D4D5A" w14:textId="5BC28F8A" w:rsidR="00F90681" w:rsidRPr="009A55B4" w:rsidRDefault="00F90681" w:rsidP="000D187A">
      <w:r>
        <w:t>Iontrálfar na sonraí agus na doiciméid seo a leanas sa chlár pireaphas:</w:t>
      </w:r>
    </w:p>
    <w:p w14:paraId="5209896F" w14:textId="08B555D1" w:rsidR="00A42410" w:rsidRPr="009A55B4" w:rsidRDefault="0096601D" w:rsidP="00A42410">
      <w:pPr>
        <w:pStyle w:val="ListParagraph"/>
        <w:numPr>
          <w:ilvl w:val="0"/>
          <w:numId w:val="51"/>
        </w:numPr>
      </w:pPr>
      <w:r>
        <w:t>cóip den phireaphas;</w:t>
      </w:r>
    </w:p>
    <w:p w14:paraId="6DDD51EE" w14:textId="6EAB093F" w:rsidR="00972741" w:rsidRPr="009A55B4" w:rsidRDefault="0083099A" w:rsidP="00A42410">
      <w:pPr>
        <w:pStyle w:val="ListParagraph"/>
        <w:numPr>
          <w:ilvl w:val="0"/>
          <w:numId w:val="51"/>
        </w:numPr>
      </w:pPr>
      <w:r>
        <w:t>cruthúnas gur ainmníodh an t-iarratasóir mar dhuine ag a bhfuil saineolas d’earraí piriteicniúla de chatagóir P2; nó</w:t>
      </w:r>
    </w:p>
    <w:p w14:paraId="08498957" w14:textId="23B692FD" w:rsidR="00A42410" w:rsidRPr="009A55B4" w:rsidRDefault="0083099A" w:rsidP="00A42410">
      <w:pPr>
        <w:pStyle w:val="ListParagraph"/>
        <w:numPr>
          <w:ilvl w:val="0"/>
          <w:numId w:val="51"/>
        </w:numPr>
      </w:pPr>
      <w:r>
        <w:t>cruthúnas ar chlárúchán an iarratasóra mar oibreoir tinte ealaíne nó mar úsáideoir tinte ealaíne; agus</w:t>
      </w:r>
    </w:p>
    <w:p w14:paraId="7052A3C4" w14:textId="43D7FCA7" w:rsidR="00972741" w:rsidRPr="009A55B4" w:rsidRDefault="0083099A" w:rsidP="00972741">
      <w:pPr>
        <w:pStyle w:val="ListParagraph"/>
        <w:numPr>
          <w:ilvl w:val="0"/>
          <w:numId w:val="51"/>
        </w:numPr>
      </w:pPr>
      <w:r>
        <w:t>i gcás inarb infheidhme, cóip den chead iarratais nó den chead comhshaoil dá dtagraítear in Airteagal 1.1.2a(1)(a);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Airteagal 4.4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Cinnteoidh ár n-Aire go gcuirfear ar fáil gan mhoill do na húdaráis a bhfuil rochtain acu ar na sonraí agus na doiciméid de bhun Airteagal 4.5(1) agus (2) na sonraí agus na doiciméid a iontráiltear sa chlár pireaphas.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lastRenderedPageBreak/>
        <w:t xml:space="preserve">Airteagal 4.5 </w:t>
      </w:r>
    </w:p>
    <w:p w14:paraId="0C7D3561" w14:textId="63C5A020" w:rsidR="00A83423" w:rsidRDefault="008A135A" w:rsidP="00B35E9F">
      <w:pPr>
        <w:pStyle w:val="ListParagraph"/>
        <w:numPr>
          <w:ilvl w:val="0"/>
          <w:numId w:val="31"/>
        </w:numPr>
      </w:pPr>
      <w:r>
        <w:t>Beidh rochtain ag na húdaráis inniúla sa Bheilg, i Lucsamburg agus san Ísiltír atá freagrach as faireachán a dhéanamh ar chomhlíonadh na rialacha is infheidhme maidir le hearraí piriteicniúla agus as na rialacha sin a fhorfheidhmiú.</w:t>
      </w:r>
    </w:p>
    <w:p w14:paraId="4CD86864" w14:textId="2603B817" w:rsidR="00A83423" w:rsidRDefault="008A135A" w:rsidP="0024295E">
      <w:pPr>
        <w:pStyle w:val="ListParagraph"/>
        <w:numPr>
          <w:ilvl w:val="0"/>
          <w:numId w:val="31"/>
        </w:numPr>
      </w:pPr>
      <w:r>
        <w:t>Beidh rochtain ag na hoibreoirí eacnamaíocha dá dtagraítear in Airteagal 4.1(1) ar na sonraí agus ar na doiciméid a iontráladh i gclár phireaphas chun bailíocht na ndoiciméad rialaithe agus an phireaphas a fhíorú.</w:t>
      </w:r>
    </w:p>
    <w:p w14:paraId="13A7FA7F" w14:textId="1E079461" w:rsidR="00A83423" w:rsidRDefault="008A135A" w:rsidP="00A83423">
      <w:pPr>
        <w:pStyle w:val="ListParagraph"/>
        <w:numPr>
          <w:ilvl w:val="0"/>
          <w:numId w:val="31"/>
        </w:numPr>
      </w:pPr>
      <w:r>
        <w:t xml:space="preserve">Chun rochtain a fháil ar an gclár pireaphas, úsáidfear r-Aitheantas nó aon mhodh leictreonach fíordheimhnithe eile arna ainmniú ag bainisteoir na clárlainne. </w:t>
      </w:r>
    </w:p>
    <w:p w14:paraId="5548DEA6" w14:textId="77777777" w:rsidR="00B8205D" w:rsidRDefault="008A135A" w:rsidP="00A83423">
      <w:pPr>
        <w:pStyle w:val="ListParagraph"/>
        <w:numPr>
          <w:ilvl w:val="0"/>
          <w:numId w:val="31"/>
        </w:numPr>
      </w:pPr>
      <w:r>
        <w:t xml:space="preserve">Beidh rochtain ar an gclár pireaphas teoranta d’fhostaithe na n-údarás dá dtagraítear i mír 1 agus i mír 2 a bhfuil baint dhíreach acu le feidhmiú chúram dlíthiúil an chomhlachta lena mbaineann nó leis an obair a dhéanann an chuideachta lena mbaineann chun earraí piriteicniúla a dhíol, agus atá údaraithe ag an gcomhlacht nó ag an gcuideachta. </w:t>
      </w:r>
    </w:p>
    <w:p w14:paraId="4CDEBD4E" w14:textId="4DBA1CD8" w:rsidR="00B8205D" w:rsidRDefault="00C72CE5" w:rsidP="00A83423">
      <w:pPr>
        <w:pStyle w:val="ListParagraph"/>
        <w:numPr>
          <w:ilvl w:val="0"/>
          <w:numId w:val="31"/>
        </w:numPr>
      </w:pPr>
      <w:r>
        <w:t>Beidh feidhm ag rialacha mionsonraithe arna leagan síos le hordú aireachta maidir le sonraí agus taifid a ionchur agus a cheadú sa chlár pireaphas ag daoine a bhfuil rochtain acu ar an gcóras sin, lena n-áirítear leibhéal iontaofachta an ríomhaitheantais is gá.</w:t>
      </w:r>
      <w:r>
        <w:rPr>
          <w:b/>
        </w:rPr>
        <w:t xml:space="preserve"> </w:t>
      </w:r>
      <w:r>
        <w:rPr>
          <w:b/>
        </w:rPr>
        <w:br/>
      </w:r>
    </w:p>
    <w:p w14:paraId="3627E4CF" w14:textId="641AF07A" w:rsidR="00164C4F" w:rsidRDefault="008A135A" w:rsidP="00B8205D">
      <w:r>
        <w:rPr>
          <w:b/>
        </w:rPr>
        <w:t>Airteagal 4.6</w:t>
      </w:r>
      <w:r>
        <w:rPr>
          <w:b/>
        </w:rPr>
        <w:br/>
      </w:r>
      <w:r>
        <w:t xml:space="preserve">Coimeádfar na sonraí agus na doiciméid a iontráladh sa chlár pireaphas ar feadh 12 bhliain. </w:t>
      </w:r>
    </w:p>
    <w:p w14:paraId="1C231879" w14:textId="77777777" w:rsidR="007F6D5D" w:rsidRDefault="007F6D5D" w:rsidP="0022132D"/>
    <w:p w14:paraId="55F68ADA" w14:textId="46A2A4D2" w:rsidR="00510B4B" w:rsidRDefault="008A135A" w:rsidP="0022132D">
      <w:pPr>
        <w:rPr>
          <w:b/>
          <w:bCs/>
        </w:rPr>
      </w:pPr>
      <w:r>
        <w:br/>
      </w:r>
      <w:r>
        <w:rPr>
          <w:b/>
        </w:rPr>
        <w:t>Airteagal II Foráil idirthréimhseach</w:t>
      </w:r>
    </w:p>
    <w:p w14:paraId="144AE3D4" w14:textId="1812F051" w:rsidR="001A647B" w:rsidRDefault="001A647B" w:rsidP="0022132D">
      <w:pPr>
        <w:rPr>
          <w:b/>
          <w:bCs/>
        </w:rPr>
      </w:pPr>
    </w:p>
    <w:p w14:paraId="299A2506" w14:textId="30EE6ECC" w:rsidR="001A647B" w:rsidRDefault="001A647B" w:rsidP="0022132D">
      <w:r>
        <w:t>Gan dochar d’fhorálacha Airteagal 3B.1(6), caillfidh ceadúnais iarratais a deonaíodh cheana féin tráth theacht i bhfeidhm na Foraithne seo a mbailíocht ó 1 Eanáir 2025.</w:t>
      </w:r>
    </w:p>
    <w:p w14:paraId="461D4DA5" w14:textId="6D387BFE" w:rsidR="001A647B" w:rsidRDefault="001A647B" w:rsidP="0022132D"/>
    <w:p w14:paraId="01073440" w14:textId="72BC960E" w:rsidR="00510B4B" w:rsidRDefault="001A647B" w:rsidP="0022132D">
      <w:pPr>
        <w:rPr>
          <w:b/>
          <w:bCs/>
        </w:rPr>
      </w:pPr>
      <w:r>
        <w:rPr>
          <w:b/>
        </w:rPr>
        <w:t>Airteagal III</w:t>
      </w:r>
    </w:p>
    <w:p w14:paraId="4126569C" w14:textId="77777777" w:rsidR="001A647B" w:rsidRDefault="001A647B" w:rsidP="0022132D">
      <w:pPr>
        <w:rPr>
          <w:b/>
          <w:bCs/>
        </w:rPr>
      </w:pPr>
    </w:p>
    <w:p w14:paraId="2CA2AEBF" w14:textId="785F24DD" w:rsidR="00510B4B" w:rsidRPr="00510B4B" w:rsidRDefault="00510B4B" w:rsidP="0022132D">
      <w:r>
        <w:t xml:space="preserve">Tiocfaidh an Fhoraithne seo i bhfeidhm tráth a shonrófar le foraithne ríoga agus a fhéadfaidh a bheith éagsúil le haghaidh na n-airteagal aonair nó codanna díobh. </w:t>
      </w:r>
    </w:p>
    <w:p w14:paraId="550DE960" w14:textId="77777777" w:rsidR="00812A71" w:rsidRDefault="00DE2DBE">
      <w:r>
        <w:t> </w:t>
      </w:r>
    </w:p>
    <w:p w14:paraId="11BEDBA6" w14:textId="77777777" w:rsidR="00812A71" w:rsidRDefault="00DE2DBE">
      <w:r>
        <w:t>Ordaím leis seo an Fhoraithne seo agus na nótaí míniúcháin a bhaineann leis a fhoilsiú i bhFeasachán Gníomhartha agus Foraitheanta.</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AN STÁTRÚNAÍ BONNEAGAIR AGUS BAINISTÍOCHTA UISCE,</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NÓTAÍ MÍNIÚCHÁIN</w:t>
      </w:r>
    </w:p>
    <w:p w14:paraId="25FB4EDE" w14:textId="350D65BA" w:rsidR="00865EEC" w:rsidRDefault="00865EEC">
      <w:pPr>
        <w:rPr>
          <w:b/>
          <w:bCs/>
        </w:rPr>
      </w:pPr>
    </w:p>
    <w:p w14:paraId="5E046A8F" w14:textId="37E54663" w:rsidR="00865EEC" w:rsidRDefault="00865EEC">
      <w:pPr>
        <w:rPr>
          <w:b/>
          <w:bCs/>
        </w:rPr>
      </w:pPr>
      <w:r>
        <w:rPr>
          <w:b/>
        </w:rPr>
        <w:t>Ginearálta</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Réamhrá</w:t>
      </w:r>
    </w:p>
    <w:p w14:paraId="2B349D7E" w14:textId="77777777" w:rsidR="00E021AD" w:rsidRDefault="00E021AD" w:rsidP="002701E5"/>
    <w:p w14:paraId="297BEA88" w14:textId="7A565559" w:rsidR="00E021AD" w:rsidRDefault="0022132D">
      <w:r>
        <w:t>Is é cuspóir na Foraithne seo Cinneadh Benelux</w:t>
      </w:r>
      <w:r w:rsidR="002701E5" w:rsidRPr="00183C54">
        <w:rPr>
          <w:rStyle w:val="FootnoteReference"/>
        </w:rPr>
        <w:footnoteReference w:id="2"/>
      </w:r>
      <w:r>
        <w:t xml:space="preserve"> a chur i bhfeidhm i réimse na tinte ealaíne i bhForaithne maidir le Tinte Ealaíne. Cuireann an Foraithne seo an clár pireaphas i ngníomh tuilleadh, mar a fógraíodh sa mheabhrán míniúcháin a ghabhann leis an mbille lena leasaítear cuid de dhlíthe na hAireachta Bonneagair agus Bainistíochta Uisce (Gníomh Comhchoiteann IenW 2021).</w:t>
      </w:r>
      <w:r>
        <w:rPr>
          <w:rStyle w:val="FootnoteReference"/>
        </w:rPr>
        <w:footnoteReference w:id="3"/>
      </w:r>
      <w:r>
        <w:t xml:space="preserve"> Tá bunú chlár pireaphas á rialú ag Airteagal 9.5.8 den Ghníomh um Bainistíocht Comhshaoil (dá ngairtear anseo feasta: WM). Bíonn an mionsaothrú sin ar siúl san Fhoraithne seo. Is le hordú aireachta a leagfar amach mionsonraí teicniúla an chláir agus an próiseas iarratais. Is é an bunús don Fhoraithne seo ná téacs an Fhoraithne maidir le Tinte Ealaíne mar go mbeidh sé tar éis theacht i bhfeidhm an Ghnímh Comhshaoil agus tar éis leasú a dhéanamh ar an bhForaithne maidir le Tinte Ealaíne, a thagann i bhfeidhm ag an am céanna leis an nGníomh Comhshaoil (Feasachán Gníomhartha agus Foraitheanta 2022,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Reachtaíocht cur chun feidhme</w:t>
      </w:r>
    </w:p>
    <w:p w14:paraId="5F25AEAD" w14:textId="77777777" w:rsidR="000734E3" w:rsidRPr="000734E3" w:rsidRDefault="000734E3" w:rsidP="000734E3">
      <w:pPr>
        <w:pStyle w:val="ListParagraph"/>
        <w:rPr>
          <w:b/>
          <w:bCs/>
        </w:rPr>
      </w:pPr>
    </w:p>
    <w:p w14:paraId="3E0499A7" w14:textId="5D131EB0" w:rsidR="007F40A5" w:rsidRDefault="007F40A5" w:rsidP="00E021AD">
      <w:r>
        <w:t>Ar bhonn Threoir 2013/29/AE</w:t>
      </w:r>
      <w:r>
        <w:rPr>
          <w:rStyle w:val="FootnoteReference"/>
        </w:rPr>
        <w:footnoteReference w:id="4"/>
      </w:r>
      <w:r>
        <w:t xml:space="preserve"> (anseo feasta: ní fhéadfar earraí piriteicniúla áirithe a chur ar fáil ar an margadh ach amháin do dhaoine a bhfuil saineolas acu. Ar 7 Nollaig 2020, síníodh Cinneadh Benelux d’fhonn doiciméad aonfhoirmeach um rialú a thabhairt isteach ionas gur féidir le duine ar mian leis na hearraí piriteicniúla atá i gceist a cheannach a chruthú go bhfuil an t-eolas speisialaithe is gá acu i gcomhthéacs trasteorann. Is féidir le tabhairt isteach an phireaphas, doiciméad rialaithe aonfhoirmeach laistigh de Benelux, é a dhéanamh níos éasca do dhíoltóir earraí piriteicniúla den sórt sin i dtír Benelux doiciméad a fhíorú maidir le barántúlacht agus bailíocht. Cuireann sé sin deireadh le bacainn ar fheidhmiú cuí an mhargaidh inmheánaigh. Ina theannta sin, is féidir leis an ionstraim seo cur go mór leis an gcomhrac i gcoinne na trádála aindleathaí agus díobháil agus damáiste d’ábhar a chosc. Is mian le tíortha Benelux a bheith i gceannas laistigh den AE, d’fhonn socrú a bhunú a mbeidh feidhm aige ar deireadh maidir le daoine atá údaraithe mar dhaoine a bhfuil saineolas acu i mBallstáit eile AE. </w:t>
      </w:r>
    </w:p>
    <w:p w14:paraId="39FD9BF4" w14:textId="5154AA32" w:rsidR="00FA2E81" w:rsidRDefault="00FA2E81" w:rsidP="00E021AD"/>
    <w:p w14:paraId="0EC72B35" w14:textId="77BA0E63" w:rsidR="00FA2E81" w:rsidRDefault="00C22BC4" w:rsidP="00E021AD">
      <w:r>
        <w:t>Tá raon feidhme agus ábhar Chinneadh Benelux teoranta ó thaobh ábhair de. Níl sé d’aidhm ag Cinneadh Benelux comhchuibhiú a dhéanamh ar na ceanglais shubstainteacha a fhéadfaidh tíortha Benelux faoi seach a fhorchur chun duine a údarú mar dhuine a bhfuil saineolas aige nó aici.</w:t>
      </w:r>
      <w:r w:rsidR="00FA2E81">
        <w:rPr>
          <w:rStyle w:val="FootnoteReference"/>
        </w:rPr>
        <w:footnoteReference w:id="5"/>
      </w:r>
      <w:r>
        <w:t xml:space="preserve"> Ní athraítear le Cinneadh Benelux na toirmisc atá ann faoi láthair – idir Eorpach agus Ollannach – ar earraí piriteicniúla áirithe a chur ar fáil don phobal i gcoitinne. Níl aon rialacha i gCinneadh Benelux maidir le láimhseáil agus/nó úsáid earraí piriteicniúla tar éis iad a cheannach.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lastRenderedPageBreak/>
        <w:t>Prionsabail an togra</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Is fadhb leanúnach é úsáid mhíchuí earraí piriteicniúla a bheith á n-úsáid ag daoine nach bhfuil údaraithe sin a dhéanamh agus a mbíonn go leor díobhála agus damáiste mar thoradh uirthi gach bliain. Ní fhéadfar cineálacha áirithe earraí piriteicniúla níos troime a chur ar fáil ar an margadh ach do dhaoine a bhfuil saineolas acu. Cé go bhféadfaidh an duine ar mian leis na táirgí sin a cheannach i gcomhthéacs trasteorann doiciméad a thíolacadh ó thír eile chun é a chruthú, níl an díoltóir in ann barántúlacht agus bailíocht an doiciméid sin a mheasúnú go leordhóthanach. Má thugtar an pireaphas isteach mar dhoiciméad aonfhoirmeach rialaithe, is féidir é sin a leigheas maidir le daoine atá údaraithe mar dhaoine a bhfuil saineolas acu i dtír Benelux eile. Fágann sé sin gur féidir na sreafaí trádála dlíthiúla a dhéanamh infheicthe, ionas gur féidir díolachán mídhleathach tinte ealaíne gairmiúla a laghdú ar bhealach níos éifeachtaí. Ina theannta sin, cuireann sé le feidhmiú cuí an mhargaidh inmheánaigh do lastóirí gairmiúla tinte ealaíne ar mian leo a gcuid seirbhísí a sholáthar i dtír eile.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Leagtar amach sa leasú seo ar an bhForaithne maidir le Tinte Ealaíne na cásanna inar cheart fíorú na ndoiciméad cigireachta a éilítear a dhéanamh ar bhonn an phireaphas, na hoibleagáide chun é a fhíorú, agus na forais lena tharraingt siar. Ina theannta sin, déantar inrochtaineacht an chláir pas pyro a mhionsaothrú tuilleadh freisin.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Leis an togra seo, cuirtear d’oibleagáid ar oibreoirí eacnamaíocha (monaróirí, allmhaireoirí agus dáileoirí) a chuireann tinte ealaíne gairmiúla, earraí piriteicniúla atá ceaptha lena n-úsáid ag an amharclann agus earraí piriteicniúla de chatagóir P2 ar fáil ar an margadh, a fhíorú an bhfuil an duine sin i dteideal na hearraí piriteicniúla sin a cheannach. Maidir le daoine a ainmneofar faoi dhlí thíortha Benelux mar dhuine a bhfuil saineolas aige nó mar dhuine freagrach, déanfar an fíorú sin ar bhonn an phiróis. Tá an t-oibreoir in ann bailíocht an phireaphas sa chóras atá feistithe chun na críche sin a fhíorú ansin. Ina theannta sin, tá sé d’oibleagáid ar an oibreoir eacnamaíoch cóip den phireaphas agus den sonrasc a choinneáil ina dtaifid. Féadfar an pireaphas a tharraingt siar nuair nach mbeidh an t-ainmniú mar dhuine a bhfuil saineolas aige nó an duine freagrach bailí a thuilleadh nó i gcás mí-úsáide.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Ina theannta sin, úsáidtear an deis chun tréimhse bailíochta a cheangal leis an gcead iarratais, agus ceartaítear easnaimh bheaga áirithe. Déanfar an méid sin a phlé ar bhealach níos mionsonraithe sna nótaí airteagal ar airteagal.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Gaol le dlí níos airde</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Dlí na hEorpa</w:t>
      </w:r>
    </w:p>
    <w:p w14:paraId="15B82FB7" w14:textId="459F957D" w:rsidR="00AC6B62" w:rsidRDefault="00CF7C1C" w:rsidP="00AC6B62">
      <w:pPr>
        <w:spacing w:line="240" w:lineRule="auto"/>
      </w:pPr>
      <w:r>
        <w:t xml:space="preserve">Is le Pireatreoir den chuid is mó a rialaítear earraí piriteicniúla. Sonraítear in Airteagal 5 den Treoir sin nach mór do na Ballstáit na bearta is gá a dhéanamh chun a áirithiú nach gcuirfear fearais nó feistis ar fáil ar an margadh ach amháin má chomhlíonann siad ceanglais na Treorach seo. Sainítear in Airteagal 6 den treoir sin tinte ealaíne de chatagóir F4, earraí piriteicniúla atá ceaptha d’úsáid téatair de chatagóir T2 agus earraí piriteicniúla eile de chatagóir P2 mar atá beartaithe go heisiach le húsáid ag daoine a bhfuil eolas speisialaithe acu, agus sonraítear ann nach mór do na Ballstáit an Coimisiún Eorpach a chur ar an eolas faoi na nósanna imeachta faoina ndéanann siad daoine a bhfuil saineolas acu a shainaithint agus a údarú. Sonraítear in Airteagal 7(3) de Phireatreoir nach bhféadfaidh monaróirí, allmhaireoirí nó dáileoirí na hearraí thuasluaite a chur ar fáil ar an margadh ach amháin do dhaoine a bhfuil eolas speisialaithe acu. Faoi Airteagal 4(2) de Phireatreoir, tá Ballstát in ann bearta a dhéanamh chun earraí piriteicniúla áirithe a thoirmeasc nó a shrianadh. Dá bhrí sin, san Ísiltír, mar shampla, tá toirmeasc iomlán ar earraí piriteicniúla de chatagóir T1, tinte ealaíne de chatagóir F3 agus earraí áirithe de chatagóir F2 a chur ar fáil ar an margadh do dhaoine nach bhfuil saineolas acu. </w:t>
      </w:r>
    </w:p>
    <w:p w14:paraId="10FDAB75" w14:textId="6EA752F6" w:rsidR="00776C70" w:rsidRDefault="00776C70" w:rsidP="00AC6B62">
      <w:pPr>
        <w:spacing w:line="240" w:lineRule="auto"/>
      </w:pPr>
    </w:p>
    <w:p w14:paraId="24268EB2" w14:textId="6DFD3872" w:rsidR="00776C70" w:rsidRDefault="00776C70" w:rsidP="00483CA8">
      <w:pPr>
        <w:keepNext/>
        <w:keepLines/>
        <w:spacing w:line="240" w:lineRule="auto"/>
        <w:rPr>
          <w:u w:val="single"/>
        </w:rPr>
      </w:pPr>
      <w:r>
        <w:rPr>
          <w:u w:val="single"/>
        </w:rPr>
        <w:lastRenderedPageBreak/>
        <w:t>Benelux</w:t>
      </w:r>
    </w:p>
    <w:p w14:paraId="266B5C3C" w14:textId="71C2CD25" w:rsidR="00776C70" w:rsidRPr="00776C70" w:rsidRDefault="00776C70" w:rsidP="00483CA8">
      <w:pPr>
        <w:keepNext/>
        <w:keepLines/>
        <w:spacing w:line="240" w:lineRule="auto"/>
      </w:pPr>
      <w:r>
        <w:t xml:space="preserve">Is é Airteagal 6(2)(a) den Chonradh ag bunú Aontas Benelux agus Airteagal 1(b) de Phrótacal 29 Aibreán 1969 maidir le seiceálacha agus foirmiúlachtaí ag teorainneacha inmheánacha Benelux a dhíothú agus maidir le constaicí ar shaorghluaiseacht a dhíchur an bunús dlí do Chinneadh Benelux. Ar bhonn na bhforálacha sin, féadfaidh an Coiste Airí cinntí a dhéanamh d’fhonn dlíthe na dtrí thír Benelux a chomhordú chun constaicí áirithe a bhaint. Díríonn Cinneadh Benelux go príomha ar fheidhmiú cuí an mhargaidh inmheánaigh d’earraí piriteicniúla. Fágann sé seo go bhfuil sé níos éasca earraí piriteicniúla a dhíol do dhaoine a bhfuil an t-eolas speisialaithe is gá acu. Ina theannta sin, rannchuidíonn Cinneadh Benelux freisin leis an gcomhrac i gcoinne na trádála aindleathaí agus le díobháil agus damáiste d’ábhar a chosc, inar mian le hAontas Benelux ról ceannasach a ghlacadh chuige féin.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An gaol le rialacháin náisiúnta</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Déantar earraí piriteicniúla a rialú go príomha i ndlí na hÍsiltíre san Fhoraithne maidir le Tinte Ealaíne. Is é Airteagal 9.2.2.1(1) agus (2) den Wm an bonn prionsabail don Fhoraithne maidir le Tinte Ealaíne. Mar sin féin, chun an clár pireaphas a chur chun feidhme, tá gá le bonn sonrach i ndáil le sonraí pearsanta a phróiseáil, a baineadh amach chun na críche sin in Airteagal 9.5.8 den Wm. Dá bhrí sin, tá an Foraithne seo bunaithe ar mhír 1 agus ar mhír 2 d’Airteagal 9.2.2.1 agus ar Airteagal 9.5.8(3) agus (4) den Wm.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Le hAirteagal 1.1.2a(1) den Fhoraithne maidir le Tinte Ealaíne, ainmnítear daoine a bhfuil saineolas acu. De bhun Airteagal 1.1.2a(2), déanfar duine ag a bhfuil saineolas a ainmniú mar dhuine a bhfuil saineolas aige i ndáil le tinte ealaíne agus earraí piriteicniúla atá ceaptha lena n-úsáid ag an amharclann i mBallstát eile den Aontas Eorpach.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Go praiticiúil, is iad sealbhóirí ceada iarratais an grúpa is mó daoine a bhfuil saineolas acu (Airteagal 1.1.2a(1)(b)). I bhfianaise Airteagal 3B.1(6), áfach, féadfaidh duine dlítheanach agus duine nádúrtha a bheith i sealbhóir ceada iarratais, ach ní féidir an pas a chur ar fáil ach do dhuine nádúrtha faoi Chinneadh Benelux. Mar sin féin, tá an figiúr ‘duine freagrach’ i gCinneadh Benelux freisin. Is duine é seo atá ainmnithe ag duine dlítheanach atá i dteideal earraí piriteicniúla a stóráil nó a chur ar fáil ar an margadh chun earraí piriteicniúla a úsáid thar ceann an duine dhlítheanaigh sin.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Ní gnách gurb é an duine a lasann na tinte ealaíne an duine céanna (dlíthiúil nó eile) is atá ag sealbhóir iarratais. Tá oiliúint agus clárú riachtanach chun tinte ealaíne gairmiúla a chur amach faoi Fhoraithne maidir le Dálaí Oibre. Chun cead iarratais a fháil, ní mór d’iarratasóirí, inter alia, cóip d’iontráil bhailí i gClár na n-oibreoirí tinte ealaíne dá dtagraítear in Airteagal 4.9(1) den Fhoraithne maidir le Dálaí Oibre, arna n-eisiúint don duine a dhéanann na gníomhartha a chumhdaítear leis an iarratas agus a bhaineann leis na gníomhartha sin, a chur isteach. Ina theannta sin, tá próiseálaithe tinte ealaíne ann freisin (Airteagal 4.9(2) den Fhoraithne maidir le Dálaí Oibre) a dhéanann obair arb é atá ann tinte ealaíne tomhaltóra, tinte ealaíne gairmiúla nó earraí piriteicniúla a dhíol, a phróiseáil nó a chur ar fáil d’úsáid téatair. Ainmnítear na daoine sin mar ‘dhuine freagrach’.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Ar bhonn an Fhoraithne maidir le Dálaí Oibre agus a bhfuil tuilleadh mionsaothraithe déanta air sa Rialachán maidir le Dálaí Oibre, rialaítear an té a bhfuil rochtain aige ar chlár na bpróiseálaithe tinte ealaíne agus na n-oibreoirí tinte ealaíne. De bhun Airteagal 1.5o(c) den Fhoraithne maidir le Dálaí Oibre, féadfaidh daoine eile a ndéantar difear díreach dóibh (i dteannta, i measc nithe eile, an chliaint nó ionadaí údaraithe an chliaint) na cláir a cheadú maidir le duine a chlárú nó a fhionraí. Luaitear sa mheabhrán míniúcháin a ghabhann leis an gcinneadh sin go bhféadfadh sé go n-áireofaí leis sin, mar shampla, údaráis phoiblí a dhéanann cinntí ar bhonn an Fhoraithne maidir le Tinte Ealaíne. Tá sé seo ábhartha chun a fhíorú an bhfuil clárú oi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lastRenderedPageBreak/>
        <w:t xml:space="preserve">Déanfar an tsamhail don phireaphas agus na sonraí níos teicniúla, dá bhforáiltear sa bhunús dlí, a leagan amach i rialachán aireachta.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t>6. Iarmhairtí (gan iarmhairtí airgeadais a áireamh)</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Tionchar ar an ualach rialála</w:t>
      </w:r>
    </w:p>
    <w:p w14:paraId="6914D7FF" w14:textId="28F21F0E" w:rsidR="00936355" w:rsidRDefault="00C43025" w:rsidP="00AE0502">
      <w:pPr>
        <w:keepNext/>
        <w:keepLines/>
        <w:spacing w:line="240" w:lineRule="auto"/>
      </w:pPr>
      <w:r>
        <w:t xml:space="preserve">Tá iarmhairtí rialála ag an leasú seo ar Fhoraithne maidir le Tinte Ealaíne do pháirtithe éagsúla san earnáil tinte ealaíne. Baineann sé seo le hoibreoirí agus le daoine a bhfuil sé de cheangal orthu iarratas a dhéanamh ar phas pirea. </w:t>
      </w:r>
      <w:r>
        <w:rPr>
          <w:color w:val="auto"/>
          <w:shd w:val="clear" w:color="auto" w:fill="FFFFFF"/>
        </w:rPr>
        <w:t>Agus an t-ualach riaracháin á ríomh, forordaítear an mhodheolaíocht náisiúnta maidir le héifeachtaí brú rialála, lena nglactar EUR 50 in aghaidh na huaire i gcostais.</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Ní fada go mbeidh sé d’oibleagáid ar oibreoirí eacnamaíocha an pireaphas a iarraidh agus earraí piriteicniúla áirithe á ndíol acu, a fhíorú go bhfuil siad bailí i gclár na bpirea-phasanna agus cruthúnas ina leith a choinneáil ina dtaifid. Faoi láthair, ceanglaítear ar na páirtithe sin a fhíorú an duine ag a bhfuil saineolas an duine a cheannaíonn earraí piriteicniúla. Mar thoradh air sin, tá na héifeachtaí a bhaineann le tabhairt isteach an phireaphas ar na baisceanna seo beag agus déanfaidh siad seiceálacha níos éasca fiú. Mar sin féin, beidh ar oibreoirí eacnamaíocha na hoibleagáidí nua a thabhairt dá n-aire; chun na críche sin, leithdháiltear thart ar uair an chloig in aghaidh an oibreora eacnamaíoch. Ina theannta sin, tá sé d’oibleagáid ar oibreoirí eacnamaíocha faisnéis a choinneáil ina dtaifid, a ndéantar cúig nóiméad in aghaidh na hoibríochta a ríomh ina leith in aghaidh an oibreora eacnamaíoch. Tá thart ar 10 rannpháirtí sa mhargadh gníomhach san Ísiltír. Ciallaíonn sé sin go bhfuil ualach rialála na n-athruithe sin beagnach nialas don spriocghrúpa sin.</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I gcás daoine a bhfuil saineolas acu nó daoine freagracha, ciallaíonn an leasú ar an bhForaithne maidir le Tinte Ealaíne go gcaithfidh siad a bheith in ann a léiriú, ar bhonn an phireaphas, go bhfuil siad údaraithe mar sin. Ní mór dóibh iarratas a dhéanamh ar phireaphas. Is gníomh breise é seo do na páirtithe sin, cé nach bhforchuirtear aon cheanglais nua oiliúna ná ceanglais eile. Mar thoradh air sin, coinníodh na hiarmhairtí don spriocghrúpa sin chomh teoranta agus is féidir. Déantar dhá uair an chloig a leithdháileadh chun an oibleagáid agus an t-iarratas ar an bpíreas a thabhairt faoi deara agus na sonraí is gá a bhailiú. Tá sé deacair faoi láthair meastachán a dhéanamh ar cé mhéad duine a dhéanfaidh iarratas ar phas pyro. Táthar ag súil go mbeidh sé seo idir 50 agus 150 duine. Ciallaíonn sé sin go meastar gurb ionann ualach rialála na n-athruithe sin don spriocghrúpa sin ina iomláine agus EUR 5 000 go EUR 15 000 san iomlán.</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Leis an bhForaithne seo, cuirtear tréimhse bhailíochta leis an údarú iarratais. Ciallaíonn sé sin nach mór iarratas a dhéanamh arís ar an údarú iarratais tar éis don tréimhse bhailíochta dul in éag. Faoi láthair, tá thart ar 75 sealbhóir ceada iarratais ann. An t-iarratas ar an gcead iarratais, lena n-áirítear an Dearbhú Iompair is gá (anseo feasta: VOG), meastar ag dhá uair an chloig. Ní ghearrtar aon táille ar an iarratas ar an gceadúnas féin. Ciallaíonn sé sin, i gcás an spriocghrúpa shonraigh sin, go meastar gurb é EUR 7 500 an t-ualach foriomlán rialála.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Éifeachtacht agus éifeachtúlacht</w:t>
      </w:r>
    </w:p>
    <w:p w14:paraId="2BE5AB6D" w14:textId="0BC0329B" w:rsidR="008D009E" w:rsidRDefault="008D009E" w:rsidP="00C43025">
      <w:pPr>
        <w:spacing w:line="240" w:lineRule="auto"/>
      </w:pPr>
      <w:r>
        <w:t>Agus an córas pireaphas á thabhairt isteach i Benelux amháin, beidh teorainn le héifeachtacht agus le héifeachtúlacht i dtosach báire. Mar sin féin, tá ról tábhachtach trialach ag an tabhairt isteach, agus tá faireachán á dhéanamh ar thorthaí an AE. Is é is aidhm do Benelux go gcuirfear an pireaphas i bhfeidhm laistigh den Aontas Eorpach.</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Iarmhairtí ar phríobháideachas</w:t>
      </w:r>
    </w:p>
    <w:p w14:paraId="57A10400" w14:textId="10864A2A" w:rsidR="00CA1DB1" w:rsidRDefault="00252E79" w:rsidP="00C43025">
      <w:pPr>
        <w:spacing w:line="240" w:lineRule="auto"/>
      </w:pPr>
      <w:r>
        <w:t xml:space="preserve">Is é an toradh a bhíonn ar an bhforaithne seo go ndéantar sonraí pearsanta a phróiseáil. Is é an bille lena mbunaítear an clár pireaphas an príomhbhunús dó sin; mar chuid de sin, dréachtaíodh DPIA agus iarradh tuairim ar Údarás Cosanta Sonraí na hÍsiltíre. Níor tugadh aon tuairimí ina leith sin.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lastRenderedPageBreak/>
        <w:t xml:space="preserve">Dréachtaíodh DPIA nua don leasú seo. Is é an tAire Bonneagair agus Bainistíochta Uisce (IenW) an rialaitheoir. Chun críocha an Fhoraithne seo, foráiltear d’oibríochtaí próiseála sonraí éagsúla, eadhon an t-iarratas ar an bpíreas, a mheasúnú, agus eisiúint an phireaphas. Ina theannta sin, coinnítear na sonraí riachtanacha — mar a cheanglaítear le Cinneadh Benelux — sa chlár pireaphas. I gcás ina ndíolann oibreoir eacnamaíoch earraí piriteicniúla de chatagóir F3, F4, T2, nó P2, tá sé d’oibleagáid ar an díoltóir sin an pireaphas agus an doiciméad aitheantais a fhíorú, agus an clár pireaphas a cheadú. Ina theannta sin, ní mór don oibreoir eacnamaíoch doiciméid áirithe dá dtagraítear in Airteagal 4.1(8) a stóráil ina thaifid. Ar deireadh, déantar sonraí pearsanta a phróiseáil nuair a thugtar rochtain ar an gclár do chomhlachtaí atá freagrach as faireachán a dhéanamh ar chomhlíonadh na rialacha is infheidhme maidir le hearraí piriteicniúla, agus as forfheidhmiú na rialacha sin, mar shampla. Cuireadh ceanglas na comhréireachta agus na coimhdeachta san áireamh i gcomhthéacs Chinneadh Benelux agus sa chur chun feidhme reatha araon. I ngach oibríocht próiseála, ní phróiseálfar níos mó sonraí pearsanta ná mar is gá, ná ní dhéanfar iad a phróiseáil ach amháin chun na críche ar chucu a fuarthas iad (ceangailteach de réir cuspóra), </w:t>
      </w:r>
      <w:bookmarkStart w:id="4" w:name="_Hlk125126125"/>
      <w:r>
        <w:t>ach amháin i gcomhthéacs faireachán a dhéanamh ar chomhlíonadh na rialacha is infheidhme maidir le hearraí piriteicniúla agus ar fhorfheidhmiú na rialacha sin ag na húdaráis ábhartha.</w:t>
      </w:r>
      <w:bookmarkEnd w:id="4"/>
      <w:r>
        <w:t xml:space="preserve"> Tá an dara ceann ábhartha, mar shampla, nuair a bhíonn Oifig an Ionchúisitheora Phoiblí (dá ngairtear anseo feasta: OM) rochtain ar an gclár.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Ní stórálfar na sonraí ar feadh tréimhse níos faide ná mar is gá. Coimeádfar na taifid agus na sonraí a iontrálfar sa chlár pireaphas ar feadh 12 bhliain. Chun na críche sin, tá sé ailínithe le huastréimhse teorann na gcionta tinte ealaíne.</w:t>
      </w:r>
    </w:p>
    <w:p w14:paraId="7D003D62" w14:textId="413391F3" w:rsidR="00CA1DB1" w:rsidRDefault="00447582" w:rsidP="00447582">
      <w:pPr>
        <w:spacing w:line="240" w:lineRule="auto"/>
        <w:rPr>
          <w:color w:val="auto"/>
        </w:rPr>
      </w:pPr>
      <w:r>
        <w:t xml:space="preserve">Coinneoidh oibreoirí cóip den doiciméad rialaithe sna taifid mar aon leis an sonrasc lena mbaineann agus, i gcás inarb infheidhme, an doiciméad iompair lena mbaineann ar feadh seacht mbliana. </w:t>
      </w:r>
      <w:r>
        <w:rPr>
          <w:color w:val="auto"/>
        </w:rPr>
        <w:t>Tá sé seo ailínithe leis an tréimhse choinneála náisiúnta le haghaidh taifead.</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Is faoi threoir ó eagraíocht a chinnfear eisiúint an phireaphas agus cur chun feidhme agus bainistiú an chláir pireaphas. Déanfar na comhaontuithe is gá, amhail comhaontú próiseála, a thabhairt i gcrích chun na críche sin.</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Forghníomhú &amp; Forfheidhmiú</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Ba chóir an clár pireaphas a chruthú agus a bhainistiú. Bronnadh an chumhacht seo ar Aire IenW san Fhoraithne seo. </w:t>
      </w:r>
      <w:r>
        <w:rPr>
          <w:highlight w:val="yellow"/>
        </w:rPr>
        <w:t>Le sonrú</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 xml:space="preserve">Cuirtear rialacháin na dtinte ealaíne i bhfeidhm maidir leis an dlí riaracháin agus an dlí coiriúil araon. I dtéarmaí an dlí riaracháin, féadfar fíneáil a fhorchur ar bhonn an Wm, nó mar phionós riaracháin. Déanann an Chigireacht Comhshaoil agus Iompair (ILT) maoirseacht ar shábháilteacht agus ar chaighdeán na dtinte ealaíne a chuireann cuideachtaí ar an margadh. Is é an ILT an t-údarás maoirseachta le haghaidh iompar substaintí guaiseacha, lena n-áirítear tinte ealaíne, faoi reachtaíocht iompair agus allmhairiú agus onnmhairiú tinte ealaíne ag gnólachtaí faoi Fhoraithne maidir le Tinte Ealaíne. Eisíonn an ILT ceadanna an iarratais freisin. Cuireadh an Dréachtfhoraithne faoi bhráid ILT an xx le haghaidh triail in-fhorfheidhmitheachta, praiticiúlachta agus frithbheartaíochta calaoise. Rinne ILT measúnú ar an bhForaithne mar </w:t>
      </w:r>
      <w:r>
        <w:rPr>
          <w:highlight w:val="yellow"/>
        </w:rPr>
        <w:t>… PM tástáil HUF.</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Tá forálacha éagsúla san Fhoraithne maidir le Tinte Ealaíne inphionóis sa Ghníomh um Chionta Eacnamaíochta, agus is iad na póilíní agus an tSeirbhís Ionchúisimh Phoiblí a chuireann na forálacha sin i bhfeidhm. Baineann sé seo, mar shampla, le tinte ealaíne gairmiúla a dhíol le daoine aonair príobháideacha. Le Gníomh Comhchoiteann 2021 de chuid IenW, leasaítear an Gníomh um Chionta Eacnamaíocha chun Airteagal 9.5.8(6) a fhorfheidhmiú freisin. I gcás ciona, téarma uasta príosúnachta suas le sé bliana, seirbhís pobail nó fíneáil den chúigiú catagóir (EUR 90 000 faoi láthair) a bheidh sa phianbhreith. Cuireadh an Dréachtfhoraithne faoi bhráid Oifig an Ionchúisitheora Phoiblí ar </w:t>
      </w:r>
      <w:r>
        <w:rPr>
          <w:highlight w:val="yellow"/>
        </w:rPr>
        <w:t>xx</w:t>
      </w:r>
      <w:r>
        <w:t xml:space="preserve">. </w:t>
      </w:r>
      <w:r>
        <w:rPr>
          <w:highlight w:val="yellow"/>
        </w:rPr>
        <w:t>Tástáil HUF le sonrú</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lastRenderedPageBreak/>
        <w:t>8. Tionchar airgeadais</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De bhun Airteagal 9.5.8(5) den Wm, is féidir taraif a mhuirearú chun an pireaphas a chur i bhfeidhm. Níl foráil ann faoi láthair maidir leis seo, rud a fhágann go bhfuil an tionchar airgeadais ar an earnáil an-teoranta. Ní iarrtar aon táille ar an gcead iarratais, rud a chiallaíonn nach mbeidh costais níos airde mar thoradh ar thréimhse bailíochta a thabhairt isteach.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t>Comhairle agus comhairliúchán</w:t>
      </w:r>
    </w:p>
    <w:p w14:paraId="1D22CCE9" w14:textId="3285AF09" w:rsidR="00D4395F" w:rsidRDefault="006B5035" w:rsidP="00FF6FF4">
      <w:pPr>
        <w:keepNext/>
        <w:keepLines/>
        <w:spacing w:line="240" w:lineRule="auto"/>
      </w:pPr>
      <w:r>
        <w:t>Chuathas i gcomhairle le roinnt páirtithe maidir le dréachtú na Foraithne seo. Tá plé déanta cheana féin ar thrialacha feidhmíochta OM agus ILT. Pléadh dréacht tosaigh freisin le hionadaithe ón VEN (Cumann maidir le Tinte Ealaíne Imeachtaí na hÍsiltíre), an BPN (Cumann Piriteicnic na hÍsiltíre) agus Stichting VuurwerkCheck. Mar thoradh air sin, foráiltear leis an bhForaithne go meastar go bhfuil tinte ealaíne de chatagóir F3 nó F4 údaraithe le haghaidh tinte ealaíne de chatagóir F2 nach bhfuil ainmnithe le haghaidh úsáid phríobháideach. Déantar foráil freisin maidir le sealbhóirí pireaphas atá údaraithe le haghaidh earraí piriteicniúla chun earraí piriteicniúla i gcatagóir T2 a úsáid, go measfar iad a bheith údaraithe le haghaidh earraí piriteicniúla d’úsáid téatair de chatagóir T1. Cé go bhfuil sé tugtha le fios ag an tionscal go bhfuil an cur chuige maidir leis an trádáil aindleathach le tinte ealaíne tábhachtach, tá amhras orthu faoi éifeachtacht an phireaphas ar shreabha trádála neamhdhleathacha, ós rud é nach n-allmhairítear é ach laistigh de Benelux. Is uirlis í an pireaphas atá mar chuid de phacáiste níos leithne beart chun neamhdhleathacht a laghdú le tinte ealaíne gairmiúla. Is é mian Benelux go gcuirfí an pireaphas ar aghaidh laistigh den Aontas Eorpach. Tá sé tugtha le fios ag an tionscal go meastar gur méadú ar an ualach riaracháin é tabhairt isteach an phireaphas, toisc go gcreideann siad gurb ionann an pireaphas agus dúbailt an fhógra faoi Airteagal 1.4.1 den Fhoraithne maidir le Tinte Ealaíne. Coinníodh an t-ualach riaracháin, mar a mhínítear i mír 6 den mheabhrán míniúcháin, chomh teoranta agus is féidir. Fágann an pireaphas go bhfuil sé níos éasca d’oibreoirí eacnamaíocha a sheiceáil an bhfuil na ceadanna is gá ag ceannaitheoir. Thairis sin, níl aon dúbláil ann leis an gcóras tuairiscithe dá dtagraítear in Airteagal 1.4.1 den Fhoraithne maidir le Tinte Ealaíne, toisc nach bhfuil cuspóir an chórais fógartha inchomparáide go díreach le cuspóir an phireaphas. Tagraíonn an córas tuairiscithe do shreabha táirgí trasteorann a mhapáil, agus baineann an pireaphas le hidirbhearta díolacháin.</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Mar gheall ar an tionchar an-teoranta ar an ualach rialála, ní dhearnadh aon tástáil FBM.</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Iarradh tuairim ó Údarás Cosanta Sonraí na hÍsiltíre ar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Rinneadh comhairliúchán idirlín ar an bhForógra reatha. Ar bhonn mhír 4 d’Airteagal 21.6, rinneadh an Dréachtfhorógra a fhoilsiú roimh ré in Iris an Rialtais chun deis a thabhairt do gach duine ár n-Aire a chur ar an eolas i scríbhinn laistigh de thréimhse ceithre seachtaine. Sa chás seo, is féidir comhairliúchán Idirlín a fhágáil ar lár. </w:t>
      </w:r>
    </w:p>
    <w:p w14:paraId="62852144" w14:textId="72BDE637" w:rsidR="00027B61" w:rsidRDefault="00027B61" w:rsidP="006B5035">
      <w:pPr>
        <w:spacing w:line="240" w:lineRule="auto"/>
      </w:pPr>
      <w:r>
        <w:rPr>
          <w:highlight w:val="yellow"/>
        </w:rPr>
        <w:t>Barúlacha comhairliúcháin idirlín PM agus réamhfhoilseachán</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Ina theannta sin, tairgeadh an Dréachtfhoraithne an </w:t>
      </w:r>
      <w:r>
        <w:rPr>
          <w:highlight w:val="yellow"/>
        </w:rPr>
        <w:t>dáta x</w:t>
      </w:r>
      <w:r>
        <w:t xml:space="preserve"> don Chéad Dlísheomra agus don Dara Dlísheomra i gcomhthéacs na fionraí a cheanglaítear de réir dlí (Airteagal 21.6(4) den Wm). </w:t>
      </w:r>
      <w:r>
        <w:rPr>
          <w:highlight w:val="yellow"/>
        </w:rPr>
        <w:t>Iatán ionchur pm.</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Meastóireacht</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Déanfar an Foraithne seo agus feidhmiú an phireaphas a mheas tar éis trí bliana. Tá sé sin tábhachtach freisin chun a bheith in ann a chinneadh an bhfuil an córas seo ag feidhmiú laistigh de Benelux, agus ionchur a chur ar fáil chun go bhféadfaí é a thabhairt isteach ar an leibhéal Eorpach. </w:t>
      </w:r>
    </w:p>
    <w:p w14:paraId="6E396653" w14:textId="77777777" w:rsidR="00E07588" w:rsidRDefault="00E07588" w:rsidP="006B5035">
      <w:pPr>
        <w:spacing w:line="240" w:lineRule="auto"/>
      </w:pPr>
    </w:p>
    <w:p w14:paraId="772ECAB6" w14:textId="3AD54460" w:rsidR="00975E08" w:rsidRDefault="00F050C0" w:rsidP="00483CA8">
      <w:pPr>
        <w:pStyle w:val="ListParagraph"/>
        <w:keepNext/>
        <w:keepLines/>
        <w:numPr>
          <w:ilvl w:val="0"/>
          <w:numId w:val="26"/>
        </w:numPr>
        <w:spacing w:line="240" w:lineRule="auto"/>
        <w:rPr>
          <w:b/>
          <w:bCs/>
        </w:rPr>
      </w:pPr>
      <w:r>
        <w:rPr>
          <w:b/>
        </w:rPr>
        <w:lastRenderedPageBreak/>
        <w:t>Dlí idirthréimhseach agus teacht i bhfeidhm</w:t>
      </w:r>
    </w:p>
    <w:p w14:paraId="5C56A0A2" w14:textId="499A4ACA" w:rsidR="00F050C0" w:rsidRDefault="00F050C0" w:rsidP="00483CA8">
      <w:pPr>
        <w:keepNext/>
        <w:keepLines/>
        <w:spacing w:line="240" w:lineRule="auto"/>
        <w:rPr>
          <w:b/>
          <w:bCs/>
        </w:rPr>
      </w:pPr>
    </w:p>
    <w:p w14:paraId="188EBF71" w14:textId="5A81FCD8" w:rsidR="00E27732" w:rsidRPr="00E27732" w:rsidRDefault="00027B61" w:rsidP="00483CA8">
      <w:pPr>
        <w:pStyle w:val="CommentText"/>
        <w:keepNext/>
        <w:keepLines/>
        <w:rPr>
          <w:sz w:val="18"/>
          <w:szCs w:val="18"/>
        </w:rPr>
      </w:pPr>
      <w:r>
        <w:rPr>
          <w:sz w:val="18"/>
        </w:rPr>
        <w:t xml:space="preserve">Tá an dlí idirthréimhseach inmhianaithe maidir le tréimhse bhailíochta an cheada iarratais ionas nach mbeidh ceadúnais a deonaíodh (am fada) san am atá thart bailí a thuilleadh go tobann. Chuige sin, tá idirthréimhse bliana socraithe. Tugann an tréimhse seo dóthain ama don earnáil agus don soláthraí ceadúnais iarratas a dhéanamh.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De bhun Airteagal 7(2) de Chinneadh Benelux, ní mór do thíortha Benelux na dlíthe, an dlí coiriúil, na forálacha rialúcháin agus riaracháin is gá chun forálacha Chinneadh Benelux a chomhlíonadh a thabhairt i bhfeidhm tráth nach déanaí ná trí bliana tar éis theacht i bhfeidhm Chinneadh Benelux. Tháinig Cinneadh Benelux i bhfeidhm ar 7 Nollaig 2020, rud a chiallaíonn nach mór cur chun feidhme Chinneadh Benelux seo a thabhairt chun críche ar 7 Nollaig 2023. Is le Foraithne Ríoga a thiocfaidh an Fhoraithne seo i bhfeidhm, agus é mar aidhm an leasú sin a thabhairt i bhfeidhm 1 Eanáir 2024. Is inmhianaithe teacht i bhfeidhm 1 Eanáir 2024 mar gheall ar leasú gaolmhar ar an bhForaithne maidir le Dálaí Oibre (Feasachán Gníomhartha agus Foraitheanta 2019, 471), a thiocfaidh i bhfeidhm ar an dáta sin freisin. </w:t>
      </w:r>
      <w:r>
        <w:rPr>
          <w:highlight w:val="yellow"/>
        </w:rPr>
        <w:t>Tuilleadh dlí idirthréimhseacha más gá.</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Nótaí míniúcháin de réir airteagail</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Airteagal I, Cuid 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San fhoráil seo, cuirtear roinnt sainmhínithe le hAirteagal 1.1.1(1) den Fhoraithne maidir le Tinte Ealaíne. Leanann coincheap an duine atá freagrach as Cinneadh Benelux. Maidir le staid na hÍsiltíre, chomh maith le duine ag a bhfuil saineolas, luaitear go sonrach go bhféadfadh sé gur próiseálaí tinte ealaíne nó oibreoir tinte ealaíne arna ainmniú ag eintiteas dlíthiúil atá i dteideal stóráil nó cur ar fáil ar an margadh (go minic sealbhóir an cheada iarratais) a bheadh i gceist. Tá coincheapa an phróiseálaí tinte ealaíne agus an oibreora tinte ealaíne nasctha leis an gcóras Foraithne maidir le Dálaí Oibre a rialaíonn clárú na ngairmeacha seo. Cinntíonn sé seo gur duine é seo a bhfuil eolas gairmiúil aige ar na hailt tinte ealaíne atá i gceist, agus fuair sé oiliúint chun na críche sin.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Airteagal I, Cuid B</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Tá raon feidhme an Fhoraithne maidir le Tinte Ealaíne in Airteagal 1.1.3. Trí leasú a dhéanamh ar Fhoraithne maidir le Tinte Ealaíne 20 Meitheamh 2022 (Feasachán Gníomhartha agus Foraitheanta 2022, 291), leathnaíodh é sin chuig earraí piriteicniúla de chatagóirí P1 agus P2 a úsáidtear mar thinte ealaíne nó a bhfuil sé beartaithe iad a úsáid mar thinte ealaíne. Leis an leasú reatha seo, is gá é seo a fhorlíonadh toisc nach gceadaítear P2 a dhíol gan na doiciméid rialaithe a fhíorú, fiú mura n-úsáidtear an t-airteagal seo nó má bheartaítear é a úsáid mar thine ealaíne. Mar sin féin, níl feidhm ag leathnú raon feidhme an chur i bhfeidhm go dtí an pointe seo ach amháin maidir le Caibidil 4 nua den Fhoraithne maidir le Tinte Ealaíne.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Airteagal I, Cuid C</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Baineadh úsáid as an deis chun tagairt do dhlí atá imithe in éag a cheartú. In Airteagal 1.2.5(2), rinneadh tagairt d’fhorálacha an Ghnímh Lasta Bóithre. Chuaigh an dlí seo in éag, áfach, ar 1 Bealtaine 2009 agus cuireadh an Gníomh Lasta Bóithre ina áit. Aisghaireadh leis seo an sean-Airteagal 20 den Ghníomh Lasta Bóthair, ina raibh an oibleagáid chlárúcháin agus an deimhniú clárúcháin a bhí ag gabháil leis ar áireamh go gairid. In Airteagal 29, cuireadh Airteagal 2.13 den Ghníomh Lasta Bóthair in ionad an toirmisc ar iompar a dhéanamh gan nóta coinsíneachta a tharraingt suas. Leasaíodh Airteagal 1.2.5(2) dá réir sin. </w:t>
      </w:r>
    </w:p>
    <w:p w14:paraId="099130EB" w14:textId="220E6F61" w:rsidR="00BB4790" w:rsidRDefault="00BB4790" w:rsidP="00975E08">
      <w:pPr>
        <w:spacing w:line="240" w:lineRule="auto"/>
      </w:pPr>
    </w:p>
    <w:p w14:paraId="6C604BF6" w14:textId="260807E0" w:rsidR="00BB4790" w:rsidRDefault="00BB4790" w:rsidP="00483CA8">
      <w:pPr>
        <w:keepNext/>
        <w:keepLines/>
        <w:spacing w:line="240" w:lineRule="auto"/>
        <w:rPr>
          <w:b/>
          <w:bCs/>
        </w:rPr>
      </w:pPr>
      <w:r>
        <w:rPr>
          <w:b/>
        </w:rPr>
        <w:lastRenderedPageBreak/>
        <w:t>Airteagal I, Cuid D</w:t>
      </w:r>
    </w:p>
    <w:p w14:paraId="03FCE1C3" w14:textId="77777777" w:rsidR="00BB4790" w:rsidRPr="00C9198C" w:rsidRDefault="00BB4790" w:rsidP="00483CA8">
      <w:pPr>
        <w:keepNext/>
        <w:keepLines/>
        <w:spacing w:line="240" w:lineRule="auto"/>
        <w:rPr>
          <w:b/>
          <w:bCs/>
        </w:rPr>
      </w:pPr>
    </w:p>
    <w:p w14:paraId="1ED3A512" w14:textId="415F4CB3" w:rsidR="00BB4790" w:rsidRPr="00611325" w:rsidRDefault="00BB4790" w:rsidP="00483CA8">
      <w:pPr>
        <w:keepNext/>
        <w:keepLines/>
        <w:spacing w:line="240" w:lineRule="auto"/>
      </w:pPr>
      <w:r>
        <w:t>Deonaítear an ceadúnas iarratais faoi láthair ar feadh tréimhse ama neamhshainithe. Léiríodh le cur chun feidhme Chinneadh Benelux seo nach inmhianaithe é sin a thuilleadh. Má cheanglaítear tréimhse bhailíochta cúig bliana leis an gcead iarratais, is gá athdheimhniú a dhéanamh laistigh de chúig bliana an gcomhlíonann an t-iarratasóir na ceanglais go léir, amhail VOG. Cuidíonn sé sin le maoirseacht agus forfheidhmiú an cheada iarratais.</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Airteagal I, Cuid F</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Tar éis Caibidil 3B, tá caibidil nua isteach san Foraithne maidir le Tinte Ealaíne leis na príomhfhorálacha le haghaidh an phireaphas.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Airteagal 4.1</w:t>
      </w:r>
    </w:p>
    <w:p w14:paraId="6D216F10" w14:textId="000E4BB8" w:rsidR="0026407F" w:rsidRPr="0026407F" w:rsidRDefault="0026407F" w:rsidP="00975E08">
      <w:pPr>
        <w:spacing w:line="240" w:lineRule="auto"/>
      </w:pPr>
      <w:r>
        <w:t xml:space="preserve">Le hAirteagal 4.1(1) toirmisctear ar oibreoirí na hearraí piriteicniúla atá sonraithe sa mhír sin a chur ar fáil ar an margadh gan doiciméid daoine a bhfuil saineolas acu a sheiceáil. Foráiltear i mír 2 nach mór doiciméad cigireachta agus doiciméad aitheantais an duine fhreagraigh sin a sheiceáil nuair a sholáthraítear earraí piriteicniúla agus nuair atá duine nádúrtha ag gníomhú thar ceann duine dhlítheanaigh. Rialaítear le mír 3 nach mór do dhaoine a bhfuil eolas speisialaithe nó daoine freagracha acu é sin a léiriú le pireaphas. Níl feidhm ag ceanglais Threoir Pyro agus, dá bhrí sin, ag forálacha Chinneadh Benelux maidir le hearraí piriteicniúla d’úsáid neamhthráchtála, i gcomhréir leis an dlí náisiúnta, ag fórsaí armtha, ag póilíní nó ag briogáidí dóiteáin. Dá bhrí sin, ní gá do na grúpaí sin pas pire a iarraidh freisin (Airteagal 1.1.2a(1), fo-ailt c go f). Leagtar síos múnla an phireabhealaigh i gCinneadh Benelux agus ní áirítear ach catagóirí áirithe earraí piriteicniúla. San Ísiltír, áfach, tá tinte ealaíne de chatagóir F2 nach bhfuil ainmnithe d’úsáid phríobháideach agus earraí piriteicniúla d’úsáid téatair chatagóir T1 in áirithe freisin do dhaoine a bhfuil saineolas acu. Dá bhrí sin, foráiltear le mír 4 go bhfuil daoine atá údaraithe le haghaidh tinte ealaíne de chatagóir F3 nó F4 údaraithe freisin le haghaidh tinte ealaíne de chatagóir F2 agus i mír 5, go bhfuil daoine atá údaraithe le haghaidh earraí piriteicniúla d’úsáid téatair de chatagóir T2 údaraithe freisin le haghaidh earraí piriteicniúla d’úsáid téatair chatagóir T1. Seachas sin, is é an toradh a bheadh air sin, mar shampla, nach mór do dhuine a bhfuil saineolas aige a bpéireas a thaispeáint d’idirbheart díolacháin maidir le hearraí piriteicniúla de chatagóir T2 agus doiciméad eile a chruthaíonn gur duine iad a bhfuil saineolas aige ar earraí de chatagóir T1. Meastar go bhfuil sé sin neamh-inmhianaithe. Leagtar síos i mír 8 na doiciméid atá le coinneáil ag oibreoirí eacnamaíocha agus an fad a mhairfidh siad. I gcásanna ina ndéantar an t-iompar, coinneofar an doiciméad iompair ábhartha. Ar bhonn Chinneadh Benelux, is gá cloí leis na teorainneacha ama a leagtar síos sa dlí náisiúnta. San Ísiltír, ní mór riarachán airgeadais cuideachtaí a choinneáil ar feadh seacht mbliana. Cuirfear an méid sin i gceangal leis an bhForaithne seo.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Airteagal 4.2</w:t>
      </w:r>
    </w:p>
    <w:p w14:paraId="2012168C" w14:textId="7E3C8FCA" w:rsidR="000C0E6D" w:rsidRPr="000C0E6D" w:rsidRDefault="00453DDC" w:rsidP="000C0E6D">
      <w:pPr>
        <w:pStyle w:val="CommentText"/>
        <w:rPr>
          <w:sz w:val="18"/>
          <w:szCs w:val="18"/>
        </w:rPr>
      </w:pPr>
      <w:r>
        <w:rPr>
          <w:sz w:val="18"/>
        </w:rPr>
        <w:t>Liostaíonn an t-airteagal seo na daoine atá incháilithe le haghaidh pireaphas san Ísiltír. Cé nach bhfuil sé seo á rialú go díreach ag Cinneadh Benelux, tá sé tábhachtach a shainiú cé ar féidir leo iarratas a dhéanamh ar phireaphas. Comhaontaítear i gcomhthéacs Benelux go mbeidh daoine a bhfuil saineolas acu infheidhme ar an bpireaistir sa tír ina n-ainmnítear iad faoin dlí is infheidhme mar dhuine a bhfuil saineolas aige. Mar sin féin, luaitear sa mheabhrán míniúcháin a ghabhann le Cinneadh Benelux gur doiciméad pearsanta i gcónaí é an pireaphas. Dá bhrí sin, foráiltear leis an airteagal seo nach bhfuil ach daoine nádúrtha incháilithe le haghaidh pireaphas. Rialaítear airteagail P2 le Cinneadh Benelux freisin. Ar bhonn Airteagal 3 den Rialachán maidir le hearraí piriteicniúla eile, ainmnítear daoine a bhfuil saineolas acu agus a fhéadfaidh earraí piriteicniúla de chatagóir P2 a úsáid i ngeall ar chomhlíonadh a bhfeidhme. Tá na daoine seo incháilithe freisin le haghaidh pireaphas.</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lastRenderedPageBreak/>
        <w:t xml:space="preserve">Foráiltear go sonrach i mír 2 go ndéanfar an t-iarratas ar phireaphas do dhuine freagrach in éineacht le sealbhóir ceada iarratais. Ar an gcaoi sin, is féidir a áirithiú go n-aontaíonn sealbhóir an iarratais agus an duine atá freagrach leis an iarratas.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Beidh tréimhse bhailíochta luaite ar an bpireaphas ag an bpireaphas freisin. Ní rialaítear an tréimhse bhailíochta sin le Cinneadh Benelux féin. Mar gheall ar an nasc leis an gclárú mar phróiseálaí tinte ealaíne nó mar oibreoir tinte ealaíne, cinneadh é a ailíniú le tréimhse bhailíochta an chlárúcháin. Nuair a bheidh sé imithe in éag, ní mór pireaphas nua a iarraidh tar éis cúig bliana ar a mhéad. Mar sin féin, d’fhéadfadh tréimhse bhailíochta an phireaphas a bheith níos giorra, ag brath ar cibé an bhfuil an t-iarratas nó an cead comhshaoil níos giorra ná an clárú. Cinntíonn sé seo go bhfuil an clár cothrom le dáta.</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Forbraítear roinnt gnéithe níos teicniúla agus níos nós imeachta le rialáil na n-airí. Mar shampla, is le rialachán aireachta a bhunaítear múnla an phireaphas, mar atá sé i gceangal freisin le Cinneadh Benelux.</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Ní féidir leis an gcóras pireaphas feidhmiú i gceart ach amháin má tá féidearthachtaí ann an pireaphas a tharraingt siar. Sonraítear i mír 6 agus i mír 7 na himthosca inarb amhlaidh atá. Is iad na cúinsí sin cur chun feidhme Chinneadh Benelux.</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t>Airteagal 4.3</w:t>
      </w:r>
    </w:p>
    <w:p w14:paraId="2D850221" w14:textId="7AF0A3A5" w:rsidR="004A650F" w:rsidRPr="0045450C" w:rsidRDefault="004A650F" w:rsidP="00E910E4">
      <w:pPr>
        <w:keepNext/>
        <w:keepLines/>
        <w:spacing w:line="240" w:lineRule="auto"/>
      </w:pPr>
      <w:r>
        <w:t xml:space="preserve">Sonraítear san airteagal seo na doiciméid a stóráiltear sa chlár pireaphas. Agus an méid sin á dhéanamh, ní stóráiltear níos mó faisnéise ná mar is gá chun na seiceálacha a dhéanamh.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Airteagal 4.4</w:t>
      </w:r>
      <w:r>
        <w:rPr>
          <w:b/>
          <w:i/>
        </w:rPr>
        <w:br/>
      </w:r>
      <w:r>
        <w:t xml:space="preserve">Ba cheart an fhaisnéis is gá ón gclár a bheith ar fáil do na páirtithe a bhfuil rochtain acu ar an gclár pireaphas, sa chleachtas, d’oibreoirí eacnamaíocha agus do chomhlachtaí rialála chun a ndualgas a chomhlíonadh. Dá bhrí sin, sonraítear san airteagal seo nach mór don Aire a chinntiú go gcuirtear sonraí agus doiciméid sa chlár pireaphas ar fáil gan mhoill.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Airteagal 4.5</w:t>
      </w:r>
    </w:p>
    <w:p w14:paraId="2E43070D" w14:textId="2C1D619E" w:rsidR="005D21FE" w:rsidRDefault="008B1DFC" w:rsidP="00975E08">
      <w:pPr>
        <w:spacing w:line="240" w:lineRule="auto"/>
      </w:pPr>
      <w:r>
        <w:t xml:space="preserve">Leagtar amach san Airteagal seo cé dó a bhfuil rochtain ar na sonraí agus ar na doiciméid sa chlár pireaphas. Ar an gcéad dul síos, tá sé tábhachtach go mbeadh rochtain ag na húdaráis forfheidhmithe i réimse na n-earraí piriteicniúla ar an gclár. Go praiticiúil, is iad seo an ILT agus an tSeirbhís Ionchúisimh Phoiblí. Tá siad sin ainmnithe i mír 1. Ina theannta sin, ba cheart rochtain a bheith ag oibreoirí eacnamaíocha agus earraí á gcur ar fáil ar an margadh acu, ach amháin chun bailíocht an phireaphas a fhíorú. Mar thoradh air sin, níl rochtain níos mó acu ar aon sonraí pearsanta ná mar is gá.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Airteagal 4.6</w:t>
      </w:r>
    </w:p>
    <w:p w14:paraId="4759D869" w14:textId="43FA3E6D" w:rsidR="008B1DFC" w:rsidRPr="00414847" w:rsidRDefault="008B1DFC" w:rsidP="00975E08">
      <w:pPr>
        <w:spacing w:line="240" w:lineRule="auto"/>
      </w:pPr>
      <w:r>
        <w:t>Bunaítear leis an Airteagal seo tréimhse choinneála na sonraí sa chlár pireaphas ar 12 bhliain. Ní fhéadfar sonraí pearsanta a stóráil níos faide ná mar is gá. I bhfianaise na huastréimhse teorann le haghaidh cionta tinte ealaíne, tá an tréimhse choinneála nasctha leis sin.</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Airteagal II</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Deonaítear na húdaruithe iarratais a deonaíodh cheana féin roimh theacht i bhfeidhm an Fhoraithne seo ar feadh tréimhse éiginnte. Roghnaíodh spriocdháta de 1 Eanáir 2025 le haghaidh thréimhse bailíochta na gceadanna iarratais reatha. Tugann an tréimhse bliana seo dóthain ama d’iarratasóirí agus d’Aire IenW, mar sholáthraí ceadanna, chun iarratas a chur isteach agus a mheasúnú. </w:t>
      </w:r>
    </w:p>
    <w:p w14:paraId="1B5AF875" w14:textId="77777777" w:rsidR="001A647B" w:rsidRDefault="001A647B" w:rsidP="00975E08">
      <w:pPr>
        <w:spacing w:line="240" w:lineRule="auto"/>
        <w:rPr>
          <w:b/>
          <w:bCs/>
        </w:rPr>
      </w:pPr>
    </w:p>
    <w:p w14:paraId="0667A53D" w14:textId="06FC6BD7" w:rsidR="005D21FE" w:rsidRDefault="005D21FE" w:rsidP="00483CA8">
      <w:pPr>
        <w:keepNext/>
        <w:keepLines/>
        <w:spacing w:line="240" w:lineRule="auto"/>
        <w:rPr>
          <w:b/>
          <w:bCs/>
        </w:rPr>
      </w:pPr>
      <w:r>
        <w:rPr>
          <w:b/>
        </w:rPr>
        <w:lastRenderedPageBreak/>
        <w:t>Airteagal III</w:t>
      </w:r>
    </w:p>
    <w:p w14:paraId="387DB410" w14:textId="497199C3" w:rsidR="005D21FE" w:rsidRDefault="005D21FE" w:rsidP="00483CA8">
      <w:pPr>
        <w:keepNext/>
        <w:keepLines/>
        <w:spacing w:line="240" w:lineRule="auto"/>
        <w:rPr>
          <w:b/>
          <w:bCs/>
        </w:rPr>
      </w:pPr>
    </w:p>
    <w:p w14:paraId="37247A84" w14:textId="12F1CEE6" w:rsidR="005D21FE" w:rsidRDefault="005D21FE" w:rsidP="00483CA8">
      <w:pPr>
        <w:keepNext/>
        <w:keepLines/>
        <w:spacing w:line="240" w:lineRule="auto"/>
      </w:pPr>
      <w:r>
        <w:t>Tiocfaidh an Fhoraithne seo i bhfeidhm tráth a shonrófar le foraithne ríoga agus a fhéadfaidh a bheith éagsúil le haghaidh na n-airteagal aonair nó codanna díobh. Mar a mhínítear sa roinn ghinearálta den mheabhrán míniúcháin, tá Cinneadh Benelux le cur chun feidhme ar 7 Nollaig 2023. Is í an sprioc atá ann ailíniú chomh dlúth agus is féidir leis sin, trí theacht i bhfeidhm ar 1 Eanáir 2024. Níl teacht i bhfeidhm níos luaithe ná 1 Eanáir 2024 inmhianaithe mar gheall ar theacht i bhfeidhm an leasaithe ar Fhoraithne maidir le Dálaí Oibre (Feasachán Gníomnartha agus Foraitheanta 2019, 471) a bhfuil iarmhairtí aige don Fhoraithne seo. 1 Is tréimhse shocraithe é Eanáir freisin le haghaidh ordú ginearálta riaracháin (nó leasú air) dá dtagraítear i Nóta 4.17 de na Rialacháin. De bhun Airteagal 21.6 (5) den Wm, tarchuirfear an Fhoraithne seo, tar éis a ghlactha, chuig dhá sheomra na Stát Ginearálta agus tiocfaidh sí i bhfeidhm tráth nach luaithe ná ceithre seachtaine tar éis dháta eisiúna na hIrise Oifigiúla inar foilsíodh í.</w:t>
      </w:r>
    </w:p>
    <w:p w14:paraId="0EE9ECA0" w14:textId="3F277537" w:rsidR="007F3C60" w:rsidRDefault="007F3C60" w:rsidP="00483CA8">
      <w:pPr>
        <w:keepNext/>
        <w:keepLines/>
        <w:spacing w:line="240" w:lineRule="auto"/>
      </w:pPr>
    </w:p>
    <w:p w14:paraId="154545D8" w14:textId="19EF6088" w:rsidR="007F3C60" w:rsidRPr="00483CA8" w:rsidRDefault="007F3C60" w:rsidP="007F3C60">
      <w:pPr>
        <w:rPr>
          <w:lang w:val="en-US"/>
        </w:rPr>
      </w:pPr>
      <w:r>
        <w:t>AN STÁTRÚNAÍ BONNEAGAIR AGUS BAINISTÍOCHTA UISCE,</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BEBC" w14:textId="77777777" w:rsidR="00425AB7" w:rsidRDefault="00425AB7">
      <w:pPr>
        <w:spacing w:line="240" w:lineRule="auto"/>
      </w:pPr>
      <w:r>
        <w:separator/>
      </w:r>
    </w:p>
  </w:endnote>
  <w:endnote w:type="continuationSeparator" w:id="0">
    <w:p w14:paraId="2AFDC666" w14:textId="77777777" w:rsidR="00425AB7" w:rsidRDefault="00425AB7">
      <w:pPr>
        <w:spacing w:line="240" w:lineRule="auto"/>
      </w:pPr>
      <w:r>
        <w:continuationSeparator/>
      </w:r>
    </w:p>
  </w:endnote>
  <w:endnote w:type="continuationNotice" w:id="1">
    <w:p w14:paraId="7677C328" w14:textId="77777777" w:rsidR="00425AB7" w:rsidRDefault="00425A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8DA87" w14:textId="77777777" w:rsidR="00425AB7" w:rsidRDefault="00425AB7">
      <w:pPr>
        <w:spacing w:line="240" w:lineRule="auto"/>
      </w:pPr>
      <w:r>
        <w:separator/>
      </w:r>
    </w:p>
  </w:footnote>
  <w:footnote w:type="continuationSeparator" w:id="0">
    <w:p w14:paraId="23927B31" w14:textId="77777777" w:rsidR="00425AB7" w:rsidRDefault="00425AB7">
      <w:pPr>
        <w:spacing w:line="240" w:lineRule="auto"/>
      </w:pPr>
      <w:r>
        <w:continuationSeparator/>
      </w:r>
    </w:p>
  </w:footnote>
  <w:footnote w:type="continuationNotice" w:id="1">
    <w:p w14:paraId="45066E1E" w14:textId="77777777" w:rsidR="00425AB7" w:rsidRDefault="00425AB7">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Cinneadh ó Choiste Airí Benelux maidir le pas pirea-phas a thabhairt isteach — M (2020) 14 (Iris Oifigiúil Benelux 2021, Uimh. 1), arna leasú ag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Doiciméid Pharlaiminteacha II</w:t>
      </w:r>
      <w:r>
        <w:rPr>
          <w:sz w:val="16"/>
        </w:rPr>
        <w:t xml:space="preserve"> 2022-2023, 36268, Uimh. 3, l.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 Treoir 2013/29/AE ó Pharlaimint na hEorpa agus ón gComhairle 12 Meitheamh 2013 maidir le comhchuibhiú dhlíthe na mBallstát a bhaineann le hearraí piriteicniúla a chur ar fáil ar an margadh (IO 2013, L 178) agus </w:t>
      </w:r>
    </w:p>
  </w:footnote>
  <w:footnote w:id="5">
    <w:p w14:paraId="6A3268F0" w14:textId="65C45BA5" w:rsidR="00FA2E81" w:rsidRDefault="00FA2E81">
      <w:pPr>
        <w:pStyle w:val="FootnoteText"/>
      </w:pPr>
      <w:r>
        <w:rPr>
          <w:rStyle w:val="FootnoteReference"/>
          <w:sz w:val="16"/>
          <w:szCs w:val="16"/>
        </w:rPr>
        <w:footnoteRef/>
      </w:r>
      <w:r>
        <w:rPr>
          <w:sz w:val="16"/>
        </w:rPr>
        <w:t xml:space="preserve"> Mar sin féin, déantar tuilleadh cóineasaithe a shaothrú trí Mholadh M (2020) 15 ó Choiste Airí Benelux maidir leis na riachtanais a bhaineann le heolas speisialaithe chun earraí piriteicniúla a láimhseáil agus/nó a úsáid.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Muidne </w:t>
                          </w:r>
                          <w:r>
                            <w:rPr>
                              <w:rFonts w:ascii="Arial" w:hAnsi="Arial"/>
                              <w:smallCaps/>
                              <w:color w:val="D78632"/>
                              <w:sz w:val="128"/>
                            </w:rPr>
                            <w:t>W</w:t>
                          </w:r>
                          <w:r>
                            <w:rPr>
                              <w:rFonts w:ascii="Arial" w:hAnsi="Arial"/>
                              <w:smallCaps/>
                              <w:color w:val="auto"/>
                              <w:sz w:val="52"/>
                            </w:rPr>
                            <w:t xml:space="preserve">illem </w:t>
                          </w:r>
                          <w:r>
                            <w:rPr>
                              <w:rFonts w:ascii="Arial" w:hAnsi="Arial"/>
                              <w:smallCaps/>
                              <w:color w:val="D78632"/>
                              <w:sz w:val="128"/>
                            </w:rPr>
                            <w:t>A</w:t>
                          </w:r>
                          <w:r>
                            <w:rPr>
                              <w:rFonts w:ascii="Arial" w:hAnsi="Arial"/>
                              <w:smallCaps/>
                              <w:color w:val="auto"/>
                              <w:sz w:val="52"/>
                            </w:rPr>
                            <w:t>lexander,</w:t>
                          </w:r>
                          <w:r>
                            <w:rPr>
                              <w:rFonts w:ascii="Arial" w:hAnsi="Arial"/>
                              <w:smallCaps/>
                              <w:color w:val="auto"/>
                              <w:sz w:val="52"/>
                            </w:rPr>
                            <w:br/>
                            <w:t>le grásta Dé,</w:t>
                          </w:r>
                          <w:r>
                            <w:rPr>
                              <w:rFonts w:ascii="Arial" w:hAnsi="Arial"/>
                              <w:smallCaps/>
                              <w:color w:val="auto"/>
                              <w:sz w:val="52"/>
                            </w:rPr>
                            <w:br/>
                            <w:t>Rí na hÍsiltíre, Prionsa Oráiste-Nassau, etc. etc.</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Muidne </w:t>
                    </w:r>
                    <w:r>
                      <w:rPr>
                        <w:rFonts w:ascii="Arial" w:hAnsi="Arial"/>
                        <w:smallCaps/>
                        <w:color w:val="D78632"/>
                        <w:sz w:val="128"/>
                      </w:rPr>
                      <w:t>W</w:t>
                    </w:r>
                    <w:r>
                      <w:rPr>
                        <w:rFonts w:ascii="Arial" w:hAnsi="Arial"/>
                        <w:smallCaps/>
                        <w:color w:val="auto"/>
                        <w:sz w:val="52"/>
                      </w:rPr>
                      <w:t xml:space="preserve">illem </w:t>
                    </w:r>
                    <w:r>
                      <w:rPr>
                        <w:rFonts w:ascii="Arial" w:hAnsi="Arial"/>
                        <w:smallCaps/>
                        <w:color w:val="D78632"/>
                        <w:sz w:val="128"/>
                      </w:rPr>
                      <w:t>A</w:t>
                    </w:r>
                    <w:r>
                      <w:rPr>
                        <w:rFonts w:ascii="Arial" w:hAnsi="Arial"/>
                        <w:smallCaps/>
                        <w:color w:val="auto"/>
                        <w:sz w:val="52"/>
                      </w:rPr>
                      <w:t>lexander,</w:t>
                    </w:r>
                    <w:r>
                      <w:rPr>
                        <w:rFonts w:ascii="Arial" w:hAnsi="Arial"/>
                        <w:smallCaps/>
                        <w:color w:val="auto"/>
                        <w:sz w:val="52"/>
                      </w:rPr>
                      <w:br/>
                      <w:t>le grásta Dé,</w:t>
                    </w:r>
                    <w:r>
                      <w:rPr>
                        <w:rFonts w:ascii="Arial" w:hAnsi="Arial"/>
                        <w:smallCaps/>
                        <w:color w:val="auto"/>
                        <w:sz w:val="52"/>
                      </w:rPr>
                      <w:br/>
                      <w:t>Rí na hÍsiltíre, Prionsa Oráiste-Nassau, etc. etc.</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25AB7"/>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3CA8"/>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ga-IE"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6561</Words>
  <Characters>37403</Characters>
  <Application>Microsoft Office Word</Application>
  <DocSecurity>0</DocSecurity>
  <Lines>311</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9</cp:revision>
  <dcterms:created xsi:type="dcterms:W3CDTF">2023-04-24T08:10:00Z</dcterms:created>
  <dcterms:modified xsi:type="dcterms:W3CDTF">2023-05-11T12:59:00Z</dcterms:modified>
</cp:coreProperties>
</file>