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69FE16F4" w:rsidR="00DF230E" w:rsidRDefault="00BF4D58" w:rsidP="00E044E9">
      <w:pPr>
        <w:pStyle w:val="Titel"/>
        <w:tabs>
          <w:tab w:val="clear" w:pos="6804"/>
          <w:tab w:val="right" w:pos="7513"/>
        </w:tabs>
      </w:pPr>
      <w:r>
        <w:rPr>
          <w:noProof/>
        </w:rPr>
        <w:drawing>
          <wp:anchor distT="0" distB="0" distL="114300" distR="114300" simplePos="0" relativeHeight="251664387" behindDoc="1" locked="0" layoutInCell="1" allowOverlap="1" wp14:anchorId="4AEA98CB" wp14:editId="79D60ECA">
            <wp:simplePos x="0" y="0"/>
            <wp:positionH relativeFrom="column">
              <wp:posOffset>3471545</wp:posOffset>
            </wp:positionH>
            <wp:positionV relativeFrom="paragraph">
              <wp:posOffset>-19050</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9" behindDoc="0" locked="0" layoutInCell="1" allowOverlap="1" wp14:anchorId="435A3742" wp14:editId="7DAE9396">
                <wp:simplePos x="0" y="0"/>
                <wp:positionH relativeFrom="column">
                  <wp:posOffset>3951833</wp:posOffset>
                </wp:positionH>
                <wp:positionV relativeFrom="paragraph">
                  <wp:posOffset>28886</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ZVIEDRIJAS TRANSPORTA AĢENTŪRA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311.15pt;margin-top:2.25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" fillcolor="white [3201]" stroked="f" strokeweight=".5pt">
                <v:textbox inset="0,0,0,0">
                  <w:txbxContent>
                    <w:p w14:paraId="0E4F1C78" w14:textId="649D1583" w:rsidR="00BF48CC" w:rsidRPr="00BF48CC" w:rsidRDefault="00BF48CC">
                      <w:pPr>
                        <w:rPr>
                          <w:b/>
                          <w:bCs/>
                          <w:sz w:val="22"/>
                          <w:szCs w:val="22"/>
                        </w:rPr>
                      </w:pPr>
                      <w:r>
                        <w:rPr>
                          <w:b/>
                          <w:sz w:val="22"/>
                        </w:rPr>
                        <w:t>ZVIEDRIJAS TRANSPORTA AĢENTŪRA</w:t>
                      </w:r>
                    </w:p>
                  </w:txbxContent>
                </v:textbox>
              </v:shape>
            </w:pict>
          </mc:Fallback>
        </mc:AlternateContent>
      </w:r>
      <w:r w:rsidR="00BF48CC">
        <w:t>Zviedrijas Transporta aģentūras</w:t>
      </w:r>
      <w:r w:rsidR="00BF48CC">
        <w:br/>
        <w:t>Normatīvo aktu krājums</w:t>
      </w:r>
      <w:r w:rsidR="00BF48CC">
        <w:tab/>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1198F6AF" w:rsidR="00DA54A8" w:rsidRPr="00A44C8A" w:rsidRDefault="00990DD5" w:rsidP="00CA6BA0">
      <w:pPr>
        <w:pStyle w:val="Frfattningsrubrik"/>
        <w:tabs>
          <w:tab w:val="right" w:pos="6804"/>
        </w:tabs>
      </w:pPr>
      <w:r>
        <w:t>Zviedrijas Transporta aģentūras Noteikumi</w:t>
      </w:r>
      <w:r>
        <w:br/>
        <w:t xml:space="preserve">par </w:t>
      </w:r>
      <w:sdt>
        <w:sdtPr>
          <w:alias w:val="Klikšķiniet šeit un ievadiet tekstu"/>
          <w:tag w:val="Rub"/>
          <w:id w:val="1080104925"/>
          <w:placeholder>
            <w:docPart w:val="F22C8F9D5F9340BE9A821B78F374FAD6"/>
          </w:placeholder>
          <w:dataBinding w:prefixMappings="xmlns:ns0='consensis-fs'" w:xpath="/ns0:root[1]/ns0:fs-fields[1]/ns0:fs-heading[1]" w:storeItemID="{F222B965-9C48-4AC7-962E-E2AF3EEF1550}"/>
          <w:text/>
        </w:sdtPr>
        <w:sdtEndPr/>
        <w:sdtContent>
          <w:r w:rsidR="00BF4D58">
            <w:t>tehniskajām prasībām transportlīdzekļu sastāviem, kuru garums pārsniedz 25,25 metrus</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BF4D58"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gads"/>
                                <w:tag w:val="År"/>
                                <w:id w:val="-1222900966"/>
                                <w:showingPlcHdr/>
                                <w:dataBinding w:prefixMappings="xmlns:ns0='consensis-fs'" w:xpath="/ns0:root[1]/ns0:fs-fields[1]/ns0:fs-year[1]" w:storeItemID="{F222B965-9C48-4AC7-962E-E2AF3EEF1550}"/>
                                <w:text/>
                              </w:sdtPr>
                              <w:sdtEndPr/>
                              <w:sdtContent>
                                <w:r w:rsidR="00E044E9">
                                  <w:rPr>
                                    <w:rStyle w:val="PlaceholderText"/>
                                  </w:rPr>
                                  <w:t>[gads]</w:t>
                                </w:r>
                              </w:sdtContent>
                            </w:sdt>
                            <w:r w:rsidR="00E044E9">
                              <w:t>:</w:t>
                            </w:r>
                            <w:sdt>
                              <w:sdtPr>
                                <w:alias w:val="Nr."/>
                                <w:tag w:val="Nr"/>
                                <w:id w:val="1068315890"/>
                                <w:showingPlcHdr/>
                                <w:dataBinding w:prefixMappings="xmlns:ns0='consensis-fs'" w:xpath="/ns0:root[1]/ns0:fs-fields[1]/ns0:fs-no[1]" w:storeItemID="{F222B965-9C48-4AC7-962E-E2AF3EEF1550}"/>
                                <w:text/>
                              </w:sdtPr>
                              <w:sdtEndPr/>
                              <w:sdtContent>
                                <w:r w:rsidR="00E044E9">
                                  <w:rPr>
                                    <w:rStyle w:val="PlaceholderText"/>
                                  </w:rPr>
                                  <w:t>[Nr.]</w:t>
                                </w:r>
                              </w:sdtContent>
                            </w:sdt>
                          </w:p>
                          <w:p w14:paraId="7AC60FE8" w14:textId="77777777" w:rsidR="00925C91" w:rsidRDefault="00925C91" w:rsidP="001E320C">
                            <w:pPr>
                              <w:pStyle w:val="Trycket"/>
                              <w:shd w:val="clear" w:color="auto" w:fill="auto"/>
                            </w:pPr>
                            <w:r>
                              <w:t>Publicēti</w:t>
                            </w:r>
                            <w:r>
                              <w:br/>
                            </w:r>
                            <w:sdt>
                              <w:sdtPr>
                                <w:alias w:val="Izvēlieties datumu"/>
                                <w:tag w:val="Utkom datum"/>
                                <w:id w:val="1764647152"/>
                                <w:showingPlcHdr/>
                                <w:dataBinding w:prefixMappings="xmlns:ns0='consensis-fs'" w:xpath="/ns0:root[1]/ns0:fs-fields[1]/ns0:fs-date[1]" w:storeItemID="{F222B965-9C48-4AC7-962E-E2AF3EEF1550}"/>
                                <w:date>
                                  <w:dateFormat w:val="d MMMM yyyy"/>
                                  <w:lid w:val="lv-LV"/>
                                  <w:storeMappedDataAs w:val="dateTime"/>
                                  <w:calendar w:val="gregorian"/>
                                </w:date>
                              </w:sdtPr>
                              <w:sdtEndPr/>
                              <w:sdtContent>
                                <w:r>
                                  <w:rPr>
                                    <w:rStyle w:val="PlaceholderText"/>
                                  </w:rPr>
                                  <w:t>[Izvēlieties datumu]</w:t>
                                </w:r>
                              </w:sdtContent>
                            </w:sdt>
                          </w:p>
                          <w:sdt>
                            <w:sdtPr>
                              <w:alias w:val="Ievadiet sēriju"/>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AUTOCEĻI</w:t>
                                </w:r>
                              </w:p>
                            </w:sdtContent>
                          </w:sdt>
                          <w:p w14:paraId="615A4AE6" w14:textId="77777777" w:rsidR="00925C91" w:rsidRPr="007C403E" w:rsidRDefault="00BF4D58" w:rsidP="007C403E">
                            <w:pPr>
                              <w:pStyle w:val="Underserie"/>
                              <w:rPr>
                                <w:bCs/>
                              </w:rPr>
                            </w:pPr>
                            <w:sdt>
                              <w:sdtPr>
                                <w:alias w:val="Ievadiet apakšsēriju"/>
                                <w:tag w:val="Userie"/>
                                <w:id w:val="1607690029"/>
                                <w:showingPlcHdr/>
                                <w:dataBinding w:prefixMappings="xmlns:ns0='consensis-fs'" w:xpath="/ns0:root[1]/ns0:fs-fields[1]/ns0:fs-subseries[1]" w:storeItemID="{F222B965-9C48-4AC7-962E-E2AF3EEF1550}"/>
                                <w:text/>
                              </w:sdtPr>
                              <w:sdtEndPr/>
                              <w:sdtContent>
                                <w:r w:rsidR="00E044E9">
                                  <w:rPr>
                                    <w:rStyle w:val="PlaceholderText"/>
                                  </w:rPr>
                                  <w:t>[Ievadiet apakšsēriju]</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gads"/>
                          <w:tag w:val="År"/>
                          <w:id w:val="-1222900966"/>
                          <w:showingPlcHdr/>
                          <w:dataBinding w:prefixMappings="xmlns:ns0='consensis-fs'" w:xpath="/ns0:root[1]/ns0:fs-fields[1]/ns0:fs-year[1]" w:storeItemID="{F222B965-9C48-4AC7-962E-E2AF3EEF1550}"/>
                          <w:text/>
                        </w:sdtPr>
                        <w:sdtEndPr/>
                        <w:sdtContent>
                          <w:r>
                            <w:rPr>
                              <w:rStyle w:val="PlaceholderText"/>
                            </w:rPr>
                            <w:t xml:space="preserve">[gads]</w:t>
                          </w:r>
                        </w:sdtContent>
                      </w:sdt>
                      <w:r>
                        <w:t xml:space="preserve">:</w:t>
                      </w:r>
                      <w:sdt>
                        <w:sdtPr>
                          <w:alias w:val="Nr."/>
                          <w:tag w:val="Nr"/>
                          <w:id w:val="1068315890"/>
                          <w:showingPlcHdr/>
                          <w:dataBinding w:prefixMappings="xmlns:ns0='consensis-fs'" w:xpath="/ns0:root[1]/ns0:fs-fields[1]/ns0:fs-no[1]" w:storeItemID="{F222B965-9C48-4AC7-962E-E2AF3EEF1550}"/>
                          <w:text/>
                        </w:sdtPr>
                        <w:sdtEndPr/>
                        <w:sdtContent>
                          <w:r>
                            <w:rPr>
                              <w:rStyle w:val="PlaceholderText"/>
                            </w:rPr>
                            <w:t xml:space="preserve">[Nr.]</w:t>
                          </w:r>
                        </w:sdtContent>
                      </w:sdt>
                    </w:p>
                    <w:p w14:paraId="7AC60FE8" w14:textId="77777777" w:rsidR="00925C91" w:rsidRDefault="00925C91" w:rsidP="001E320C">
                      <w:pPr>
                        <w:pStyle w:val="Trycket"/>
                        <w:shd w:val="clear" w:color="auto" w:fill="auto"/>
                      </w:pPr>
                      <w:r>
                        <w:t xml:space="preserve">Publicēti</w:t>
                      </w:r>
                      <w:r>
                        <w:br/>
                      </w:r>
                      <w:sdt>
                        <w:sdtPr>
                          <w:alias w:val="Izvēlieties datumu"/>
                          <w:tag w:val="Utkom datum"/>
                          <w:id w:val="1764647152"/>
                          <w:showingPlcHdr/>
                          <w:dataBinding w:prefixMappings="xmlns:ns0='consensis-fs'" w:xpath="/ns0:root[1]/ns0:fs-fields[1]/ns0:fs-date[1]" w:storeItemID="{F222B965-9C48-4AC7-962E-E2AF3EEF1550}"/>
                          <w:date>
                            <w:dateFormat w:val="d MMMM yyyy"/>
                            <w:lid w:val="lv-LV"/>
                            <w:storeMappedDataAs w:val="dateTime"/>
                            <w:calendar w:val="gregorian"/>
                          </w:date>
                        </w:sdtPr>
                        <w:sdtEndPr/>
                        <w:sdtContent>
                          <w:r>
                            <w:rPr>
                              <w:rStyle w:val="PlaceholderText"/>
                            </w:rPr>
                            <w:t xml:space="preserve">[Izvēlieties datumu]</w:t>
                          </w:r>
                        </w:sdtContent>
                      </w:sdt>
                    </w:p>
                    <w:sdt>
                      <w:sdtPr>
                        <w:alias w:val="Ievadiet sēriju"/>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AUTOCEĻI</w:t>
                          </w:r>
                        </w:p>
                      </w:sdtContent>
                    </w:sdt>
                    <w:p w14:paraId="615A4AE6" w14:textId="77777777" w:rsidR="00925C91" w:rsidRPr="007C403E" w:rsidRDefault="00E044E9" w:rsidP="007C403E">
                      <w:pPr>
                        <w:pStyle w:val="Underserie"/>
                        <w:rPr>
                          <w:bCs/>
                        </w:rPr>
                      </w:pPr>
                      <w:sdt>
                        <w:sdtPr>
                          <w:alias w:val="Ievadiet apakšsēriju"/>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[Ievadiet apakšsēriju]</w:t>
                          </w:r>
                        </w:sdtContent>
                      </w:sdt>
                    </w:p>
                  </w:txbxContent>
                </v:textbox>
                <w10:wrap anchorx="page" anchory="page"/>
                <w10:anchorlock/>
              </v:shape>
            </w:pict>
          </mc:Fallback>
        </mc:AlternateContent>
      </w:r>
      <w:r>
        <w:t xml:space="preserve">pieņemti </w:t>
      </w:r>
      <w:sdt>
        <w:sdtPr>
          <w:rPr>
            <w:szCs w:val="22"/>
          </w:rPr>
          <w:alias w:val="Izvēlieties datumu"/>
          <w:tag w:val="Välj ett datum"/>
          <w:id w:val="1438946608"/>
          <w:placeholder>
            <w:docPart w:val="0EA98AAD02484BC4BACB240D92FCD4DF"/>
          </w:placeholder>
          <w:showingPlcHdr/>
          <w:date>
            <w:dateFormat w:val="d MMMM yyyy"/>
            <w:lid w:val="lv-LV"/>
            <w:storeMappedDataAs w:val="dateTime"/>
            <w:calendar w:val="gregorian"/>
          </w:date>
        </w:sdtPr>
        <w:sdtEndPr/>
        <w:sdtContent>
          <w:r>
            <w:rPr>
              <w:rStyle w:val="PlaceholderText"/>
            </w:rPr>
            <w:t>[Izvēlieties datumu]</w:t>
          </w:r>
        </w:sdtContent>
      </w:sdt>
      <w:r>
        <w:t>.</w:t>
      </w:r>
    </w:p>
    <w:p w14:paraId="5FF84AFF" w14:textId="6FCE1252" w:rsidR="00E43EE1" w:rsidRDefault="00B71032" w:rsidP="00B71032">
      <w:pPr>
        <w:pStyle w:val="Styckemedindrag"/>
      </w:pPr>
      <w:r>
        <w:t>Saskaņā ar Satiksmes noteikumu (1998:1276) 4. nodaļas 12., 13. un 17.f pantu un Transportlīdzekļu noteikumu (2009:211) 8. nodaļas 16. pantu Zviedrijas Transporta aģentūra izdod šos noteikumus</w:t>
      </w:r>
      <w:r>
        <w:rPr>
          <w:rStyle w:val="FootnoteReference"/>
        </w:rPr>
        <w:footnoteReference w:id="2"/>
      </w:r>
      <w:r>
        <w:t>.</w:t>
      </w:r>
    </w:p>
    <w:p w14:paraId="4552D472" w14:textId="047D4784" w:rsidR="00B71032" w:rsidRDefault="00543345" w:rsidP="00654E7A">
      <w:pPr>
        <w:pStyle w:val="Heading3"/>
      </w:pPr>
      <w:r>
        <w:t>Ievadnoteikumi</w:t>
      </w:r>
    </w:p>
    <w:p w14:paraId="3966556B" w14:textId="5FB95A13" w:rsidR="00543345" w:rsidRDefault="00031159" w:rsidP="00031159">
      <w:pPr>
        <w:pStyle w:val="Stycke"/>
        <w:spacing w:before="120"/>
      </w:pPr>
      <w:r>
        <w:rPr>
          <w:rStyle w:val="Fparagrafbeteckning"/>
        </w:rPr>
        <w:t>1. pants. </w:t>
      </w:r>
      <w:r>
        <w:t>Šajos noteikumos ir paredzēti sīki izstrādāti noteikumi par tādu transportlīdzekļu sastāvu konstrukciju un aprīkojumu, kuru garums pārsniedz 25,25 metrus, bet nepārsniedz 34,5 metrus, kā arī noteikumi par transportlīdzekļu sastāvā iekļautajiem transportlīdzekļiem. Šos noteikumus piemēro transportlīdzekļiem, kas pārvietojas pa tādiem autoceļiem, kuru apsaimniekotājs saskaņā ar Satiksmes noteikumu (1998:1276) 4. nodaļas 17.f pantu ir izdevis noteikumus, ka transportlīdzekļu sastāva garums nedrīkst pārsniegt 34,5 metrus.</w:t>
      </w:r>
    </w:p>
    <w:p w14:paraId="06E20FC3" w14:textId="6ACEA899" w:rsidR="00D506F9" w:rsidRDefault="0068573B" w:rsidP="003F4DC3">
      <w:pPr>
        <w:pStyle w:val="Stycke"/>
        <w:spacing w:before="120"/>
      </w:pPr>
      <w:r>
        <w:rPr>
          <w:rStyle w:val="Fparagrafbeteckning"/>
        </w:rPr>
        <w:t>2. pants. </w:t>
      </w:r>
      <w:r>
        <w:t>Preces, kuras likumīgi tirgo citā Eiropas Savienības dalībvalstī vai Turcijā vai kuru izcelsme ir un kuras likumīgi tirgo kādā EBTA valstī, kas ir EEZ līguma līgumslēdzēja puse, tiek uzskatītas par šiem noteikumiem atbilstīgām. Šo noteikumu piemērošanu paredz Eiropas Parlamenta un Padomes 2019. gada 19. marta Regula (ES) 2019/515 par citā dalībvalstī likumīgi tirgotu preču savstarpēju atzīšanu un Regulas (EK) Nr. 764/2008 atcelšanu.</w:t>
      </w:r>
    </w:p>
    <w:p w14:paraId="00B4A5A3" w14:textId="47704300" w:rsidR="0000372E" w:rsidRDefault="0012379D" w:rsidP="00031159">
      <w:pPr>
        <w:pStyle w:val="Stycke"/>
        <w:spacing w:before="120"/>
      </w:pPr>
      <w:r>
        <w:rPr>
          <w:rStyle w:val="Fparagrafbeteckning"/>
        </w:rPr>
        <w:t>3. pants. </w:t>
      </w:r>
      <w:r>
        <w:t xml:space="preserve">Šajos noteikumos lietotajiem jēdzieniem ir Ceļu satiksmes jēdzienu definīciju likumā (2001:559) noteiktā nozīme. </w:t>
      </w:r>
    </w:p>
    <w:p w14:paraId="29432767" w14:textId="058536F8" w:rsidR="00553E8F" w:rsidRDefault="00031159" w:rsidP="00553E8F">
      <w:pPr>
        <w:pStyle w:val="Styckemedindrag"/>
      </w:pPr>
      <w:r>
        <w:t>Pārējos gadījumos šajos noteikumos izmanto turpmāk uzskaitītos jēdzienus un definīcijas.</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lastRenderedPageBreak/>
              <w:t>“A dubults sastāvs”</w:t>
            </w:r>
          </w:p>
        </w:tc>
        <w:tc>
          <w:tcPr>
            <w:tcW w:w="4338" w:type="dxa"/>
          </w:tcPr>
          <w:p w14:paraId="4806A036" w14:textId="241CA4B6" w:rsidR="006B4159" w:rsidRPr="006B4159" w:rsidRDefault="00E31D87" w:rsidP="000B177D">
            <w:pPr>
              <w:pStyle w:val="Stycke"/>
              <w:jc w:val="left"/>
            </w:pPr>
            <w:r>
              <w:t xml:space="preserve">ir transportlīdzekļu sastāvs, kurā ietilpst </w:t>
            </w:r>
            <w:r>
              <w:rPr>
                <w:i/>
              </w:rPr>
              <w:t>velkošais transportlīdzeklis</w:t>
            </w:r>
            <w:r>
              <w:t>, kas savienots ar puspiekabi, un platforma, kurai pievienota puspiekabe</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“AB dubults sastāvs”</w:t>
            </w:r>
          </w:p>
        </w:tc>
        <w:tc>
          <w:tcPr>
            <w:tcW w:w="4338" w:type="dxa"/>
          </w:tcPr>
          <w:p w14:paraId="059F7929" w14:textId="55158731" w:rsidR="006B4159" w:rsidRDefault="00E31D87" w:rsidP="00567D83">
            <w:pPr>
              <w:pStyle w:val="Stycke"/>
              <w:jc w:val="left"/>
            </w:pPr>
            <w:r>
              <w:t xml:space="preserve">ir transportlīdzekļu sastāvs, kurā ietilpst lielas noslodzes transportlīdzeklis, kas savienots ar platformu, kurai pievienota </w:t>
            </w:r>
            <w:r>
              <w:rPr>
                <w:i/>
              </w:rPr>
              <w:t>savienojošā puspiekabe</w:t>
            </w:r>
            <w:r>
              <w:t>, kam savukārt pievienota puspiekabe</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“velkošais transportlīdzeklis”</w:t>
            </w:r>
          </w:p>
        </w:tc>
        <w:tc>
          <w:tcPr>
            <w:tcW w:w="4338" w:type="dxa"/>
          </w:tcPr>
          <w:p w14:paraId="5F0BBB3A" w14:textId="2FEAB1D0" w:rsidR="007A578D" w:rsidRDefault="007A578D" w:rsidP="00F50DFF">
            <w:pPr>
              <w:pStyle w:val="Stycke"/>
              <w:jc w:val="left"/>
            </w:pPr>
            <w:r>
              <w:t xml:space="preserve">ir lielas noslodzes transportlīdzeklis, kas aprīkots ar puspiekabes sakabes ierīci (atbalsta-sakabes ierīci)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“savienojošā puspiekabe”</w:t>
            </w:r>
          </w:p>
        </w:tc>
        <w:tc>
          <w:tcPr>
            <w:tcW w:w="4338" w:type="dxa"/>
          </w:tcPr>
          <w:p w14:paraId="4CED4314" w14:textId="3FE02C7D" w:rsidR="007A578D" w:rsidRDefault="007A578D" w:rsidP="00232756">
            <w:pPr>
              <w:pStyle w:val="Stycke"/>
              <w:jc w:val="left"/>
            </w:pPr>
            <w:r>
              <w:t xml:space="preserve">ir puspiekabe ar aizmugurējo atbalsta-sakabes ierīci savienošanai ar citu puspiekabi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“veiktspējas vērtība” </w:t>
            </w:r>
          </w:p>
        </w:tc>
        <w:tc>
          <w:tcPr>
            <w:tcW w:w="4338" w:type="dxa"/>
          </w:tcPr>
          <w:p w14:paraId="6311725D" w14:textId="0960B9B3" w:rsidR="002D153A" w:rsidRDefault="009F5C5A" w:rsidP="00AB1C5A">
            <w:pPr>
              <w:pStyle w:val="Stycke"/>
              <w:jc w:val="left"/>
            </w:pPr>
            <w:r>
              <w:t>ir ražotāja noteiktā vērtība, kas norāda slodzi, ko var izturēt transportlīdzeklis un tā sakabes ierīce</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“pašiestatošā ass”</w:t>
            </w:r>
          </w:p>
        </w:tc>
        <w:tc>
          <w:tcPr>
            <w:tcW w:w="4338" w:type="dxa"/>
          </w:tcPr>
          <w:p w14:paraId="65CC57A3" w14:textId="33BDDEC7" w:rsidR="00DB0AB5" w:rsidRDefault="00D356E7" w:rsidP="000F2D4A">
            <w:pPr>
              <w:pStyle w:val="Stycke"/>
              <w:jc w:val="left"/>
            </w:pPr>
            <w:r>
              <w:t>ir vadāmā ass, kuras aizkavējuma leņķis ir atkarīgs no berzes starp riepām un autoceļu</w:t>
            </w:r>
          </w:p>
        </w:tc>
      </w:tr>
    </w:tbl>
    <w:p w14:paraId="6965F6D4" w14:textId="58F802B0" w:rsidR="0054771A" w:rsidRPr="00A313CC" w:rsidRDefault="00572D73" w:rsidP="0054771A">
      <w:pPr>
        <w:pStyle w:val="Stycke"/>
        <w:spacing w:before="120"/>
      </w:pPr>
      <w:r>
        <w:rPr>
          <w:rStyle w:val="Fparagrafbeteckning"/>
        </w:rPr>
        <w:t>4. pants. </w:t>
      </w:r>
      <w:r>
        <w:t>Šajos noteikumos piemēro šādu noteikumu prasības:</w:t>
      </w:r>
    </w:p>
    <w:p w14:paraId="6E790FE2" w14:textId="702175ED" w:rsidR="0054771A" w:rsidRPr="00A313CC" w:rsidRDefault="0054771A" w:rsidP="0054771A">
      <w:pPr>
        <w:pStyle w:val="Styckemedindrag"/>
      </w:pPr>
      <w:r>
        <w:t>– ANO EEK Noteikumi Nr. 13 “Vienoti noteikumi par M, N un O kategorijas transportlīdzekļu apstiprināšanu attiecībā uz bremzēm”,</w:t>
      </w:r>
    </w:p>
    <w:p w14:paraId="3ADC911D" w14:textId="7838A56B" w:rsidR="0054771A" w:rsidRPr="00A313CC" w:rsidRDefault="0054771A" w:rsidP="00425CD0">
      <w:pPr>
        <w:pStyle w:val="Styckemedindrag"/>
      </w:pPr>
      <w:r>
        <w:t>– ANO EEK Noteikumi Nr. 55 “Vienoti noteikumi par transportlīdzekļu sastāvu mehāniskās sakabes sastāvdaļu apstiprināšanu”.</w:t>
      </w:r>
    </w:p>
    <w:p w14:paraId="09BB2E7C" w14:textId="4AFA7F89" w:rsidR="00BB64A3" w:rsidRPr="00BB64A3" w:rsidRDefault="00BB64A3" w:rsidP="00BB64A3">
      <w:pPr>
        <w:pStyle w:val="Heading3"/>
      </w:pPr>
      <w:r>
        <w:t>Vispārīgas prasības</w:t>
      </w:r>
    </w:p>
    <w:p w14:paraId="28780548" w14:textId="34E14EC2" w:rsidR="006E2742" w:rsidRPr="006E2742" w:rsidRDefault="00654E7A" w:rsidP="006E2742">
      <w:pPr>
        <w:pStyle w:val="Stycke"/>
        <w:spacing w:before="120"/>
      </w:pPr>
      <w:r>
        <w:rPr>
          <w:rStyle w:val="Fparagrafbeteckning"/>
        </w:rPr>
        <w:t>5. pants. </w:t>
      </w:r>
      <w:r>
        <w:rPr>
          <w:rStyle w:val="Fparagrafbeteckning"/>
          <w:b w:val="0"/>
        </w:rPr>
        <w:t xml:space="preserve">Transportlīdzekļa sastāvu veido A dubults sastāvs vai AB dubults sastāvs. </w:t>
      </w:r>
      <w:r>
        <w:t>Transportlīdzekļi un transportlīdzekļu sastāvi atbilst 6.–12. pantā izklāstītajiem nosacījumiem. Turklāt A dubultais sastāvs atbilst 13.–23. pantā izklāstītajiem nosacījumiem, bet AB dubultais sastāvs atbilst 24.–31. pantā izklāstītajiem nosacījumiem.</w:t>
      </w:r>
    </w:p>
    <w:p w14:paraId="5B645A93" w14:textId="7BE20624" w:rsidR="00907DF3" w:rsidRDefault="00654E7A" w:rsidP="0026562C">
      <w:pPr>
        <w:pStyle w:val="Stycke"/>
        <w:spacing w:before="120"/>
      </w:pPr>
      <w:r>
        <w:rPr>
          <w:rStyle w:val="Fparagrafbeteckning"/>
        </w:rPr>
        <w:t>6. pants. </w:t>
      </w:r>
      <w:r>
        <w:t>Lielas noslodzes transportlīdzeklim jābūt vismaz trim asīm. Transportlīdzekļu sastāvā iekļautajām piekabēm ir vismaz divas asis.</w:t>
      </w:r>
    </w:p>
    <w:p w14:paraId="5F01A09F" w14:textId="37445118" w:rsidR="00342CD6" w:rsidRDefault="00654E7A" w:rsidP="00CB6F3B">
      <w:pPr>
        <w:pStyle w:val="Stycke"/>
        <w:spacing w:before="120"/>
      </w:pPr>
      <w:r>
        <w:rPr>
          <w:rStyle w:val="Fparagrafbeteckning"/>
        </w:rPr>
        <w:t>7. pants. </w:t>
      </w:r>
      <w:r>
        <w:t>Transportlīdzekļi, kuriem ir ne vairāk kā trīs asis, ir aprīkoti ar stabilitātes sistēmu saskaņā ar ANO EEK Noteikumu Nr. 13 grozījumu 11. sērijas 3. papildinājumu vai jaunāku versiju.</w:t>
      </w:r>
    </w:p>
    <w:p w14:paraId="13D4D58B" w14:textId="7481C6CC" w:rsidR="00342CD6" w:rsidRDefault="00654E7A" w:rsidP="00974FCA">
      <w:pPr>
        <w:pStyle w:val="Stycke"/>
        <w:spacing w:before="120"/>
      </w:pPr>
      <w:r>
        <w:rPr>
          <w:rStyle w:val="Fparagrafbeteckning"/>
        </w:rPr>
        <w:t>8. pants. </w:t>
      </w:r>
      <w:r>
        <w:rPr>
          <w:rStyle w:val="Fparagrafbeteckning"/>
          <w:b w:val="0"/>
        </w:rPr>
        <w:t>Lielas noslodzes transportlīdzeklis ir aprīkots tā, lai vadītājs no sava sēdekļa varētu redzēt transportlīdzekļu sastāva labo pusi</w:t>
      </w:r>
      <w:r>
        <w:t>.</w:t>
      </w:r>
    </w:p>
    <w:p w14:paraId="26CC4ADA" w14:textId="1AFE7C5C" w:rsidR="00F654A8" w:rsidRDefault="00654E7A" w:rsidP="00F654A8">
      <w:pPr>
        <w:pStyle w:val="Stycke"/>
        <w:spacing w:before="120"/>
      </w:pPr>
      <w:r>
        <w:rPr>
          <w:rStyle w:val="Fparagrafbeteckning"/>
        </w:rPr>
        <w:t>9. pants. </w:t>
      </w:r>
      <w:r>
        <w:t>Visi transportlīdzekļu sastāva transportlīdzekļi ir aprīkoti ar elektroniskām bremžu sistēmām ar pretbloķēšanas un automātiskas bremžu pielāgošanas funkciju saskaņā ar ANO EEK Noteikumu Nr. 13 grozījumu 11. sēriju vai jaunāku versiju.</w:t>
      </w:r>
    </w:p>
    <w:p w14:paraId="2FF5871A" w14:textId="03FC025B" w:rsidR="00693298" w:rsidRPr="00693298" w:rsidRDefault="00693298" w:rsidP="00693298">
      <w:pPr>
        <w:pStyle w:val="Stycke"/>
        <w:spacing w:before="120"/>
      </w:pPr>
      <w:r>
        <w:rPr>
          <w:rStyle w:val="Fparagrafbeteckning"/>
        </w:rPr>
        <w:lastRenderedPageBreak/>
        <w:t>10. pants. </w:t>
      </w:r>
      <w:r>
        <w:t>Platformas atbalsta-sakabes ierīce sakabes punktā griežas ap vertikālu asi.</w:t>
      </w:r>
    </w:p>
    <w:p w14:paraId="5E1694F9" w14:textId="3CF383C6" w:rsidR="004E0F5A" w:rsidRDefault="004E0F5A" w:rsidP="004E0F5A">
      <w:pPr>
        <w:pStyle w:val="Heading3"/>
      </w:pPr>
      <w:r>
        <w:t>Zīmes</w:t>
      </w:r>
    </w:p>
    <w:p w14:paraId="4592D004" w14:textId="11082E40" w:rsidR="008C4B99" w:rsidRDefault="00691657" w:rsidP="008C4B99">
      <w:pPr>
        <w:pStyle w:val="Stycke"/>
        <w:spacing w:before="120"/>
      </w:pPr>
      <w:r>
        <w:rPr>
          <w:rStyle w:val="Fparagrafbeteckning"/>
        </w:rPr>
        <w:t>11. pants. </w:t>
      </w:r>
      <w:r>
        <w:t>Transportlīdzekļu sastāva priekšpusē un aizmugurē uzstāda zīmes, kā parādīts 1. attēlā. Zīmju apakšmala nedrīkst atrasties vairāk nekā 2,0 metrus virs ceļa. Uz priekšu vērstā zīme ir novietota zem priekšējā stikla apakšmalas. Uz aizmuguri vērstā zīme ir novietota pa kreisi no transportlīdzekļa viduslīnijas.</w:t>
      </w:r>
    </w:p>
    <w:p w14:paraId="0B74021B" w14:textId="239ACB2F" w:rsidR="00BD677C" w:rsidRDefault="008C4B99" w:rsidP="00876EDB">
      <w:pPr>
        <w:pStyle w:val="Styckemedindrag"/>
      </w:pPr>
      <w:r>
        <w:t>Zīmes sastāv no šādiem elementiem:</w:t>
      </w:r>
    </w:p>
    <w:p w14:paraId="44B2EF3A" w14:textId="61AEB2A1" w:rsidR="00EB7A30" w:rsidRPr="006800D8" w:rsidRDefault="00EB7A30" w:rsidP="00EB7A30">
      <w:pPr>
        <w:pStyle w:val="Styckemedindrag"/>
      </w:pPr>
      <w:r>
        <w:t>1) dzeltens fons un sarkana mala, kas atstaro gaismu;</w:t>
      </w:r>
    </w:p>
    <w:p w14:paraId="1F904A48" w14:textId="464B2F56" w:rsidR="00EB7A30" w:rsidRPr="005C2570" w:rsidRDefault="00EB7A30" w:rsidP="00EB7A30">
      <w:pPr>
        <w:pStyle w:val="Styckemedindrag"/>
      </w:pPr>
      <w:r>
        <w:t>2) malas platums — 3,0 centimetri;</w:t>
      </w:r>
    </w:p>
    <w:p w14:paraId="7D7E6732" w14:textId="1CDF41F9" w:rsidR="00EB7A30" w:rsidRDefault="006C6A1C" w:rsidP="00EB7A30">
      <w:pPr>
        <w:pStyle w:val="Styckemedindrag"/>
        <w:rPr>
          <w:rFonts w:cstheme="minorHAnsi"/>
        </w:rPr>
      </w:pPr>
      <w:r>
        <w:t>3) teksts, kuram izmantots fonts “</w:t>
      </w:r>
      <w:r>
        <w:rPr>
          <w:i/>
          <w:iCs/>
        </w:rPr>
        <w:t>Tratexsvart</w:t>
      </w:r>
      <w:r>
        <w:t>” un kura izmērs ir 75 milimetri;</w:t>
      </w:r>
    </w:p>
    <w:p w14:paraId="160C24F8" w14:textId="541D68BF" w:rsidR="00EB7A30" w:rsidRDefault="00EB7A30" w:rsidP="00EB7A30">
      <w:pPr>
        <w:pStyle w:val="Styckemedindrag"/>
      </w:pPr>
      <w:r>
        <w:t>4) zīmes platums ir vismaz 0,90 metri, bet augstums — vismaz 0,45 metri.</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7EC1929">
                <wp:simplePos x="0" y="0"/>
                <wp:positionH relativeFrom="column">
                  <wp:posOffset>289560</wp:posOffset>
                </wp:positionH>
                <wp:positionV relativeFrom="paragraph">
                  <wp:posOffset>1545590</wp:posOffset>
                </wp:positionV>
                <wp:extent cx="3105150"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105150"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Garš transportlīdzekļu sastāvs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0FCB" id="Text Box 2" o:spid="_x0000_s1028" type="#_x0000_t202" style="position:absolute;left:0;text-align:left;margin-left:22.8pt;margin-top:121.7pt;width:244.5pt;height:39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" fillcolor="#ffcb25" stroked="f" strokeweight=".5pt">
                <v:textbox inset="0,0,0,0">
                  <w:txbxContent>
                    <w:p w14:paraId="40B229A7" w14:textId="1F4E24A1" w:rsidR="00BF48CC" w:rsidRPr="00BF48CC" w:rsidRDefault="00BF48CC" w:rsidP="00BF48CC">
                      <w:pPr>
                        <w:jc w:val="center"/>
                        <w:rPr>
                          <w:b/>
                          <w:bCs/>
                          <w:sz w:val="56"/>
                          <w:szCs w:val="56"/>
                          <w:rFonts w:ascii="Arial" w:hAnsi="Arial" w:cs="Arial"/>
                        </w:rPr>
                      </w:pPr>
                      <w:r>
                        <w:rPr>
                          <w:b/>
                          <w:sz w:val="56"/>
                          <w:rFonts w:ascii="Arial" w:hAnsi="Arial"/>
                        </w:rPr>
                        <w:t xml:space="preserve">Garš transportlīdzekļu sastāvs</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Platuma un augstuma attiecība — 2:1.</w:t>
      </w:r>
      <w:r>
        <w:rPr>
          <w:rFonts w:ascii="Segoe UI" w:hAnsi="Segoe UI"/>
          <w:color w:val="000000"/>
          <w:sz w:val="20"/>
        </w:rPr>
        <w:t xml:space="preserve"> </w:t>
      </w:r>
      <w:r>
        <w:t>Palielinot zīmes izmēru, attiecīgi palielina arī malas platumu un tekstu.</w:t>
      </w:r>
    </w:p>
    <w:p w14:paraId="6A13AE47" w14:textId="53EBCBA3" w:rsidR="00B204CA" w:rsidRDefault="00B204CA" w:rsidP="00DD47B8">
      <w:pPr>
        <w:pStyle w:val="Tabelltext"/>
      </w:pPr>
      <w:r>
        <w:t>1. attēls. Gara transportlīdzekļu sastāva zīmes paraugs.</w:t>
      </w:r>
    </w:p>
    <w:p w14:paraId="06E84C76" w14:textId="72560BE8" w:rsidR="00C807A6" w:rsidRDefault="00EE3B53">
      <w:pPr>
        <w:pStyle w:val="Heading3"/>
      </w:pPr>
      <w:r>
        <w:t>Dzenošās asis un dzinēja jauda</w:t>
      </w:r>
    </w:p>
    <w:p w14:paraId="7C036BB8" w14:textId="09DAA351" w:rsidR="007B4D0A" w:rsidRPr="000C2719" w:rsidRDefault="00691657" w:rsidP="00EB57E6">
      <w:pPr>
        <w:pStyle w:val="Stycke"/>
        <w:spacing w:before="120"/>
      </w:pPr>
      <w:r>
        <w:rPr>
          <w:rStyle w:val="Fparagrafbeteckning"/>
        </w:rPr>
        <w:t>12. pants. </w:t>
      </w:r>
      <w:r>
        <w:t>Ja transportlīdzekļu sastāva kopējā bruto masa pārsniedz 64 tonnas, lielas noslodzes transportlīdzeklim ir vismaz divas dzenošās asis un tā dzinēja jauda ir vismaz 310 kW.</w:t>
      </w:r>
    </w:p>
    <w:p w14:paraId="2F17B526" w14:textId="5A281E11" w:rsidR="006D1C8D" w:rsidRDefault="006D1C8D" w:rsidP="006B4159">
      <w:pPr>
        <w:pStyle w:val="Heading3"/>
      </w:pPr>
      <w:r>
        <w:rPr>
          <w:noProof/>
        </w:rPr>
        <w:lastRenderedPageBreak/>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Īpaši nosacījumi attiecībā uz A dubulto sastāvu</w:t>
      </w:r>
    </w:p>
    <w:p w14:paraId="5A896C78" w14:textId="5B717027" w:rsidR="00553E8F" w:rsidRPr="00553E8F" w:rsidRDefault="00553E8F" w:rsidP="00553E8F">
      <w:pPr>
        <w:pStyle w:val="Tabelltext"/>
        <w:rPr>
          <w:b/>
        </w:rPr>
      </w:pPr>
      <w:r>
        <w:t>2. attēls. A dubultais sastāvs</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Priekšējā puspiekabe</w:t>
      </w:r>
    </w:p>
    <w:p w14:paraId="62A94401" w14:textId="42001BAF" w:rsidR="002A63C1" w:rsidRDefault="00D96C34" w:rsidP="00DC3F69">
      <w:pPr>
        <w:pStyle w:val="Stycke"/>
        <w:spacing w:before="120"/>
      </w:pPr>
      <w:r>
        <w:rPr>
          <w:rStyle w:val="Fparagrafbeteckning"/>
        </w:rPr>
        <w:t>13. pants. </w:t>
      </w:r>
      <w:r>
        <w:t>A dubultā sastāva priekšējās puspiekabes pēdējai asij jābūt pašiestatošai, kad ātrums ir vismaz 30 kilometri stundā, bet ne vairāk kā 40 kilometri stundā.</w:t>
      </w:r>
    </w:p>
    <w:p w14:paraId="7DE8E0CA" w14:textId="6D1DB835" w:rsidR="00840699" w:rsidRDefault="00D96C34" w:rsidP="002A63C1">
      <w:pPr>
        <w:pStyle w:val="Stycke"/>
        <w:spacing w:before="120"/>
      </w:pPr>
      <w:r>
        <w:rPr>
          <w:rStyle w:val="Fparagrafbeteckning"/>
        </w:rPr>
        <w:t>14. pants. </w:t>
      </w:r>
      <w:r>
        <w:t>Ja priekšējai puspiekabei ir divas asis, attālums starp priekšējo sakabes ierīci un pirmās ass centru ir vismaz 7,7 metri.</w:t>
      </w:r>
    </w:p>
    <w:p w14:paraId="0B9C6A61" w14:textId="26E90CCD" w:rsidR="002A63C1" w:rsidRPr="00DB5916" w:rsidRDefault="006B128F" w:rsidP="00840699">
      <w:pPr>
        <w:pStyle w:val="Styckemedindrag"/>
      </w:pPr>
      <w:r>
        <w:t>Ja priekšējai puspiekabei ir trīs asis, attālums starp priekšējo sakabes ierīci un pirmās ass centru ir vismaz 7,0 metri.</w:t>
      </w:r>
    </w:p>
    <w:p w14:paraId="0AA9BDE5" w14:textId="4B8E4B48" w:rsidR="002A63C1" w:rsidRDefault="003E081D" w:rsidP="002A63C1">
      <w:pPr>
        <w:pStyle w:val="Stycke"/>
        <w:spacing w:before="120"/>
      </w:pPr>
      <w:r>
        <w:rPr>
          <w:rStyle w:val="Fparagrafbeteckning"/>
        </w:rPr>
        <w:t>15. pants. </w:t>
      </w:r>
      <w:r>
        <w:t>Attālums starp priekšējās puspiekabes pēdējo asi un aizmugurējo sakabes ierīci nedrīkst pārsniegt 1,4 metrus.</w:t>
      </w:r>
    </w:p>
    <w:p w14:paraId="2CE6A594" w14:textId="3DC05D79" w:rsidR="002A63C1" w:rsidRDefault="003E081D" w:rsidP="002A63C1">
      <w:pPr>
        <w:pStyle w:val="Stycke"/>
        <w:spacing w:before="120"/>
      </w:pPr>
      <w:r>
        <w:rPr>
          <w:rStyle w:val="Fparagrafbeteckning"/>
        </w:rPr>
        <w:t>16. pants. </w:t>
      </w:r>
      <w:r>
        <w:t>Ja priekšējai puspiekabei ir vismaz trīs asis, pirmajai asij jābūt paceļamai. Asi jāvar pacelt un nolaist brauciena laikā, atrodoties vadītāja sēdeklī.</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Aizmugurējā puspiekabe</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17. pants. </w:t>
      </w:r>
      <w:r>
        <w:t>Attālums starp aizmugurējās puspiekabes priekšējo sakabes ierīci un pirmās ass centru ir vismaz 6,2 metri.</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Sakabes ierīces</w:t>
      </w:r>
    </w:p>
    <w:p w14:paraId="0E894B9A" w14:textId="741FC0F2" w:rsidR="00B41321" w:rsidRDefault="009E4F27" w:rsidP="00B41321">
      <w:pPr>
        <w:pStyle w:val="Stycke"/>
        <w:spacing w:before="120"/>
      </w:pPr>
      <w:r>
        <w:rPr>
          <w:rStyle w:val="Fparagrafbeteckning"/>
        </w:rPr>
        <w:t>18. pants. </w:t>
      </w:r>
      <w:r>
        <w:t>Sakabes ierīcēm jābūt apstiprinātām saskaņā ar ANO EEK Noteikumu Nr. 55 grozījumu 01. sēriju vai jaunāku versiju. Ierīču veiktspējas vērtības atbilst Transporta aģentūras Noteikumiem (TSFS 2019:127) par vieglo automobiļu un piekabju savienošanu vai 19.–22. panta prasībām.</w:t>
      </w:r>
    </w:p>
    <w:p w14:paraId="5B54B9A5" w14:textId="2E9B1C02" w:rsidR="00F87551" w:rsidRDefault="00114615" w:rsidP="008C2A5B">
      <w:pPr>
        <w:pStyle w:val="Stycke"/>
        <w:spacing w:before="120"/>
      </w:pPr>
      <w:r>
        <w:rPr>
          <w:rStyle w:val="Fparagrafbeteckning"/>
        </w:rPr>
        <w:t>19. pants. </w:t>
      </w:r>
      <w:r>
        <w:t>Velkošā transportlīdzekļa sakabes ierīces D vērtība ir vismaz 130 kN.</w:t>
      </w:r>
    </w:p>
    <w:p w14:paraId="1A7DBCFD" w14:textId="5031FEE4" w:rsidR="00B41321" w:rsidRPr="00F87551" w:rsidRDefault="00691657" w:rsidP="00EA023A">
      <w:pPr>
        <w:pStyle w:val="Stycke"/>
        <w:spacing w:before="120"/>
      </w:pPr>
      <w:r>
        <w:rPr>
          <w:rStyle w:val="Fparagrafbeteckning"/>
        </w:rPr>
        <w:t>20. pants. </w:t>
      </w:r>
      <w:r>
        <w:t>Priekšējās puspiekabes priekšējās sakabes ierīces D vērtība ir vismaz 130 kN. Aizmugurējās sakabes ierīces DC vērtība ir vismaz 120 kN, D vērtība ir vismaz 130 kN un V vērtība ir vismaz 32 kN.</w:t>
      </w:r>
    </w:p>
    <w:p w14:paraId="6531828C" w14:textId="207EF389" w:rsidR="00B41321" w:rsidRPr="00F87551" w:rsidRDefault="000123E4" w:rsidP="00894B88">
      <w:pPr>
        <w:pStyle w:val="Stycke"/>
        <w:spacing w:before="120"/>
      </w:pPr>
      <w:r>
        <w:rPr>
          <w:rStyle w:val="Fparagrafbeteckning"/>
        </w:rPr>
        <w:t>21. pants. </w:t>
      </w:r>
      <w:r>
        <w:t>Platformas priekšējās sakabes ierīces DC vērtība ir vismaz 120 kN, D vērtība ir vismaz 130 kN un V vērtība ir vismaz 32 kN. Aizmugurējās sakabes ierīces D vērtība ir vismaz 130 kN.</w:t>
      </w:r>
    </w:p>
    <w:p w14:paraId="26AD840E" w14:textId="1E693AAE" w:rsidR="009E4F27" w:rsidRDefault="000123E4" w:rsidP="008A2747">
      <w:pPr>
        <w:pStyle w:val="Stycke"/>
        <w:spacing w:before="120"/>
      </w:pPr>
      <w:r>
        <w:rPr>
          <w:rStyle w:val="Fparagrafbeteckning"/>
        </w:rPr>
        <w:lastRenderedPageBreak/>
        <w:t>22. pants. </w:t>
      </w:r>
      <w:r>
        <w:t>Aizmugurējās puspiekabes sakabes ierīces D vērtība ir vismaz 130 kN.</w:t>
      </w:r>
    </w:p>
    <w:p w14:paraId="1B2BE8B3" w14:textId="1C2C838A" w:rsidR="00837AB8" w:rsidRDefault="00837AB8" w:rsidP="00572D73">
      <w:pPr>
        <w:pStyle w:val="Heading4"/>
      </w:pPr>
      <w:r>
        <w:t>Atkāpe no noteikumiem par attālumiem starp asīm</w:t>
      </w:r>
    </w:p>
    <w:p w14:paraId="29113AD4" w14:textId="12C4B2D1" w:rsidR="00362A7B" w:rsidRDefault="00894B88" w:rsidP="00362A7B">
      <w:pPr>
        <w:pStyle w:val="Stycke"/>
        <w:spacing w:before="120"/>
      </w:pPr>
      <w:r>
        <w:rPr>
          <w:rStyle w:val="Fparagrafbeteckning"/>
        </w:rPr>
        <w:t>23. pants. </w:t>
      </w:r>
      <w:r>
        <w:t>Atkāpjoties no Satiksmes noteikumu (1998:1276) 4. nodaļas 13. panta pirmās daļas 4. punkta, attālums starp tāda transportlīdzekļa asīm, kas pārvietojas pa 1. kravnesības kategorijas autoceļu, var būt mazāks par 5 metriem, bet ne 4 metri. Tas attiecas uz gadījumiem, kad ratiņu un trīsasu kopējais svars ir mazāks par maksimālo pieļaujamo bruto masu attiecībā uz atbilstīgo attālumu starp pirmo un pēdējo asi šīm asu grupām, kā noteikts minēto noteikumu 1. pielikumā.</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Īpaši nosacījumi attiecībā uz AB dubulto sastāvu</w:t>
      </w:r>
    </w:p>
    <w:p w14:paraId="073EC131" w14:textId="237096A5" w:rsidR="00553E8F" w:rsidRPr="00553E8F" w:rsidRDefault="00553E8F" w:rsidP="00553E8F">
      <w:pPr>
        <w:pStyle w:val="Tabelltext"/>
        <w:rPr>
          <w:b/>
        </w:rPr>
      </w:pPr>
      <w:r>
        <w:t>3. attēls. AB dubultais sastāvs</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Priekšējā savienojošā puspiekabe</w:t>
      </w:r>
    </w:p>
    <w:p w14:paraId="18071B35" w14:textId="4DDDC41C" w:rsidR="00DC28E4" w:rsidRDefault="00700B2F" w:rsidP="00DC28E4">
      <w:pPr>
        <w:pStyle w:val="Stycke"/>
      </w:pPr>
      <w:r>
        <w:rPr>
          <w:rStyle w:val="Fparagrafbeteckning"/>
        </w:rPr>
        <w:t>24. pants. </w:t>
      </w:r>
      <w:r>
        <w:t>AB dubultā sastāva savienojošās puspiekabes pēdējai asij jābūt pašiestatošai, kad ātrums ir vismaz 30 kilometri stundā, bet ne vairāk kā 40 kilometri stundā.</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Aizmugurējā puspiekabe</w:t>
      </w:r>
    </w:p>
    <w:p w14:paraId="1B73D4D2" w14:textId="1FA00255" w:rsidR="00DC28E4" w:rsidRPr="00DC28E4" w:rsidRDefault="00DC28E4" w:rsidP="00884605">
      <w:pPr>
        <w:pStyle w:val="Stycke"/>
        <w:spacing w:before="120"/>
      </w:pPr>
      <w:r>
        <w:rPr>
          <w:rStyle w:val="Fparagrafbeteckning"/>
        </w:rPr>
        <w:t>25. pants. </w:t>
      </w:r>
      <w:r>
        <w:t>Attālums starp aizmugurējās puspiekabes priekšējo sakabes ierīci un pirmās ass centru ir vismaz 6,2 metri.</w:t>
      </w:r>
    </w:p>
    <w:p w14:paraId="21991F17" w14:textId="4E162EF8" w:rsidR="000F4BE7" w:rsidRPr="00456CC7" w:rsidRDefault="000F4BE7" w:rsidP="00456CC7">
      <w:pPr>
        <w:pStyle w:val="Heading4"/>
        <w:rPr>
          <w:rStyle w:val="Fparagrafbeteckning"/>
          <w:rFonts w:asciiTheme="minorHAnsi" w:hAnsiTheme="minorHAnsi"/>
          <w:b w:val="0"/>
        </w:rPr>
      </w:pPr>
      <w:r>
        <w:t>Sakabes ierīce</w:t>
      </w:r>
      <w:r>
        <w:rPr>
          <w:rStyle w:val="Fparagrafbeteckning"/>
          <w:rFonts w:asciiTheme="minorHAnsi" w:hAnsiTheme="minorHAnsi"/>
          <w:b w:val="0"/>
        </w:rPr>
        <w:t>s</w:t>
      </w:r>
    </w:p>
    <w:p w14:paraId="0C0726DC" w14:textId="4B7E5DD9" w:rsidR="005C6621" w:rsidRDefault="000123E4" w:rsidP="005C6621">
      <w:pPr>
        <w:pStyle w:val="Stycke"/>
        <w:spacing w:before="120"/>
      </w:pPr>
      <w:r>
        <w:rPr>
          <w:b/>
        </w:rPr>
        <w:t>26. pants.</w:t>
      </w:r>
      <w:r>
        <w:rPr>
          <w:rStyle w:val="Fparagrafbeteckning"/>
        </w:rPr>
        <w:t> </w:t>
      </w:r>
      <w:r>
        <w:t>Sakabes ierīcēm jābūt apstiprinātām saskaņā ar ANO EEK Noteikumu Nr. 55 grozījumu 01. sēriju vai jaunāku versiju. Ierīču veiktspējas vērtības atbilst 27.–31. panta prasībām.</w:t>
      </w:r>
    </w:p>
    <w:p w14:paraId="1EB16C68" w14:textId="25745D90" w:rsidR="00D52C0D" w:rsidRDefault="00894B88" w:rsidP="00417958">
      <w:pPr>
        <w:pStyle w:val="Stycke"/>
        <w:spacing w:before="120"/>
      </w:pPr>
      <w:r>
        <w:rPr>
          <w:rStyle w:val="Fparagrafbeteckning"/>
        </w:rPr>
        <w:t>27. pants. </w:t>
      </w:r>
      <w:r>
        <w:t>Lielas noslodzes transportlīdzekļa sakabes ierīces DC vērtība ir vismaz 150 kN un V vērtība ir vismaz 35 kN. Tomēr DC vērtība var būt mazāka par 150 kN, bet ne mazāka par 130 kN, ja sakabes ierīces D vērtība ir vismaz 180 kN un V vērtība ir vismaz 60 kN.</w:t>
      </w:r>
    </w:p>
    <w:p w14:paraId="19FE55DC" w14:textId="04D31C61" w:rsidR="001E5EAB" w:rsidRDefault="001E5EAB" w:rsidP="00D52C0D">
      <w:pPr>
        <w:pStyle w:val="Styckemedindrag"/>
      </w:pPr>
      <w:r>
        <w:t xml:space="preserve">Ja transportlīdzekļu sastāva kopējā bruto masa pārsniedz 64 tonnas, bet nepārsniedz 70 tonnas, sakabes ierīces DC vērtība ir vismaz 160 kN un V vērtība ir vismaz 35 kN. Tomēr DC vērtība var būt mazāka par 160 kN, bet </w:t>
      </w:r>
      <w:r>
        <w:lastRenderedPageBreak/>
        <w:t>ne mazāka par 130 kN, ja sakabes ierīces D vērtība ir vismaz 180 kN un V vērtība ir vismaz 60 kN.</w:t>
      </w:r>
    </w:p>
    <w:p w14:paraId="038F3E58" w14:textId="38BFECB2" w:rsidR="00894B88" w:rsidRPr="00894B88" w:rsidRDefault="00894B88" w:rsidP="00D52C0D">
      <w:pPr>
        <w:pStyle w:val="Styckemedindrag"/>
      </w:pPr>
      <w:r>
        <w:t>Ja transportlīdzekļu sastāva kopējā bruto masa pārsniedz 70 tonnas, bet nepārsniedz 74 tonnas, sakabes ierīces DC vērtība ir vismaz 180 kN un V vērtība ir vismaz 35 kN. Tomēr DC vērtība var būt mazāka par 180 kN, bet ne mazāka par 130 kN, ja sakabes ierīces D vērtība ir vismaz 200 kN un V vērtība ir vismaz 60 kN.</w:t>
      </w:r>
    </w:p>
    <w:p w14:paraId="6B2D4DAE" w14:textId="28DCA9C8" w:rsidR="00D52C0D" w:rsidRDefault="000123E4" w:rsidP="00770E89">
      <w:pPr>
        <w:pStyle w:val="Stycke"/>
        <w:spacing w:before="120"/>
      </w:pPr>
      <w:r>
        <w:rPr>
          <w:rStyle w:val="Fparagrafbeteckning"/>
        </w:rPr>
        <w:t>28. pants. </w:t>
      </w:r>
      <w:r>
        <w:t>Platformas priekšējās sakabes ierīces DC vērtība ir vismaz 150 kN un V vērtība ir vismaz 35 kN. Tomēr DC vērtība var būt mazāka par 150 kN, bet ne mazāka par 130 kN, ja sakabes ierīces D vērtība ir vismaz 180 kN un V vērtība ir vismaz 60 kN.</w:t>
      </w:r>
    </w:p>
    <w:p w14:paraId="5DA847D2" w14:textId="239D1819" w:rsidR="001E5EAB" w:rsidRDefault="001E5EAB" w:rsidP="001E5EAB">
      <w:pPr>
        <w:pStyle w:val="Styckemedindrag"/>
      </w:pPr>
      <w:r>
        <w:t>Ja transportlīdzekļu sastāva kopējā bruto masa pārsniedz 64 tonnas, bet nepārsniedz 70 tonnas, sakabes ierīces DC vērtība ir vismaz 160 kN un V vērtība ir vismaz 35 kN. Tomēr DC vērtība var būt mazāka par 160 kN, bet ne mazāka par 130 kN, ja sakabes ierīces D vērtība ir vismaz 180 kN un V vērtība ir vismaz 60 kN.</w:t>
      </w:r>
    </w:p>
    <w:p w14:paraId="2790CFD2" w14:textId="7E40EFC3" w:rsidR="00700B2F" w:rsidRDefault="001E5EAB" w:rsidP="001E5EAB">
      <w:pPr>
        <w:pStyle w:val="Styckemedindrag"/>
      </w:pPr>
      <w:r>
        <w:t>Ja transportlīdzekļu sastāva kopējā bruto masa pārsniedz 70 tonnas, bet nepārsniedz 74 tonnas, sakabes ierīces DC vērtība ir vismaz 180 kN un V vērtība ir vismaz 35 kN. Tomēr DC vērtība var būt mazāka par 180 kN, bet ne mazāka par 130 kN, ja sakabes ierīces D vērtība ir vismaz 200 kN un V vērtība ir vismaz 60 kN.</w:t>
      </w:r>
    </w:p>
    <w:p w14:paraId="455D475B" w14:textId="4C9C36E0" w:rsidR="00700B2F" w:rsidRDefault="00D96C34" w:rsidP="00D52C0D">
      <w:pPr>
        <w:pStyle w:val="Stycke"/>
        <w:spacing w:before="120"/>
      </w:pPr>
      <w:r>
        <w:rPr>
          <w:rStyle w:val="Fparagrafbeteckning"/>
        </w:rPr>
        <w:t>29. pants. </w:t>
      </w:r>
      <w:r>
        <w:t>Platformas aizmugurējās sakabes ierīces D vērtība ir vismaz 130 kN.</w:t>
      </w:r>
    </w:p>
    <w:p w14:paraId="3033F0F7" w14:textId="36470EF6" w:rsidR="00700B2F" w:rsidRPr="00700B2F" w:rsidRDefault="00DC28E4" w:rsidP="00D52C0D">
      <w:pPr>
        <w:pStyle w:val="Stycke"/>
        <w:spacing w:before="120"/>
      </w:pPr>
      <w:r>
        <w:rPr>
          <w:rStyle w:val="Fparagrafbeteckning"/>
        </w:rPr>
        <w:t>30. pants. </w:t>
      </w:r>
      <w:r>
        <w:rPr>
          <w:rStyle w:val="Fparagrafbeteckning"/>
          <w:b w:val="0"/>
        </w:rPr>
        <w:t>S</w:t>
      </w:r>
      <w:r>
        <w:t>avienojošās puspiekabes priekšējās sakabes ierīces D vērtība ir vismaz 130 kN. Aizmugurējās sakabes ierīces D vērtība ir vismaz 130 kN.</w:t>
      </w:r>
    </w:p>
    <w:p w14:paraId="1F88EC27" w14:textId="7CC9501A" w:rsidR="00047D65" w:rsidRDefault="000123E4" w:rsidP="00FF6EB9">
      <w:pPr>
        <w:pStyle w:val="Stycke"/>
        <w:spacing w:before="120"/>
      </w:pPr>
      <w:r>
        <w:rPr>
          <w:rStyle w:val="Fparagrafbeteckning"/>
        </w:rPr>
        <w:t>31. pants. </w:t>
      </w:r>
      <w:r>
        <w:t>Aizmugurējās puspiekabes sakabes ierīces D vērtība ir vismaz 130 kN.</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Šie noteikumi stājas spēkā [</w:t>
      </w:r>
      <w:r>
        <w:rPr>
          <w:highlight w:val="yellow"/>
        </w:rPr>
        <w:t>datums</w:t>
      </w:r>
      <w:r>
        <w:t>].</w:t>
      </w:r>
    </w:p>
    <w:p w14:paraId="3B391984" w14:textId="7B0E62D2" w:rsidR="00047D65" w:rsidRPr="00047D65" w:rsidRDefault="00047D65" w:rsidP="00EA023A">
      <w:pPr>
        <w:pStyle w:val="Beslutandeochfredragande"/>
      </w:pPr>
      <w:r>
        <w:t>Zviedrijas Transporta aģentūras vārdā</w:t>
      </w:r>
      <w:r>
        <w:br/>
      </w:r>
      <w:r>
        <w:br/>
      </w:r>
      <w:r>
        <w:rPr>
          <w:i/>
          <w:iCs/>
        </w:rPr>
        <w:t>JONAS BJELFVENSTAM</w:t>
      </w:r>
      <w:r>
        <w:br/>
      </w:r>
      <w:r>
        <w:tab/>
      </w:r>
      <w:r>
        <w:rPr>
          <w:i/>
          <w:iCs/>
        </w:rPr>
        <w:t>Omar Bagdadi</w:t>
      </w:r>
      <w:r>
        <w:br/>
      </w:r>
      <w:r>
        <w:tab/>
        <w:t>(Autoceļi un dzelzceļi)</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2C4A" w14:textId="77777777" w:rsidR="0086163F" w:rsidRDefault="0086163F">
      <w:r>
        <w:separator/>
      </w:r>
    </w:p>
    <w:p w14:paraId="7B55E0A8" w14:textId="77777777" w:rsidR="0086163F" w:rsidRDefault="0086163F"/>
  </w:endnote>
  <w:endnote w:type="continuationSeparator" w:id="0">
    <w:p w14:paraId="7CCE66CD" w14:textId="77777777" w:rsidR="0086163F" w:rsidRDefault="0086163F">
      <w:r>
        <w:continuationSeparator/>
      </w:r>
    </w:p>
    <w:p w14:paraId="154AD271" w14:textId="77777777" w:rsidR="0086163F" w:rsidRDefault="0086163F"/>
  </w:endnote>
  <w:endnote w:type="continuationNotice" w:id="1">
    <w:p w14:paraId="7F7A3489" w14:textId="77777777" w:rsidR="0086163F" w:rsidRDefault="0086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2DAA5868" w:rsidR="00925C91" w:rsidRDefault="00925C91" w:rsidP="00D104F7">
                          <w:pPr>
                            <w:pStyle w:val="FSnr-sidhuvud"/>
                            <w:ind w:left="0" w:right="0"/>
                          </w:pPr>
                          <w:r>
                            <w:fldChar w:fldCharType="begin"/>
                          </w:r>
                          <w:r>
                            <w:instrText xml:space="preserve"> STYLEREF  FS-nr  \* MERGEFORMAT </w:instrText>
                          </w:r>
                          <w:r>
                            <w:fldChar w:fldCharType="separate"/>
                          </w:r>
                          <w:r w:rsidR="00BF4D58">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2DAA5868" w:rsidR="00925C91" w:rsidRDefault="00925C91" w:rsidP="00D104F7">
                    <w:pPr>
                      <w:pStyle w:val="FSnr-sidhuvud"/>
                      <w:ind w:left="0" w:right="0"/>
                    </w:pPr>
                    <w:r>
                      <w:fldChar w:fldCharType="begin"/>
                    </w:r>
                    <w:r>
                      <w:instrText xml:space="preserve"> STYLEREF  FS-nr  \* MERGEFORMAT </w:instrText>
                    </w:r>
                    <w:r>
                      <w:fldChar w:fldCharType="separate"/>
                    </w:r>
                    <w:r w:rsidR="00BF4D58">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5A8" w14:textId="77777777" w:rsidR="0086163F" w:rsidRDefault="0086163F"/>
  </w:footnote>
  <w:footnote w:type="continuationSeparator" w:id="0">
    <w:p w14:paraId="6F5C2C30" w14:textId="77777777" w:rsidR="0086163F" w:rsidRDefault="0086163F">
      <w:r>
        <w:continuationSeparator/>
      </w:r>
    </w:p>
    <w:p w14:paraId="3E181E5B" w14:textId="77777777" w:rsidR="0086163F" w:rsidRDefault="0086163F"/>
  </w:footnote>
  <w:footnote w:type="continuationNotice" w:id="1">
    <w:p w14:paraId="51C4F4D0" w14:textId="77777777" w:rsidR="0086163F" w:rsidRDefault="0086163F"/>
    <w:p w14:paraId="0BF0C055" w14:textId="77777777" w:rsidR="0086163F" w:rsidRDefault="0086163F"/>
  </w:footnote>
  <w:footnote w:id="2">
    <w:p w14:paraId="09FC70B9" w14:textId="34E3A6D0" w:rsidR="00925C91" w:rsidRDefault="00925C91" w:rsidP="00B71032">
      <w:pPr>
        <w:pStyle w:val="FootnoteText"/>
      </w:pPr>
      <w:r>
        <w:rPr>
          <w:rStyle w:val="FootnoteReference"/>
        </w:rPr>
        <w:footnoteRef/>
      </w:r>
      <w:r>
        <w:t xml:space="preserve"> Skatīt Eiropas Parlamenta</w:t>
      </w:r>
      <w:r>
        <w:rPr>
          <w:i/>
        </w:rPr>
        <w:t xml:space="preserve"> </w:t>
      </w:r>
      <w:r>
        <w:t>un Padomes 2015. gada 9. septembra Direktīvu (ES) 2015/1535, ar ko nosaka informācijas sniegšanas kārtību tehnisko noteikumu un Informācijas sabiedrības pakalpojumu noteikumu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BF4D58" w:rsidP="00A41C32">
    <w:pPr>
      <w:pStyle w:val="FSnr-sidhuvud"/>
    </w:pPr>
    <w:sdt>
      <w:sdtPr>
        <w:alias w:val="Normatīvo aktu krājums"/>
        <w:id w:val="-668563778"/>
        <w:text/>
      </w:sdtPr>
      <w:sdtEndPr/>
      <w:sdtContent>
        <w:r w:rsidR="00E044E9">
          <w:t>TSFS 20</w:t>
        </w:r>
      </w:sdtContent>
    </w:sdt>
    <w:sdt>
      <w:sdtPr>
        <w:alias w:val="gads"/>
        <w:tag w:val="År"/>
        <w:id w:val="651943009"/>
        <w:showingPlcHdr/>
        <w:dataBinding w:prefixMappings="xmlns:ns0='consensis-fs'" w:xpath="/ns0:root[1]/ns0:fs-fields[1]/ns0:fs-year[1]" w:storeItemID="{F222B965-9C48-4AC7-962E-E2AF3EEF1550}"/>
        <w:text/>
      </w:sdtPr>
      <w:sdtEndPr/>
      <w:sdtContent>
        <w:r w:rsidR="00E044E9">
          <w:rPr>
            <w:rStyle w:val="PlaceholderText"/>
          </w:rPr>
          <w:t>[gads]</w:t>
        </w:r>
      </w:sdtContent>
    </w:sdt>
    <w:r w:rsidR="00E044E9">
      <w:t>:</w:t>
    </w:r>
    <w:sdt>
      <w:sdtPr>
        <w:alias w:val="Nr."/>
        <w:tag w:val="Nr"/>
        <w:id w:val="170307869"/>
        <w:showingPlcHdr/>
        <w:dataBinding w:prefixMappings="xmlns:ns0='consensis-fs'" w:xpath="/ns0:root[1]/ns0:fs-fields[1]/ns0:fs-no[1]" w:storeItemID="{F222B965-9C48-4AC7-962E-E2AF3EEF1550}"/>
        <w:text/>
      </w:sdtPr>
      <w:sdtEndPr/>
      <w:sdtContent>
        <w:r w:rsidR="00E044E9">
          <w:rPr>
            <w:rStyle w:val="PlaceholderText"/>
          </w:rPr>
          <w:t>[Nr.]</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BF4D58" w:rsidP="00A41C32">
    <w:pPr>
      <w:pStyle w:val="FSnr-sidhuvud"/>
      <w:jc w:val="right"/>
    </w:pPr>
    <w:sdt>
      <w:sdtPr>
        <w:alias w:val="Normatīvo aktu krājums"/>
        <w:id w:val="1150257239"/>
        <w:text/>
      </w:sdtPr>
      <w:sdtEndPr/>
      <w:sdtContent>
        <w:r w:rsidR="00E044E9">
          <w:t>TSFS 20</w:t>
        </w:r>
      </w:sdtContent>
    </w:sdt>
    <w:sdt>
      <w:sdtPr>
        <w:alias w:val="gads"/>
        <w:tag w:val="År"/>
        <w:id w:val="-620143070"/>
        <w:showingPlcHdr/>
        <w:dataBinding w:prefixMappings="xmlns:ns0='consensis-fs'" w:xpath="/ns0:root[1]/ns0:fs-fields[1]/ns0:fs-year[1]" w:storeItemID="{F222B965-9C48-4AC7-962E-E2AF3EEF1550}"/>
        <w:text/>
      </w:sdtPr>
      <w:sdtEndPr/>
      <w:sdtContent>
        <w:r w:rsidR="00E044E9">
          <w:rPr>
            <w:rStyle w:val="PlaceholderText"/>
          </w:rPr>
          <w:t>[gads]</w:t>
        </w:r>
      </w:sdtContent>
    </w:sdt>
    <w:r w:rsidR="00E044E9">
      <w:t>:</w:t>
    </w:r>
    <w:sdt>
      <w:sdtPr>
        <w:alias w:val="Nr."/>
        <w:tag w:val="Nr"/>
        <w:id w:val="-2001035287"/>
        <w:showingPlcHdr/>
        <w:dataBinding w:prefixMappings="xmlns:ns0='consensis-fs'" w:xpath="/ns0:root[1]/ns0:fs-fields[1]/ns0:fs-no[1]" w:storeItemID="{F222B965-9C48-4AC7-962E-E2AF3EEF1550}"/>
        <w:text/>
      </w:sdtPr>
      <w:sdtEndPr/>
      <w:sdtContent>
        <w:r w:rsidR="00E044E9">
          <w:rPr>
            <w:rStyle w:val="PlaceholderText"/>
          </w:rPr>
          <w:t>[Nr.]</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D58"/>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lv-LV"/>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lv-LV"/>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lv-LV"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[Izvēlieties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AUTOCEĻI</fs-series>
    <fs-subseries/>
    <fs-heading>tehniskajām prasībām transportlīdzekļu sastāviem, kuru garums pārsniedz 25,25 metrus</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13</TotalTime>
  <Pages>6</Pages>
  <Words>1447</Words>
  <Characters>8696</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5</cp:revision>
  <cp:lastPrinted>2023-03-07T06:51:00Z</cp:lastPrinted>
  <dcterms:created xsi:type="dcterms:W3CDTF">2023-04-28T11:45:00Z</dcterms:created>
  <dcterms:modified xsi:type="dcterms:W3CDTF">2023-05-10T16:31:00Z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