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KAPITOLA 4:</w:t>
      </w:r>
      <w:r>
        <w:rPr>
          <w:sz w:val="22"/>
        </w:rPr>
        <w:t xml:space="preserve"> </w:t>
      </w:r>
      <w:r>
        <w:rPr>
          <w:sz w:val="22"/>
        </w:rPr>
        <w:t xml:space="preserve">Přístup k dopravním prostředkům</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Pokud je taxislužba nabízena prostřednictvím telefonních rezervací, musí tato služba rozšířit způsoby vyžádání o nové technologie, aplikace, internet, textové zprávy, faxy nebo podobné prostředky tak, aby všichni uživatelé, včetně těch, kteří mají sluchové postižení, mohli o službu samostatně požádat.</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Pokud má služba „taxi na vyžádání“ internetovou stránku, musí být přístupná alespoň na úrovni AA podle pokynů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Pronájem taxi, které je přístupné osobám se sníženou pohyblivostí prostřednictvím telefonu, internetu nebo mobilní aplikace, nemůže podléhat žádnému očekávanému doplňku poptávky.</w:t>
      </w:r>
      <w:r>
        <w:rPr>
          <w:sz w:val="22"/>
        </w:rPr>
        <w:t xml:space="preserve"> </w:t>
      </w:r>
      <w:r>
        <w:rPr>
          <w:sz w:val="22"/>
        </w:rPr>
        <w:t xml:space="preserve">Průkaz pro invalidy slouží jako doklad v případě, že je požadován.</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KAPITOLA 5:</w:t>
      </w:r>
      <w:r>
        <w:rPr>
          <w:sz w:val="22"/>
        </w:rPr>
        <w:t xml:space="preserve"> </w:t>
      </w:r>
      <w:r>
        <w:rPr>
          <w:sz w:val="22"/>
        </w:rPr>
        <w:t xml:space="preserve">Přístupnost produktů</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Článek 116.</w:t>
      </w:r>
      <w:r>
        <w:rPr>
          <w:sz w:val="22"/>
        </w:rPr>
        <w:tab/>
      </w:r>
      <w:r>
        <w:rPr>
          <w:sz w:val="22"/>
        </w:rPr>
        <w:t xml:space="preserve">Spotřebitelské produkty</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Výrobek je považován za přístupný, pokud splňuje tyto podmínky:</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Má přístupný štítek odpovídající jeho vlastnostem, který umožňuje jeho identifikaci, s jeho názvem a nejdůležitějšími informacemi.</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Jeho návrh se řídí univerzálními kritérii pro návrh, s odpovídajícími podmínkami použití a bezpečnostními podmínkami pro každého uživatele.</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Další informace, pokyny nebo prospekty lze nalézt prostřednictvím internetu, aplikací zařízení a používání nových technologií, přičemž přístupný obsah splňuje podmínky uvedené v odstavcích 25 a 26 přílohy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Společnosti, které uvádějí výrobek na trh, jsou odpovědné za zajištění toho, aby byly splněny podmínky přístupu, které se na něj vztahují.</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Léčivé přípravky a nebezpečné výrobky musí obsahovat datové prvky a systémy, aby nevidomí nebo hluchoslepí lidé měli přístup k těmto informacím:</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Označení názvu výrobku na obalu prostřednictvím Braillova písma a ikonografie.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Datum použitelnosti na obalu prostřednictvím Braillova písma a ikonografie nebo jiných alternativních zdrojů, které poskytují stejné vlastnosti.</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Hlavní vlastnosti výrobku, jako je jeho složení a uchovávání, mimo jiné prostřednictvím zvukového vyhledávání přes internet nebo jinými prostředky, které umožňují nové technologie se stejnou účinností, na žádost sdružení osob se zrakovým postižením.</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Řetězce supermarketů a společnosti s potravinářskými nebo smíšenými provozovnami musí ve všech lokalitách, kde mají prostory o užitné ploše větší než 250 m² pro veřejné použití, musí na žádost nevidomé osoby nebo jejího rodinného příslušníka zajistit níže uvedené podmínky:</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Alespoň jedno ze zařízení v dané lokalitě provádí označování názvů a dat konce použitelnosti v Braillově písmu na produktech podléhajících rychlé zkáze nebo produktech, které mohou způsobit zmatení osob, prostřednictvím tiskáren nebo systémů umožňujících takovéto označování v Braillově písmu v samotném zařízení.</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Výrobky prodávané on-line a dodávané do domácností jsou rovněž označeny v Braillově písmu, jak bylo uvedeno výše.</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Obchodní šíření prováděné přes internet nebo jinými prostředky poskytuje v přístupné formě informace o tom, ve kterých prostorách se nacházejí ty, které nabízejí možnost označování výrobků v Braillově písmu.</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 obcích s více než 50 000 obyvateli se každá čtvrť považuje za odlišnou územní oblast a pro účely použití předchozího odstavce se považuje za lokalitu.</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Administrativa Generalitat musí postupně rozvíjet technické pokyny, které zahrnují nový technologický pokrok, a stanovit specifikace, lhůty, vlastnosti a kritéria přístupného označování a pokyny pro univerzální návrh, které se vztahují na výrobky v různých obchodních odvětvích.</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Spotřebitelé se zrakovým postižením a hluchoslepotou mají právo na přístup ke stejným informacím o výrobku, jaké mají všichni spotřebitelé a uživatelé v označení pro ně určeném, a to nezávisle, obvykle, snadno, okamžitě a za rovných podmínek.</w:t>
      </w:r>
      <w:r>
        <w:rPr>
          <w:sz w:val="22"/>
        </w:rPr>
        <w:t xml:space="preserve"> </w:t>
      </w:r>
      <w:r>
        <w:rPr>
          <w:sz w:val="22"/>
        </w:rPr>
        <w:t xml:space="preserve">Za tímto účelem musí přístupné označení splňovat tyto podmínky:</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Musí poskytovat co nejvíce informací a poskytovat zdravotně postiženým spotřebitelům rovné podmínky, jako jsou pro ostatní spotřebitele.</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Musí umožňovat, aby informace byly získávány nezávisle, rychle, pohodlně, přímo a standardizovaným způsobem, aniž by to vyžadovalo velké technické znalosti nebo použití technologických prostředků.</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Nemůže představovat dodatečné náklady pro zdravotně postižené spotřebitele.</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Nemusí to pro firmy vytvářet neúnosné náklady.</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Společnosti, které nabízejí služby elektronického prodeje a tuto povinnost mají, musí na příslušné internetové stránce uvést možnost, aby takto zakoupené výrobky byly dodány s přístupným označením.</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Spotřebitelský rozhodčí systém a jeho postupy a procesy musí být přístupné osobám se zdravotním postižením.</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Úřady veřejných a soukromých služeb pro spotřebitele musí přijmout opatření k usnadnění přístupnosti komunikace pro neslyšící, kteří komunikují ve znakovém jazyce a ústně, s dostatečnými prostředky podpory.</w:t>
      </w:r>
      <w:r>
        <w:rPr>
          <w:sz w:val="22"/>
        </w:rPr>
        <w:t xml:space="preserve"> </w:t>
      </w:r>
      <w:r>
        <w:rPr>
          <w:sz w:val="22"/>
        </w:rPr>
        <w:t xml:space="preserve">Kromě toho musí mít sluchátka instalována v 20 % kanceláří veřejné služby a jejich zaměstnanci musí být připraveni poskytnout informace osobám se zdravotním postižením jakéhokoli druhu, a to nejpozději do 3 let od vstupu tohoto zákoníku v platnost.</w:t>
      </w:r>
    </w:p>
    <w:p w14:paraId="178D066A" w14:textId="77777777" w:rsidR="00CC0ADF" w:rsidRDefault="00CC0ADF">
      <w:pPr>
        <w:rPr>
          <w:lang w:val="es-ES"/>
        </w:rPr>
      </w:pPr>
    </w:p>
    <w:p w14:paraId="3EF53236" w14:textId="476D7F11" w:rsidR="00E526B5" w:rsidRDefault="00B670F2">
      <w:r>
        <w:rPr>
          <w:sz w:val="22"/>
        </w:rPr>
        <w:t xml:space="preserve">KAPITOLA 6:</w:t>
      </w:r>
      <w:r>
        <w:rPr>
          <w:sz w:val="22"/>
        </w:rPr>
        <w:t xml:space="preserve"> </w:t>
      </w:r>
      <w:r>
        <w:rPr>
          <w:sz w:val="22"/>
        </w:rPr>
        <w:t xml:space="preserve">Přístupnost služeb</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Veřejné služby, jejichž internetové stránky jsou přístupné veřejnosti, musí poskytovat informace o přístupnosti těchto služeb a o jejich závislostech, zařízeních a postupech.</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Internetové stránky, aplikace pro mobilní zařízení a jiné produkty a služby informačních a komunikačních technologií nabízené veřejnými službami musí splňovat podmínky stanovené v příloze 5a tohoto zákoníku a normu UNE-EN 301549:2022 nebo normu, která ji nahrazuje, v souladu se směrnicí Evropského parlamentu a Rady (EU) 2016/2102 a provedením prostřednictvím královského výnosu č. 112/2018 ze dne 7. září 2018 o přístupnosti internetových stránek a aplikací pro mobilní zařízení ve veřejném sektoru, aniž je dotčeno nařízení příslušného orgánu v této věci v Katalánsku.</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Internetové stránky a mobilní aplikace řetězců supermarketů a potravinářských nebo smíšených zařízení s užitnou plochou pro veřejné použití větší než 500 m², které nabízejí možnost nakupovat on-line a přijímat produkty prostřednictvím dodávky domů, musí být přístupné v souladu s podmínkami uvedenými v odstavcích 25 a 26 přílohy 5a a dosáhnout alespoň dvojnásobné úrovně souladu s přístupností A (AA) podle pokynů WCAG 2.1 v těchto situacích:</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Pokud jde o nově vytvořené stránky nebo aplikace.</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Při změně stávajících stránek nebo aplikací.</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Pokud jsou lhůty stanovené v odstavci 4 přílohy 6b splněny úpravou stávajících stránek a aplikací.</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Internetové stránky a aplikace pro mobilní zařízení, které umožňují bankovnictví, uzavírání smluv nebo jakýkoli jiný typ správy nebo nahlížení týkající se produktů, které byly smluvně podchyceny ve fyzické kanceláři, musí být přístupné v souladu s podmínkami uvedenými v odstavcích 25 a 26 přílohy 5a a musí dosahovat alespoň dvojnásobné úrovně souladu s přístupností A (AA) podle pokynů WCAG 2.1 v těchto situacích:</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Pokud jde o nově vytvořené stránky nebo aplikace.</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Při změně stávajících stránek nebo aplikací.</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Pokud jsou lhůty stanovené v odstavci 5 přílohy 6b splněny úpravou stávajících stránek a aplikací.</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Internetové stránky a mobilní aplikace hotelových řetězců a zařízení s kapacitou více než 100 míst, které umožňují uzavírání smluv o ubytování a on-line službách, musí být přístupné v souladu s podmínkami uvedenými v odstavcích 25 a 26 přílohy 5a a musí dosahovat alespoň dvojnásobné úrovně souladu s přístupností A (AA) podle pokynů WCAG 2.1 v těchto situacích:</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Pokud jde o nově vytvořené stránky nebo aplikace.</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Při změně stávajících stránek nebo aplikací.</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Jsou-li dodrženy lhůty stanovené v odstavci 7 přílohy 6b pro přizpůsobení stávajících stránek a žádostí.</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Internetové stránky a mobilní aplikace provozoven nebo sdružení podniků musí být přístupné v souladu s podmínkami stanovenými v odstavcích 25 a 26 přílohy 5a;</w:t>
      </w:r>
      <w:r>
        <w:rPr>
          <w:sz w:val="22"/>
        </w:rPr>
        <w:t xml:space="preserve"> </w:t>
      </w:r>
      <w:r>
        <w:rPr>
          <w:sz w:val="22"/>
        </w:rPr>
        <w:t xml:space="preserve">dosažení alespoň dvojnásobné úrovně souladu s přístupností A (AA) podle pokynů WCAG 2.1 a poskytnutí informací uvedených v předchozích odstavcích v těchto situacích:</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Pokud jde o nově vytvořené stránky nebo aplikace.</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Při změně stávajících stránek nebo aplikací.</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Jsou-li dodrženy lhůty stanovené v odstavci 3 přílohy 6b pro přizpůsobení stávajících stránek a žádostí.</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Internetové stránky a mobilní aplikace sportovních zařízení a klubů, které nabízejí prodej vstupenek na sportovní akce v jejich místě, musí být přístupné a musí poskytovat nezbytné informace za stejných podmínek, jaké jsou stanoveny v článku 133 pro služby související s divadelním uměním.</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Internetové stránky a mobilní aplikace vzdělávacích zařízení poskytujících formální vzdělávání musí být přístupné v souladu s podmínkami uvedenými v odstavcích 25 a 26 přílohy 5a a musí dosahovat alespoň dvojnásobné úrovně souladu s přístupností A (AA) podle pokynů WCAG 2.1 v těchto situacích:</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Pokud jde o nově vytvořené stránky nebo aplikace.</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Při změně stávajících stránek nebo aplikací.</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Pokud jsou lhůty stanovené v odstavci 8 přílohy 6b splněny úpravou stávajících stránek a aplikací.</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Článek 138.</w:t>
      </w:r>
      <w:r>
        <w:rPr>
          <w:sz w:val="22"/>
        </w:rPr>
        <w:tab/>
      </w:r>
      <w:r>
        <w:rPr>
          <w:sz w:val="22"/>
        </w:rPr>
        <w:t xml:space="preserve">Základní služby, služby obecného zájmu nebo služby financované z veřejných prostředků</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Internetové stránky katalánského veřejného sektoru a veřejnoprávních korporací, jakož i všechny ty, které jsou spuštěny s financováním od veřejné správy a od subjektů nebo společností, které poskytují veřejné služby na základě koncese nebo na smluvním základě s veřejnou správou, musí splňovat požadavky odstavce 25 přílohy 5a a dosáhnout dvojí úrovně souladu s přístupností A (AA) podle pokynů WCAG 2.1, aniž je dotčeno nařízení přijaté příslušným orgánem v této oblasti v Katalánsku v souladu s královským výnosem č. 1112/2018 ze dne 7. září 2018 o přístupnosti internetových stránek a aplikací pro mobilní zařízení ve veřejném sektoru.</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Internetové stránky soukromých subjektů poskytujících základní služby nebo služby obecného zájmu, včetně elektřiny, vody nebo plynu a telekomunikací, jakož i zdravotní, poštovní a bankovní služby, musí rovněž splňovat požadavky odstavce 25 přílohy 5a a dvojité úrovně souladu s přístupností A (AA) podle pokynů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Aplikace mobilních zařízení ve veřejném sektoru a subjekty uvedené v odstavcích 138.1 a 138.2 výše musí splňovat požadavky na přístupnost podle odstavce 26 přílohy 5a, aniž je dotčeno nařízení příslušného orgánu v této oblasti v Katalánsku.</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Požadavky na přístupnost internetových stránek a mobilních aplikací stanovené v tomto článku se použijí za předpokladu, že nepředstavují nepřiměřenou zátěž pro hospodářský subjekt, který je musí použít, v souladu s těmito okolnostmi:</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Rozměry, zdroje a povaha konkrétního hospodářského subjektu.</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Náklady a přínosy hospodářského subjektu a odhadované přínosy pro uživatele, s přihlédnutím k četnosti a době trvání používání těchto internetových stránek nebo aplikace.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Diskriminační účinky na osoby se zdravotním postižením, pokud webové stránky nebo aplikace nejsou přístupné v případě, že jsou na trhu, webových stránkách nebo alternativní aplikaci, které nabízejí stejné funkce a podmínky.</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Veřejný sektor nebo subjekt využívající výjimku stanovenou v odstavci 138.4 výše musí vysvětlit, které požadavky na přístupnost nemohly být splněny v prohlášení o přístupnosti internetových stránek nebo aplikace, a musí v rámci možností nabídnout přístupné alternativy.</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Internetové stránky a mobilní aplikace musí splňovat podmínky přístupnosti stanovené v předchozích odstavcích před konečnými lhůtami stanovenými v odstavci 2 přílohy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Poskytovatelé služeb a výrobci dodávající IT vybavení a software katalánskému veřejnému sektoru a hospodářské subjekty uvedené v odstavci 138.1 musí zahrnovat další prvky a vlastnosti přístupnosti nezbytné k umožnění přístupu k digitálnímu obsahu pro osoby se zdravotním postižením.</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Veřejné a soukromé televizní sítě v Katalánsku musí vypracovat plány pro přístupnost jejich obsahu, aby postupně zpřístupnily své programy pro osoby se smyslovým a intelektuálním postižením.</w:t>
      </w:r>
      <w:r>
        <w:rPr>
          <w:sz w:val="22"/>
        </w:rPr>
        <w:t xml:space="preserve"> </w:t>
      </w:r>
      <w:r>
        <w:rPr>
          <w:sz w:val="22"/>
        </w:rPr>
        <w:t xml:space="preserve">Tyto plány musí umožnit dosažení následujících cílů během nejvýše 3 let od vstupu tohoto zákoníku v platnost:</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Veřejné televizní sítě:</w:t>
      </w:r>
      <w:r>
        <w:rPr>
          <w:sz w:val="22"/>
        </w:rPr>
        <w:t xml:space="preserve"> </w:t>
      </w:r>
      <w:r>
        <w:rPr>
          <w:sz w:val="22"/>
        </w:rPr>
        <w:t xml:space="preserve">Musí mít 100 % programu s titulky a poskytovat minimálně 15 hodin týdně obsahu se zvukovým popisem a 10 hodin týdně v katalánském znakovém jazyce.</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Soukromé televizní sítě:</w:t>
      </w:r>
      <w:r>
        <w:rPr>
          <w:sz w:val="22"/>
        </w:rPr>
        <w:t xml:space="preserve"> </w:t>
      </w:r>
      <w:r>
        <w:rPr>
          <w:sz w:val="22"/>
        </w:rPr>
        <w:t xml:space="preserve">Musí mít 75 % programu s titulky a poskytovat minimálně 10 hodin týdně obsahu se zvukovým popisem a 7 hodin týdně v katalánském znakovém jazyce.</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Programy s katalánským znakovým jazykem musí zahrnovat zpravodajské programy a pořady pro děti, které jsou k dispozici v nabídce v nabídce předtočeného sledování, pokud je tato služba dostupná.</w:t>
      </w:r>
      <w:r>
        <w:rPr>
          <w:sz w:val="22"/>
        </w:rPr>
        <w:t xml:space="preserve"> </w:t>
      </w:r>
      <w:r>
        <w:rPr>
          <w:sz w:val="22"/>
        </w:rPr>
        <w:t xml:space="preserve">Tento program musí zahrnovat každý den v týdnu.</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Společnosti, které distribuují kinematografická a audiovizuální díla, musí zahrnovat systémy pro zobrazení titulků, zvukový popis a audionavigaci, pokud možno v zahraničních a domácích filmech, které mají lepší návštěvnost nebo získaly vnitrostátní nebo mezinárodní ocenění, aby byly k dispozici prostřednictvím podpory DVD nebo podobných systémů s těmito funkcemi.</w:t>
      </w:r>
    </w:p>
    <w:p w14:paraId="0F3986EB" w14:textId="77777777" w:rsidR="003920DF" w:rsidRDefault="003920DF">
      <w:pPr>
        <w:rPr>
          <w:lang w:val="es-ES"/>
        </w:rPr>
      </w:pPr>
    </w:p>
    <w:p w14:paraId="44244122" w14:textId="3BAB5CCF" w:rsidR="00E526B5" w:rsidRDefault="00B670F2">
      <w:r>
        <w:rPr>
          <w:sz w:val="22"/>
        </w:rPr>
        <w:t xml:space="preserve">KAPITOLA 11:</w:t>
      </w:r>
      <w:r>
        <w:rPr>
          <w:sz w:val="22"/>
        </w:rPr>
        <w:t xml:space="preserve"> </w:t>
      </w:r>
      <w:r>
        <w:rPr>
          <w:sz w:val="22"/>
        </w:rPr>
        <w:t xml:space="preserve">Odznak kvality přístupnosti</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Veřejné nahlédnutí na zařízení, budovy a veřejné subjekty, které mají průkaz kvality, musí být možné alespoň prostřednictvím internetu, aniž jsou dotčeny jiné prostředky, které lze považovat za vhodné.</w:t>
      </w:r>
    </w:p>
    <w:p w14:paraId="6CBE5DDA" w14:textId="77777777" w:rsidR="00E526B5" w:rsidRDefault="00E526B5">
      <w:pPr>
        <w:rPr>
          <w:lang w:val="es-ES"/>
        </w:rPr>
      </w:pPr>
    </w:p>
    <w:p w14:paraId="3BFAD248" w14:textId="66A7955A" w:rsidR="00E526B5" w:rsidRDefault="00CF1E0D">
      <w:r>
        <w:rPr>
          <w:sz w:val="22"/>
        </w:rPr>
        <w:t xml:space="preserve">Příloha 5a</w:t>
      </w:r>
      <w:r>
        <w:rPr>
          <w:sz w:val="22"/>
        </w:rPr>
        <w:t xml:space="preserve"> </w:t>
      </w:r>
      <w:r>
        <w:rPr>
          <w:sz w:val="22"/>
        </w:rPr>
        <w:t xml:space="preserve">Normy přístupnosti produktu</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Přístupné webové stránky</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Pokyny, které musí být dodržovány při navrhování a vytváření internetových stránek, a podmínky pro jejich přístupnost jsou následující:</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Nakonfigurovat obsah tak, aby mohl být přizpůsoben různým softwarům, zařízením a podpůrným produktům, aniž by došlo ke ztrátě informací nebo struktury.</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Poskytnout textové alternativy nebo popisnou identifikaci netextového obsahu (obrázky, grafika, multimediální obsah).</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Začlenit titulky a zvukový popis multimediálního obsahu, pokud je to nutné pro správné pochopení zprávy.</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Poskytnout mechanismy, které umožňují ztlumit a ovládat hlasitost zvuku.</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Nepoužívat barvu jako jediný prostředek k předávání informací, označení akce nebo rozlišování prvku.</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Text a obrázky musí mít dostatečný kontrast s pozadím a velikost, která umožní jejich pohodlné čtení.</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Velikost textu musí být možné upravit ze samotné stránky bez pomoci podpůrných produktů a bez ztráty obsahu nebo funkčnosti.</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Poskytnout přístup ke všem funkcím stránky pomocí klávesnice, s řešením, které není v rozporu se čtečkami a zvětšovači obrazovky.</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Umožnit uživateli ovládací funkci pro informace nebo objekty, které jsou automaticky přesunovány nebo aktualizovány, aby je mohl zastavit, skrýt nebo řídit četnost.</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Usnadnit navigaci strukturováním obsahu v uceleném pořadí a poskytnutím jasných navigačních mechanismů.</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Začlenit informace o pokynech, které uživatelům pomohou porozumět složitým prvkům a poskytnout mechanismy pro odhalování chyb při zadávání dat ze strany uživatelů a předcházení těmto chybám.</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Označit jazyk použitý v každém odstavci nebo dokumentu webové stránky tak, aby čtečky obrazovky a syntetizátory hlasu mohly automaticky detekovat a měnit jazyk.</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Použít jasný a srozumitelný jazyk, aby byl obsah snadno srozumitelný, a začlenit definici nejneobvyklejších slov a význam iniciál a zkratek.</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Maximalizovat kompatibilitu s aplikacemi, softwarem a uživateli zařízení, včetně podpůrných produktů.</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Zajistit, aby dokumenty zveřejněné na internetu byly rovněž přístupné a čitelné pro čtečky obrazovky.</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Poskytovat přístupné komunikační kanály jiné než telefonicky prostřednictvím e-mailu, SMS nebo formulářů, přičemž doba zpracování není ve srovnání s telefonním hovorem diskriminační.</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Splňovat kritéria podle pokynů WCAG 2.1 na jedné ze svých úrovní, s podmínkami stanovenými normou UNE 139803:2012 nebo s podmínkami, které je nahrazují, s výjimkou situací, kdy tento zákoník vyžaduje vyšší úroveň.</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Přístupné aplikace</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Mobilní přístupné aplikace musí splňovat podmínky stanovené v normě UNE 139803:2012 nebo v normě, která ji nahrazuje, a musí splňovat tato obecná kritéria:</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Všechny zprávy, asistenční systémy a texty musí být napsány jasným a jednoduchým jazykem.</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Text musí být srozumitelný a mít velikost a písmo, které usnadňují čtení.</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Barevný kontrast prvků s pozadím musí být dostatečný.</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Ovládací prvky, objekty, ikony a obrázky musí být identifikovatelné, snadno použitelné a musí mít přiřazený alternativní text označující jejich funkci nebo význam.</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Varovné zvuky musí mít vizuální nebo vibrační alternativy.</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Proces přístupu ke službě musí být hladký a rychlý.</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Aplikace musí být kompatibilní s podpůrnými produkty, jako jsou čtečky a zvětšovače obrazovky a hlasové příkazy.</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Aplikace musí být kompatibilní s nástroji přístupnosti operačního systému.</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Příloha 6b:</w:t>
      </w:r>
      <w:r>
        <w:rPr>
          <w:sz w:val="22"/>
        </w:rPr>
        <w:t xml:space="preserve"> </w:t>
      </w:r>
      <w:r>
        <w:rPr>
          <w:sz w:val="22"/>
        </w:rPr>
        <w:t xml:space="preserve">Lhůty pro přizpůsobení stávajících služeb nastaveným podmínkám</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Kompatibilita s jinými požadovanými podmínkami</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Podmínky této přílohy 6b se nedotýkají povinnosti splnit před stanovenými lhůtami požadované podmínky přístupnosti v případě úpravy stávajících prvků nebo zdrojů.</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Katalánský veřejný sektor, veřejnoprávní korporace a subjekty poskytující veřejné služby</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Pro přístupnost internetových stránek a mobilních aplikací katalánského veřejného sektoru, veřejnoprávních společností a subjektů nebo společností, které poskytují veřejné služby na základě koncese nebo na smluvním základě s veřejnou správou a které splňují podmínky uvedené v článku 138, jsou stanoveny tyto konečné lhůty:</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rok od vstupu tohoto zákoníku v platnost:</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Internetové stránky katalánského veřejného sektoru a veřejnoprávních korporací.</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roky od vstupu tohoto zákoníku v platnost:</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Aplikace pro mobilní zařízení v katalánském veřejném sektoru a veřejnoprávních korporacích.</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roky od vstupu tohoto zákoníku v platnost:</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Internetové stránky a aplikace pro mobilní zařízení subjektů nebo společností, které poskytují veřejné služby na základě koncese nebo na smluvním základě s veřejnou správou.</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Uvedené lhůty jsou stanoveny, aniž je dotčen soulad těch nejnáročnějších, které jsou vyžadovány charakteristikami služby v souladu se zbývajícími odstavci této přílohy nebo jinými předpisy, které ji upravují.</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Služby související s divadelním uměním, kiny a sportovními akcemi</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Tyto konečné lhůty jsou stanoveny tak, aby internetové stránky zařízení a elektronické kanály prodeje vstupenek mohly být přístupné a splňovaly podmínky stanovené v článku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roky od vstupu tohoto zákoníku v platnost:</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Internetové stránky a mobilní aplikace provozoven s kapacitou nejméně 2 000 míst v celém prostoru.</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Internetové stránky a mobilní aplikace on-line platforem pro prodej vstupenek, které jsou provozovány pro více než jedno zařízení s celkovou kapacitou rovnající se nebo větší než 2 000 míst.</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roky od vstupu tohoto zákoníku v platnost:</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Internetové stránky a mobilní aplikace on-line platforem pro prodej vstupenek, které jsou provozovány pro více než jedno zařízení s celkovou kapacitou méně než 2 000 míst.</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roky od vstupu tohoto zákoníku v platnost:</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Internetové stránky a mobilní aplikace zařízení s kapacitou méně než 2 000 míst v celém prostoru.</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Komerční služby</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Následující konečné lhůty jsou stanoveny tak, aby internetové stránky a mobilní aplikace, které nabízejí možnost on-line nakupování, jakož i maloobchodní řetězce, jakož i společnosti s potravinářskými nebo smíšenými zařízeními, mohly být přístupné a splňovaly podmínky stanovené v článku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roky od vstupu tohoto zákoníku v platnost:</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Internetové stránky a aplikace pro mobilní zařízení řetězců supermarketů, které mají 10 nebo více provozoven a prostor o rozloze více než 500 m² užitečné plochy pro veřejné použití.</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roky od vstupu tohoto zákoníku v platnost:</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Internetové stránky a aplikace, pro mobilní zařízení, řetězce supermarketů, které mají 5 až 9 provozoven a prostory o rozloze více než 500 m² užitečné plochy pro veřejné použití.</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roky od vstupu tohoto zákoníku v platnost:</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Internetové stránky a aplikace pro mobilní zařízení, řetězce supermarketů a potravinářských nebo smíšených zařízení, které mají prostory o rozloze více než 500 m² užitné plochy pro veřejné použití.</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Finanční a pojišťovací služby</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Následující konečné lhůty jsou stanoveny tak, aby internetové stránky a aplikace pro mobilní zařízení, které umožňují provádění bankovních operací, uzavírání smluv, konzultací se zdravotnickými útvary nebo jakýmkoli jiným typem správy nebo konzultací ohledně produktů, které jsou předmětem smlouvy se subjektem, mohly být přístupné a splňovaly podmínky uvedené v článku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rok od vstupu tohoto zákoníku v platnost:</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Internetové stránky</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roky od vstupu tohoto zákoníku v platnost:</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Aplikace pro mobilní zařízení.</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Služby související se soukromou dopravou</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Následující konečné lhůty jsou stanoveny tak, aby společnosti nabízející autopůjčovnu s vozovým parkem více než 100 vozidel a společnosti nabízející autopůjčovnu s řidičem s vozovým parkem více než 50 vozidel mohly splňovat podmínky stanovené v článku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rok od vstupu tohoto zákoníku v platnost:</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Musí mít k dispozici dodávku vozidel schopných přepravovat osoby – neřidiče, na invalidním vozíku, který je roven nebo vyšší než 1 % vozového parku, který řídí.</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Musí mít k dispozici přizpůsobená vozidla pro řidiče se sníženou pohyblivostí rovnající se nebo vyšší než 0,5 % vozového parku, který řídí.</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Dodávky uvedené v předchozích bodech mohou být poskytnuty prostřednictvím vlastních vozidel nebo prostřednictvím dohod s jinými provozovateli, které zaručují dostatečnou přístupnost.</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roky od vstupu tohoto zákoníku v platnost:</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Nejméně 0,5 % vozidel ve svém vlastním vozovém parku musí umožňovat přepravu neřidiče na invalidním vozíku.</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let od vstupu tohoto zákoníku v platnost:</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Nejméně 2 % vozidel ve svém vlastním vozovém parku musí umožňovat přepravu neřidiče na invalidním vozíku.</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Nejméně 0,5 % vozidel v jejich vlastním vozovém parku musí být přizpůsobeno řidičům se sníženou pohyblivostí.</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Služby související s turistickým ubytováním</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Následující konečné lhůty jsou stanoveny tak, aby internetové stránky a mobilní aplikace hotelových řetězců a zařízení s kapacitou více než 100 pokojů, které umožňují rezervaci ubytování a on-line služeb, mohly být přístupné a splňovaly podmínky uvedené v článku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roky od vstupu tohoto zákoníku v platnost:</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Internetové stránky a mobilní aplikace hotelových řetězců, které mají 5 nebo více zařízení a společnou kapacitu více než 500 pokojů.</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roky od vstupu tohoto zákoníku v platnost:</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Internetové stránky a mobilní aplikace hotelových řetězců, které mají až 4 zařízení a společnou kapacitu více než 500 pokojů.</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Internetové stránky a mobilní aplikace zařízení s 500 a více místnostmi.</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roky od vstupu tohoto zákoníku v platnost:</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Internetové stránky a mobilní aplikace hotelových řetězců, které mají společnou kapacitu od 100 do 500 pokojů</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Internetové stránky a aplikace pro mobilní zařízení, která mají 50 až 500 pokojů.</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Vzdělávací služby</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Tyto konečné lhůty jsou stanoveny tak, aby internetové stránky a mobilní aplikace vzdělávacích zařízení poskytujících formální vzdělávání mohly být přístupné a splňovaly podmínky stanovené v článku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roky od vstupu tohoto zákoníku v platnost:</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Internetové stránky a aplikace pro mobilní zařízení, které umožňují vyhledávání akademických záznamů, správu faktur nebo jiné on-line procesy.</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roky od vstupu tohoto zákoníku v platnost:</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Internetové stránky a aplikace pro mobilní zařízení, které poskytují informace o škole, zařízeních a nabídkách vzdělávání.</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Zdravotní služby</w:t>
      </w:r>
    </w:p>
    <w:p w14:paraId="62E28D59" w14:textId="77777777" w:rsidR="00E526B5" w:rsidRPr="000F0A63" w:rsidRDefault="00E526B5" w:rsidP="00E526B5">
      <w:pPr>
        <w:tabs>
          <w:tab w:val="left" w:pos="284"/>
        </w:tabs>
        <w:jc w:val="both"/>
        <w:rPr>
          <w:bCs/>
          <w:sz w:val="22"/>
          <w:szCs w:val="22"/>
          <w:rFonts w:cs="Arial"/>
        </w:rPr>
      </w:pPr>
      <w:r>
        <w:rPr>
          <w:sz w:val="22"/>
        </w:rPr>
        <w:t xml:space="preserve">Zdravotnická střediska s počtem lůžek rovnajícím se nebo větším než 50 musí splňovat tyto lhůty a podmínky:</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roky od vstupu tohoto zákoníku v platnost:</w:t>
      </w:r>
    </w:p>
    <w:p w14:paraId="727C4E74" w14:textId="77777777" w:rsidR="00E526B5" w:rsidRPr="000F0A63" w:rsidRDefault="00E526B5" w:rsidP="00E526B5">
      <w:pPr>
        <w:tabs>
          <w:tab w:val="left" w:pos="284"/>
        </w:tabs>
        <w:jc w:val="both"/>
        <w:rPr>
          <w:sz w:val="22"/>
          <w:szCs w:val="22"/>
          <w:rFonts w:cs="Arial"/>
        </w:rPr>
      </w:pPr>
      <w:r>
        <w:rPr>
          <w:sz w:val="22"/>
        </w:rPr>
        <w:t xml:space="preserve">Mít infrastrukturu, mobilní zařízení a protokoly sloužící neslyšícím prostřednictvím katalánského znakového jazyka pomocí technologie dálkového tlumočení s kapacitou nejméně 2 % lůžek.</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