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1DAC609" w:rsidR="005074AB" w:rsidRPr="00EA32C0" w:rsidRDefault="005074AB" w:rsidP="00EA32C0">
      <w:pPr>
        <w:jc w:val="both"/>
        <w:rPr>
          <w:rFonts w:cstheme="minorHAnsi"/>
          <w:b/>
        </w:rPr>
      </w:pPr>
      <w:r>
        <w:rPr>
          <w:b/>
        </w:rPr>
        <w:t xml:space="preserve">Σχέδιο βασιλικού διατάγματος </w:t>
      </w:r>
      <w:r w:rsidR="002F628C">
        <w:rPr>
          <w:b/>
        </w:rPr>
        <w:tab/>
      </w:r>
      <w:r w:rsidR="002F628C">
        <w:rPr>
          <w:b/>
        </w:rPr>
        <w:tab/>
      </w:r>
      <w:r>
        <w:rPr>
          <w:b/>
        </w:rPr>
        <w:t>της</w:t>
      </w:r>
      <w:r>
        <w:rPr>
          <w:b/>
        </w:rPr>
        <w:tab/>
      </w:r>
      <w:r>
        <w:rPr>
          <w:b/>
        </w:rPr>
        <w:tab/>
        <w:t>, για την τροποποίηση του τεχνικού οικοδομικού κώδικα, που εγκρίθηκε με το βασιλικό διάταγμα 314/2006, της 17ης Μαρτίου</w:t>
      </w:r>
    </w:p>
    <w:p w14:paraId="42548872" w14:textId="172DDCC5" w:rsidR="005074AB" w:rsidRPr="003934E5" w:rsidRDefault="005074AB" w:rsidP="005074AB">
      <w:pPr>
        <w:jc w:val="both"/>
        <w:rPr>
          <w:rFonts w:cstheme="minorHAnsi"/>
        </w:rPr>
      </w:pPr>
      <w:r>
        <w:t>Ο νόμος 38/1999 της 5ης Νοεμβρίου περί οικοδομικών κανονισμών, ορίζει τον τεχνικό οικοδομικό κώδικα (CTE) ως το κανονιστικό πλαίσιο που καθορίζει τις βασικές απαιτήσεις ποιότητας για τα κτίρια και τις εγκαταστάσεις τους και επιτρέπει τη συμμόρφωση με τις βασικές απαιτήσεις του άρθρου 3. Ο τεχνικός οικοδομικός κώδικας (CTE) που προβλέπεται στον παρόντα νόμο εγκρίθηκε με το βασιλικό διάταγμα 314/2006 της 17ης Μαρτίου. Τα βασικά έγγραφα που αποτελούν το μέρος ΙΙ του CTE καθορίζουν και κατά περίπτωση, ποσοτικοποιούν τις βασικές απαιτήσεις που ορίζονται στο μέρος Ι με τον καθορισμό επιπέδων στόχων απόδοσης ή ορίων ή άλλων παραμέτρων. Ειδικότερα, το βασικό έγγραφο DB-HE «Εξοικονόμηση ενέργειας» προσδιορίζει και ποσοτικοποιεί τις απαιτήσεις ενεργειακής απόδοσης που πρέπει να πληρούν τα νεόδμητα κτίρια, καθώς και τις παρεμβάσεις σε υφιστάμενα κτίρια.</w:t>
      </w:r>
    </w:p>
    <w:p w14:paraId="400360D8" w14:textId="77777777" w:rsidR="005074AB" w:rsidRPr="003934E5" w:rsidRDefault="005074AB" w:rsidP="005074AB">
      <w:pPr>
        <w:jc w:val="both"/>
        <w:rPr>
          <w:rFonts w:cstheme="minorHAnsi"/>
        </w:rPr>
      </w:pPr>
      <w:r>
        <w:t>Την 30ή Μαΐου 2018, εκδόθηκε η οδηγία (ΕΕ) 2018/844 του Ευρωπαϊκού Κοινοβουλίου και του Συμβουλίου για την τροποποίηση της οδηγίας 2010/31/ΕΕ για την ενεργειακή απόδοση των κτιρίων και της οδηγίας 2012/27/ΕΕ για την ενεργειακή απόδοση.</w:t>
      </w:r>
    </w:p>
    <w:p w14:paraId="0B5B2276" w14:textId="142A5C6B" w:rsidR="005A6E61" w:rsidRPr="003934E5" w:rsidRDefault="005074AB" w:rsidP="005A6E61">
      <w:pPr>
        <w:jc w:val="both"/>
        <w:rPr>
          <w:rFonts w:cstheme="minorHAnsi"/>
        </w:rPr>
      </w:pPr>
      <w:r>
        <w:t>Η παρούσα οδηγία καθορίζει τις προϋποθέσεις για την ανάπτυξη των ελάχιστων υποδομών που απαιτούνται για την έξυπνη φόρτιση των ηλεκτρικών οχημάτων σε χώρους στάθμευσης οχημάτων στα κτίρια. Ως εκ τούτου, τόσο ο τομέας των κατασκευών όσο και ο τομέας της κινητικότητας αποτελούν στρατηγικούς τομείς για τη συνολική απαλλαγή της οικονομίας από τις ανθρακούχες εκπομπές, με κανονιστικό πλαίσιο που αποσκοπεί στην ενίσχυση της καινοτομίας, της βιωσιμότητας και της ενεργειακής απόδοσης στους εν λόγω τομείς.</w:t>
      </w:r>
    </w:p>
    <w:p w14:paraId="4245C855" w14:textId="1828DE90" w:rsidR="005A6E61" w:rsidRPr="003934E5" w:rsidRDefault="005A6E61" w:rsidP="005A6E61">
      <w:pPr>
        <w:jc w:val="both"/>
        <w:rPr>
          <w:rFonts w:cstheme="minorHAnsi"/>
        </w:rPr>
      </w:pPr>
      <w:r>
        <w:t>Με τη σειρά της, η ανάπτυξη υποδομών για την έξυπνη φόρτιση των ηλεκτρικών οχημάτων θα συμβάλει στη διαχείριση της ενέργειας και την ευελιξία, τη χρήση ανανεώσιμων πηγών ενέργειας και τη βελτίωση της ποιότητας του αέρα και η ενεργειακή τους απόδοση θα βελτιστοποιηθεί καθιστώντας τα κτίρια πιο ψηφιακά και ενσωματώνοντας νέες τεχνολογίες στον τομέα.</w:t>
      </w:r>
    </w:p>
    <w:p w14:paraId="45A016F5" w14:textId="74A214E6" w:rsidR="005A6E61" w:rsidRPr="003934E5" w:rsidRDefault="005A6E61" w:rsidP="005A6E61">
      <w:pPr>
        <w:jc w:val="both"/>
        <w:rPr>
          <w:rFonts w:cstheme="minorHAnsi"/>
        </w:rPr>
      </w:pPr>
      <w:r>
        <w:t xml:space="preserve">Επίσης, το ολοκληρωμένο εθνικό σχέδιο για την ενέργεια και το κλίμα 2021-2030 (PNIEC) που υπέβαλε η Ισπανία στην Ευρωπαϊκή Επιτροπή, προβλέπει την προώθηση της ηλεκτρικής κινητικότητας ως μέτρο για τη μείωση της κατανάλωσης ενέργειας και των εκπομπών των οχημάτων μέσω της κανονιστικής προσαρμογής και της ενσωμάτωσης της νομοθεσίας της Ευρωπαϊκής Ένωσης που επιτρέπει την ανάπτυξη υποδομών φόρτισης ηλεκτρικών οχημάτων σύμφωνα με την ανάπτυξη της ηλεκτροκίνησης του στόλου οχημάτων, καθώς και μέσω άλλων μηχανισμών ενθάρρυνσης και στήριξης. </w:t>
      </w:r>
    </w:p>
    <w:p w14:paraId="3BF925DC" w14:textId="3FA9F544" w:rsidR="00A75681" w:rsidRPr="000E4F56" w:rsidRDefault="00C33374" w:rsidP="00A75681">
      <w:pPr>
        <w:jc w:val="both"/>
        <w:rPr>
          <w:rFonts w:cstheme="minorHAnsi"/>
        </w:rPr>
      </w:pPr>
      <w:r>
        <w:t xml:space="preserve">Προκειμένου να επιτευχθούν οι στόχοι αυτοί και να μεταφερθεί εν μέρει η οδηγία όσον αφορά το θέμα αυτό, το παρόν βασιλικό διάταγμα εισάγει στον τεχνικό οικοδομικό κώδικα μια νέα βασική απαίτηση εξοικονόμησης ενέργειας σχετικά με τις ελάχιστες κατανομές για τις υποδομές φόρτισης ηλεκτρικών οχημάτων, η οποία αναπτύσσεται στο νέο τμήμα HE 6 «Ελάχιστες υποδομές φόρτισης ηλεκτρικών οχημάτων» του βασικού εγγράφου εξοικονόμησης ενέργειας. Προκειμένου να διασφαλιστούν οι συνθήκες προσβασιμότητας για τα σημεία </w:t>
      </w:r>
      <w:r>
        <w:lastRenderedPageBreak/>
        <w:t>φόρτισης σε προσβάσιμους χώρους στάθμευσης, τροποποιείται το βασικό έγγραφο DB-SUA «Ασφάλεια χρήσης και προσβασιμότητας».</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Επιπλέον και σύμφωνα με τις διατάξεις του νόμου 7/2021 της 20ής Μαΐου, για την κλιματική αλλαγή και την ενεργειακή μετάβαση, μια ενιαία πρόσθετη διάταξη του βασιλικού διατάγματος 314/2006 της 17ης Μαρτίου, με την οποία εγκρίνεται ο τεχνικός οικοδομικός κώδικας, θεσπίζει τις ακόλουθες απαιτήσεις για τις ελάχιστες διατάξεις για υποδομές φόρτισης ηλεκτρικών οχημάτων σε υφιστάμενα κτίρια για χρήση άλλη εκτός της ιδιωτικής οικιστικής χρήσης, τα οποία διαθέτουν χώρο στάθμευσης με περισσότερους από είκοσι χώρους στάθμευσης, είτε σε εσωτερικό είτε σε καθορισμένο εξωτερικό χώρο και οι οποίες δεν περιλαμβάνονται στο πεδίο εφαρμογής του τμήματος HE6 του βασικού εγγράφου για την εξοικονόμηση ενέργειας. Ο νόμος 7/2021 της 20ής Μαΐου, για την κλιματική αλλαγή και την ενεργειακή μετάβαση, θεσπίζει την υποχρέωση να τεθεί σε ισχύ αυτή η διάταξη που ορίζεται στον τεχνικό οικοδομικό κώδικα, πριν από την 1η Ιανουαρίου 2023. </w:t>
      </w:r>
    </w:p>
    <w:p w14:paraId="1192FDEB" w14:textId="77777777" w:rsidR="005074AB" w:rsidRPr="009064BC" w:rsidRDefault="005074AB" w:rsidP="005074AB">
      <w:pPr>
        <w:jc w:val="both"/>
        <w:rPr>
          <w:rFonts w:cstheme="minorHAnsi"/>
        </w:rPr>
      </w:pPr>
      <w:r>
        <w:t>Τέλος, προκειμένου να ολοκληρωθεί η ρύθμιση των υποδομών φόρτισης ηλεκτρικών οχημάτων, τροποποιείται η συμπληρωματική τεχνική οδηγία (ITC) BT-52 του ηλεκτροτεχνικού κανονισμού χαμηλής τάσης, που εγκρίθηκε με το βασιλικό διάταγμα 1053/2014 της 12ης Δεκεμβρίου και τροποποιούνται άλλες συμπληρωματικές τεχνικές οδηγίες.</w:t>
      </w:r>
    </w:p>
    <w:p w14:paraId="53205125" w14:textId="62D4F2A6" w:rsidR="005A6E61" w:rsidRPr="009064BC" w:rsidRDefault="005074AB" w:rsidP="005A6E61">
      <w:pPr>
        <w:jc w:val="both"/>
        <w:rPr>
          <w:rFonts w:cstheme="minorHAnsi"/>
        </w:rPr>
      </w:pPr>
      <w:r>
        <w:t xml:space="preserve">Επιπλέον, ως μέτρο για την προώθηση των ανανεώσιμων πηγών ενέργειας, τη βελτίωση της ανταγωνιστικότητας των παραγωγικών τομέων και την ενθάρρυνση των καταναλωτών να συμμετέχουν περισσότερο στη διαχείριση της ενέργειάς τους, το PNIEC προβλέπει την ανάπτυξη ιδιοκατανάλωσης ενέργειας από ανανεώσιμες πηγές και κατανεμημένης παραγωγής σε οικιστικές και επιχειρηματικές περιοχές. </w:t>
      </w:r>
    </w:p>
    <w:p w14:paraId="4F23D1D3" w14:textId="56BE7436" w:rsidR="005074AB" w:rsidRPr="009064BC" w:rsidRDefault="005A6E61" w:rsidP="005074AB">
      <w:pPr>
        <w:jc w:val="both"/>
        <w:rPr>
          <w:rFonts w:cstheme="minorHAnsi"/>
        </w:rPr>
      </w:pPr>
      <w:r>
        <w:t xml:space="preserve">Στο πλαίσιο αυτό, η έγκριση του βασιλικού διατάγματος 244/2019 της 5ης Απριλίου, το οποίο ρυθμίζει τις διοικητικές, τεχνικές και οικονομικές συνθήκες για την ιδιοκατανάλωση ηλεκτρικής ενέργειας, επέτρεψε, μεταξύ άλλων, τη συλλογική ιδιοκατανάλωση, ενώ παράλληλα μείωσε τις διοικητικές διαδικασίες για την υλοποίηση της ιδιοκατανάλωσης. Ως εκ τούτου, θεωρείται ότι το ισχύον νομικό πλαίσιο επιτρέπει τη διεύρυνση του πεδίου εφαρμογής της βασικής απαίτησης HE 5 σχετικά με την ελάχιστη παραγωγή ηλεκτρικής ενέργειας, τόσο με την εφαρμογή της σε κτίρια που προορίζονται για ιδιωτική κατοικία όσο και με τη μείωση του κατώτατου ορίου της δομημένης επιφάνειας σε κτίρια όλων των χρήσεων από τις οποίες ισχύει η απαίτηση. </w:t>
      </w:r>
    </w:p>
    <w:p w14:paraId="2C3560FF" w14:textId="60FA6548" w:rsidR="005074AB" w:rsidRDefault="005074AB" w:rsidP="005074AB">
      <w:pPr>
        <w:jc w:val="both"/>
        <w:rPr>
          <w:rFonts w:cstheme="minorHAnsi"/>
        </w:rPr>
      </w:pPr>
      <w:r>
        <w:t>Επιπλέον, αφού επισημάνθηκαν σφάλματα και τυπογραφικά λάθη στο βασιλικό διάταγμα 732/2019 της 20ής Δεκεμβρίου, για την τροποποίηση του τεχνικού οικοδομικού κώδικα, που εγκρίθηκε με το βασιλικό διάταγμα 314/2006 της 17ης Μαρτίου, το οποίο δημοσιεύθηκε στη «BOE» (Επίσημη Εφημερίδα) αριθ. 311 της 27ης Δεκεμβρίου 2019, πραγματοποιούνται οι κατάλληλες διορθώσεις. Παράλληλα, προκειμένου να αποσαφηνιστεί ο τρόπος εφαρμογής του βασικού εγγράφου DB-HE σχετικά με την «εξοικονόμηση ενέργειας» μετά την επικαιροποίησή του με το προαναφερθέν βασιλικό διάταγμα 732/2019, κρίνεται αναγκαία η τροποποίηση της διατύπωσης ορισμένων μερών του τμήματος HE 1 σχετικά με τους όρους για τον έλεγχο της ζήτησης ενέργειας και του παραρτήματος A σχετικά με την ορολογία του προαναφερθέντος βασικού εγγράφου.</w:t>
      </w:r>
    </w:p>
    <w:p w14:paraId="010C68C8" w14:textId="6D1CCB96" w:rsidR="00E26B23" w:rsidRDefault="00E26B23" w:rsidP="00B65F28">
      <w:pPr>
        <w:jc w:val="both"/>
        <w:rPr>
          <w:rFonts w:cstheme="minorHAnsi"/>
          <w:bCs/>
        </w:rPr>
      </w:pPr>
      <w:r>
        <w:lastRenderedPageBreak/>
        <w:t xml:space="preserve">Η τροποποίηση του τεχνικού κώδικα σχετικά με την ενσωμάτωση του νέου τμήματος HE 6 «Ελάχιστες διατάξεις για τις υποδομές φόρτισης ηλεκτρικών οχημάτων» του βασικού εγγράφου για την εξοικονόμηση ενέργειας, καθώς και η τροποποίηση του βασιλικού διατάγματος 1053/2014της 12ης Δεκεμβρίου, με το οποίο εγκρίνεται μια νέα συμπληρωματική τεχνική οδηγία (ITC) BT 52 που περιλαμβάνεται στην πρώτη τελική διάταξη και η ενιαία πρόσθετη διάταξη του βασιλικού διατάγματος 314/2006, της 17ης Μαρτίου, με το οποίο εγκρίνεται ο τεχνικός κώδικας, αποτελούν μέρος των νομικών μεταρρυθμίσεων που προβλέπονται στο σχέδιο ανάκαμψης, μετασχηματισμού και ανθεκτικότητας (PRTR). Συγκεκριμένα, η συνιστώσα 1 του PRTR σχετικά με το «Σχέδιο κρούσης για τη βιώσιμη, ασφαλή και συνδεδεμένη κινητικότητα σε αστικά και μητροπολιτικά περιβάλλοντα» προβλέπει την έγκριση του παρόντος βασιλικού διατάγματος για την εφαρμογή των προαναφερόμενων νομικών μεταρρυθμίσεων στο πλαίσιο της μεταρρύθμισης της C1.R1 με τίτλο «Σχέδιο για την ανάπτυξη υποδομών φόρτισης και την προώθηση των ηλεκτρικών οχημάτων».  Η μεταρρύθμιση C1.R1 έχει σχεδιαστεί ως το νομοθετικό, κανονιστικό και στρατηγικό πλαίσιο για τη διευκόλυνση της ανάπτυξης υποδομών φόρτισης για την προώθηση των ηλεκτρικών οχημάτων στην Ισπανία και έχει δύο ορόσημα. Το πρώτο από αυτά αποτελείται από το διάταγμα TMA/178/2020 της 19ης Φεβρουαρίου για την τροποποίηση του διατάγματος της 16ης Δεκεμβρίου 1997, το οποίο ρυθμίζει την πρόσβαση σε δημόσιες οδούς, οδούς εξυπηρέτησης και την κατασκευή εγκαταστάσεων εξυπηρέτησης, και το βασιλικό νομοθετικό διάταγμα 23/2020 της 23ης Ιουνίου, το οποίο εγκρίνει μέτρα στον τομέα της ενέργειας και σε άλλους τομείς για την οικονομική επανενεργοποίηση. Το δεύτερο ορόσημο της μεταρρύθμισης C1.R1. ενσωματώνει την έγκριση του παρόντος βασιλικού διατάγματος για την τροποποίηση του τεχνικού οικοδομικού κώδικα και του βασιλικού διατάγματος 1053/2014 της 12ης Δεκεμβρίου, για την έγκριση νέας συμπληρωματικής τεχνικής οδηγίας (ITC) BT 52.  Η μεταρρύθμιση C1.R1. συνδέεται με τις επενδύσεις C1.I2 «Σχέδιο κινήτρων για την εγκατάσταση σημείων φόρτισης, την αγορά ηλεκτρικών οχημάτων και οχημάτων με κυψέλες καυσίμου και την καινοτομία στην ηλεκτροκίνηση, τη φόρτιση και το πράσινο υδρογόνο». Η επένδυση αυτή περιλαμβάνει γραμμές ενίσχυσης για την εγκατάσταση σταθμών φόρτισης που καθορίζονται στο βασιλικό διάταγμα 266/2021 της 13ης Απριλίου, για την έγκριση της άμεσης χορήγησης ενισχύσεων στις αυτόνομες κοινότητες και στις πόλεις Θέουτα και Μελίλια για την εφαρμογή προγραμμάτων παροχής κινήτρων που συνδέονται με την ηλεκτρική κινητικότητα (MOVES III) στο πλαίσιο του PRTR. </w:t>
      </w:r>
    </w:p>
    <w:p w14:paraId="65C24996" w14:textId="1073EF13" w:rsidR="003F7C25" w:rsidRPr="001C78CB" w:rsidRDefault="003F7C25" w:rsidP="005074AB">
      <w:pPr>
        <w:jc w:val="both"/>
        <w:rPr>
          <w:rFonts w:cstheme="minorHAnsi"/>
          <w:bCs/>
          <w:i/>
          <w:iCs/>
        </w:rPr>
      </w:pPr>
      <w:r>
        <w:t xml:space="preserve">Το παρόν βασιλικό διάταγμα σέβεται την αρχή της μη πρόκλησης σημαντικής βλάβης (DNSH) και τις συνθήκες για την κλιματική και την ψηφιακή επισήμανση, σύμφωνα με τις διατάξεις του PRTR, του κανονισμού ΕΕ/2021/241 του Ευρωπαϊκού Κοινοβουλίου και του Συμβουλίου της 12ης Φεβρουαρίου 2021, για τη θέσπιση του μηχανισμού ανάκαμψης και ανθεκτικότητας, και της εκτελεστικής νομοθεσίας του και ιδίως την ανακοίνωση της Επιτροπής σχετικά με τις τεχνικές κατευθυντήριες γραμμές σχετικά με την εφαρμογή της αρχής της μη πρόκλησης σημαντικής βλάβης στο πλαίσιο του κανονισμού για τον μηχανισμό ανθεκτικότητας και ανάκαμψης, καθώς και τις απαιτήσεις της εκτελεστικής απόφασης του Συμβουλίου για την έγκριση της αξιολόγησης του ισπανικού σχεδίου ανάκαμψης, μετασχηματισμού και ανθεκτικότητας. Αυτό περιλαμβάνει τη συμμόρφωση με τους ειδικούς όρους που καθορίζονται στο στοιχείο 1, καθώς και στη μεταρρύθμιση 1 στην οποία εντάσσεται το παρόν βασιλικό διάταγμα, τόσο όσον αφορά την αρχή της μη πρόκλησης σημαντικής βλάβης όσο και την κλιματική και ψηφιακή επισήμανση και ιδίως εκείνους που ορίζονται στα τμήματα 3, 6 και 8 </w:t>
      </w:r>
      <w:r>
        <w:lastRenderedPageBreak/>
        <w:t xml:space="preserve">του εγγράφου στοιχείων του PRTR. Οι επενδύσεις C1.I2 του PRTR, που συνδέονται με τη μεταρρύθμιση C1.R1, τηρούν επίσης την αρχή της μη πρόκλησης σημαντικής βλάβης για το περιβάλλον και τους όρους της κλιματικής και ψηφιακής επισήμανσης. </w:t>
      </w:r>
    </w:p>
    <w:p w14:paraId="16D6EC35" w14:textId="6F02251C" w:rsidR="005074AB" w:rsidRPr="009064BC" w:rsidRDefault="005074AB" w:rsidP="005074AB">
      <w:pPr>
        <w:ind w:left="13"/>
        <w:jc w:val="both"/>
        <w:rPr>
          <w:rFonts w:cstheme="minorHAnsi"/>
        </w:rPr>
      </w:pPr>
      <w:r>
        <w:t>Το παρόν βασιλικό διάταγμα συνάδει με τις αρχές της αναγκαιότητας, της αποτελεσματικότητας, της αναλογικότητας, της ασφάλειας δικαίου, της διαφάνειας και της αποδοτικότητας, όπως ορίζονται στο άρθρο 129 του νόμου 39/2015 της 1ης Οκτωβρίου, για την κοινή διοικητική διαδικασία της δημόσιας διοίκησης. Όσον αφορά τις αρχές της αναγκαιότητας και της αποτελεσματικότητας, ο νόμος ανταποκρίνεται στην υποχρέωση μεταφοράς των ευρωπαϊκών οδηγιών στο εθνικό δίκαιο και συνάδει με στόχους γενικού συμφέροντος, όπως η προσαρμογή των κτιριακών υποδομών για την προώθηση της βιώσιμης κινητικότητας και η χρήση ανανεώσιμων πηγών ενέργειας. Αυτό θα έχει ως αποτέλεσμα την ευημερία στην κοινωνία και την προστασία του περιβάλλοντος. Το παρόν βασιλικό διάταγμα συνάδει επίσης με την αρχή της αναλογικότητας, δεδομένου ότι παρέχει τα αναγκαία και επαρκή μέσα για την εφαρμογή της νομικής εντολής που προβλέπεται στην οδηγία, αλλά δεν απαιτεί καινοτομία που μπορεί να είναι περιττή ή να υπερβαίνει τις νομικές απαιτήσεις, ούτε συνεπάγεται περιορισμό των δικαιωμάτων των πολιτών. Ο κανονισμός αυτός τηρεί την αρχή της ασφάλειας δικαίου, διότι αναπτύχθηκε σύμφωνα με τις διαδικασίες που ορίζονται στον νόμο 50/1997 της 27ης Νοεμβρίου 1997 και την αρχή της διαφάνειας, διότι προσδιορίζει σαφώς τον σκοπό του και η αιτιολογική έκθεση, στην οποία έχει πρόσβαση το κοινό, εξηγεί πλήρως το περιεχόμενό του. Τέλος, τηρεί επίσης την αρχή της αποδοτικότητας, διότι δεν επιβάλλει καμία διοικητική επιβάρυνση.</w:t>
      </w:r>
    </w:p>
    <w:p w14:paraId="4E30715D" w14:textId="77777777" w:rsidR="005074AB" w:rsidRPr="009064BC" w:rsidRDefault="005074AB" w:rsidP="005074AB">
      <w:pPr>
        <w:jc w:val="both"/>
        <w:rPr>
          <w:rFonts w:cstheme="minorHAnsi"/>
        </w:rPr>
      </w:pPr>
      <w:r>
        <w:t>Η γενική αυτή διάταξη υπόκειται στη διαδικασία πληροφόρησης στον τομέα των τεχνικών κανονισμών και των κανόνων σχετικά με τις υπηρεσίες της κοινωνίας της πληροφορίας, η οποία προβλέπεται στην οδηγία (ΕΕ) 2015/1535 του Ευρωπαϊκού Κοινοβουλίου και του Συμβουλίου της 9ης Σεπτεμβρίου 2015, καθώς και στο βασιλικό διάταγμα 1337/1999 της 31ης Ιουλίου 1999.</w:t>
      </w:r>
    </w:p>
    <w:p w14:paraId="533AAB8D" w14:textId="741A459B" w:rsidR="003C546E" w:rsidRDefault="003C546E" w:rsidP="003C546E">
      <w:pPr>
        <w:jc w:val="both"/>
        <w:rPr>
          <w:rFonts w:cstheme="minorHAnsi"/>
        </w:rPr>
      </w:pPr>
      <w:r>
        <w:t>Βάσει των ανωτέρω, κατόπιν προτάσεως του υπουργού Μεταφορών, Κινητικότητας και Αστικού Θεματολογίου και του τρίτου αντιπροέδρου της Κυβέρνησης και υπουργού Οικολογικής Μετάβασης και Δημογραφικής Πρόκλησης, σε συμφωνία με το Συμβούλιο της Επικρατείας και μετά από διαβουλεύσεις του Υπουργικού Συμβουλίου κατά τη συνεδρίασή του την</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t>ΟΡΙΖΟΝΤΑΙ ΤΑ ΕΞΗΣ:</w:t>
      </w:r>
    </w:p>
    <w:p w14:paraId="29194849" w14:textId="17EA67F9" w:rsidR="005074AB" w:rsidRPr="0033081E" w:rsidRDefault="002A5A94" w:rsidP="005074AB">
      <w:pPr>
        <w:jc w:val="both"/>
        <w:rPr>
          <w:rFonts w:cstheme="minorHAnsi"/>
          <w:bCs/>
          <w:i/>
          <w:iCs/>
        </w:rPr>
      </w:pPr>
      <w:r>
        <w:t xml:space="preserve">Μοναδικό άρθρο. </w:t>
      </w:r>
      <w:r>
        <w:rPr>
          <w:i/>
        </w:rPr>
        <w:t>Τροποποίηση του τεχνικού οικοδομικού κώδικα (CTE) που εγκρίθηκε με το βασιλικό διάταγμα 314/2006 της 17ης Μαρτίου 2006.</w:t>
      </w:r>
    </w:p>
    <w:p w14:paraId="49F6DB5C" w14:textId="77777777" w:rsidR="005074AB" w:rsidRPr="009064BC" w:rsidRDefault="005074AB" w:rsidP="005074AB">
      <w:pPr>
        <w:jc w:val="both"/>
        <w:rPr>
          <w:rFonts w:cstheme="minorHAnsi"/>
        </w:rPr>
      </w:pPr>
      <w:r>
        <w:t>Το βασιλικό διάταγμα 314/2006 της 17ης Μαρτίου 2006 για την έγκριση του τεχνικού οικοδομικού κώδικα (CTE) τροποποιείται ως εξής:</w:t>
      </w:r>
    </w:p>
    <w:p w14:paraId="1E4A23CD" w14:textId="3CA20F16" w:rsidR="005074AB" w:rsidRPr="009064BC" w:rsidRDefault="005074AB" w:rsidP="005074AB">
      <w:pPr>
        <w:ind w:left="567" w:hanging="567"/>
        <w:jc w:val="both"/>
        <w:rPr>
          <w:rFonts w:cstheme="minorHAnsi"/>
        </w:rPr>
      </w:pPr>
      <w:r>
        <w:t>Πρώτον. Το μέρος Ι του τεχνικού οικοδομικού κώδικα τροποποιείται ως εξής:</w:t>
      </w:r>
    </w:p>
    <w:p w14:paraId="7B36765A" w14:textId="6C7BF234" w:rsidR="006B44D8" w:rsidRPr="009064BC" w:rsidRDefault="006B44D8" w:rsidP="0033081E">
      <w:pPr>
        <w:ind w:left="142" w:hanging="142"/>
        <w:jc w:val="both"/>
        <w:rPr>
          <w:rFonts w:cstheme="minorHAnsi"/>
        </w:rPr>
      </w:pPr>
      <w:r>
        <w:t>— Στον πίνακα περιεχομένων ο τίτλος «15.6. Βασική απαίτηση HE5: Ελάχιστη παραγωγή ηλεκτρικής ενέργειας» διατυπώνεται ως εξής:</w:t>
      </w:r>
    </w:p>
    <w:p w14:paraId="750B02FB" w14:textId="5E773080" w:rsidR="006B44D8" w:rsidRPr="009064BC" w:rsidRDefault="006B44D8" w:rsidP="00F11565">
      <w:pPr>
        <w:ind w:left="426"/>
        <w:jc w:val="both"/>
        <w:rPr>
          <w:rFonts w:cstheme="minorHAnsi"/>
        </w:rPr>
      </w:pPr>
      <w:r>
        <w:lastRenderedPageBreak/>
        <w:t>«15.6. Βασική απαίτηση HE 5: Τμήμα HE5 Ελάχιστη παραγωγή ηλεκτρικής ενέργειας από ανανεώσιμες πηγές.»</w:t>
      </w:r>
    </w:p>
    <w:p w14:paraId="0B75EAC4" w14:textId="77777777" w:rsidR="006B44D8" w:rsidRPr="009064BC" w:rsidRDefault="006B44D8" w:rsidP="006B44D8">
      <w:pPr>
        <w:numPr>
          <w:ilvl w:val="0"/>
          <w:numId w:val="9"/>
        </w:numPr>
        <w:ind w:left="142" w:hanging="142"/>
        <w:jc w:val="both"/>
        <w:rPr>
          <w:rFonts w:cstheme="minorHAnsi"/>
        </w:rPr>
      </w:pPr>
      <w:r>
        <w:t>Προστίθεται ένα συμπληρωματικό σημείο με το ακόλουθο κείμενο στην παραπομπή στο άρθρο 15 στο ευρετήριο:</w:t>
      </w:r>
    </w:p>
    <w:p w14:paraId="1C1AB680" w14:textId="1D8C7D23" w:rsidR="006B44D8" w:rsidRPr="009064BC" w:rsidRDefault="007E461E" w:rsidP="00F11565">
      <w:pPr>
        <w:ind w:left="426"/>
        <w:jc w:val="both"/>
        <w:rPr>
          <w:rFonts w:cstheme="minorHAnsi"/>
        </w:rPr>
      </w:pPr>
      <w:r>
        <w:t>«15.7. Βασική απαίτηση HE6: Εγκαταστάσεις ελάχιστης υποδομής φόρτισης για ηλεκτρικά οχήματα.</w:t>
      </w:r>
    </w:p>
    <w:p w14:paraId="03B3513D" w14:textId="1133ED17" w:rsidR="001E31F3" w:rsidRPr="002C30D6" w:rsidRDefault="005074AB" w:rsidP="005074AB">
      <w:pPr>
        <w:numPr>
          <w:ilvl w:val="0"/>
          <w:numId w:val="9"/>
        </w:numPr>
        <w:ind w:left="142" w:hanging="142"/>
        <w:jc w:val="both"/>
        <w:rPr>
          <w:rFonts w:cstheme="minorHAnsi"/>
        </w:rPr>
      </w:pPr>
      <w:r>
        <w:t>Στο κεφάλαιο 3, το άρθρο 15 σημείο 15.6 τροποποιείται ως εξής:</w:t>
      </w:r>
    </w:p>
    <w:p w14:paraId="1E36A006" w14:textId="3C6E29CB" w:rsidR="001E31F3" w:rsidRPr="009064BC" w:rsidRDefault="00F11565" w:rsidP="00F11565">
      <w:pPr>
        <w:pStyle w:val="ListParagraph"/>
        <w:ind w:left="426"/>
        <w:jc w:val="both"/>
        <w:rPr>
          <w:rFonts w:cstheme="minorHAnsi"/>
        </w:rPr>
      </w:pPr>
      <w:r>
        <w:t>«15.6 Βασική απαίτηση HE 5: Ελάχιστη παραγωγή ηλεκτρικής ενέργειας από ανανεώσιμες πηγές.</w:t>
      </w:r>
    </w:p>
    <w:p w14:paraId="4799EB9C" w14:textId="22AE3D4A" w:rsidR="001E31F3" w:rsidRPr="009064BC" w:rsidRDefault="001B0467" w:rsidP="00F11565">
      <w:pPr>
        <w:ind w:left="426"/>
        <w:jc w:val="both"/>
        <w:rPr>
          <w:rFonts w:cstheme="minorHAnsi"/>
        </w:rPr>
      </w:pPr>
      <w:r>
        <w:t>Τα κτίρια διαθέτουν συστήματα ηλεκτροπαραγωγής από ανανεώσιμες πηγές για δική τους χρήση ή για τον εφοδιασμό του δικτύου.»</w:t>
      </w:r>
    </w:p>
    <w:p w14:paraId="799517C6" w14:textId="6A449415" w:rsidR="005074AB" w:rsidRPr="009064BC" w:rsidRDefault="001E31F3" w:rsidP="005074AB">
      <w:pPr>
        <w:numPr>
          <w:ilvl w:val="0"/>
          <w:numId w:val="9"/>
        </w:numPr>
        <w:ind w:left="142" w:hanging="142"/>
        <w:jc w:val="both"/>
        <w:rPr>
          <w:rFonts w:cstheme="minorHAnsi"/>
        </w:rPr>
      </w:pPr>
      <w:r>
        <w:t>Στο τέλος του άρθρου 15 παρεμβάλλεται το ακόλουθο κείμενο:</w:t>
      </w:r>
    </w:p>
    <w:p w14:paraId="67BDEE2E" w14:textId="77777777" w:rsidR="005074AB" w:rsidRPr="009064BC" w:rsidRDefault="005074AB" w:rsidP="00F11565">
      <w:pPr>
        <w:ind w:left="426"/>
        <w:jc w:val="both"/>
        <w:rPr>
          <w:rFonts w:cstheme="minorHAnsi"/>
        </w:rPr>
      </w:pPr>
      <w:r>
        <w:t>«15.7 Βασική απαίτηση HE 6: Εγκαταστάσεις ελάχιστης υποδομής φόρτισης για ηλεκτρικά οχήματα.</w:t>
      </w:r>
    </w:p>
    <w:p w14:paraId="7C67403C" w14:textId="535BDE0B" w:rsidR="005074AB" w:rsidRDefault="005074AB" w:rsidP="00F11565">
      <w:pPr>
        <w:ind w:left="426"/>
        <w:jc w:val="both"/>
        <w:rPr>
          <w:rFonts w:cstheme="minorHAnsi"/>
        </w:rPr>
      </w:pPr>
      <w:r>
        <w:t>Τα κτίρια θα πρέπει να διαθέτουν ελάχιστη υποδομή που να επιτρέπει τη φόρτιση ηλεκτρικών οχημάτων.»</w:t>
      </w:r>
    </w:p>
    <w:p w14:paraId="6F674517" w14:textId="77777777" w:rsidR="002A5A94" w:rsidRPr="000E4F56" w:rsidRDefault="002A5A94" w:rsidP="002A5A94">
      <w:pPr>
        <w:pStyle w:val="ListParagraph"/>
        <w:numPr>
          <w:ilvl w:val="0"/>
          <w:numId w:val="9"/>
        </w:numPr>
        <w:ind w:left="142" w:hanging="142"/>
        <w:jc w:val="both"/>
        <w:rPr>
          <w:rFonts w:cstheme="minorHAnsi"/>
        </w:rPr>
      </w:pPr>
      <w:r>
        <w:t>Παρεμβάλλεται η ακόλουθη πρόσθετη διάταξη:</w:t>
      </w:r>
    </w:p>
    <w:p w14:paraId="2417D1DC" w14:textId="3DAEE52F" w:rsidR="002A5A94" w:rsidRPr="0033081E" w:rsidRDefault="002A5A94" w:rsidP="002A5A94">
      <w:pPr>
        <w:ind w:left="426"/>
        <w:jc w:val="both"/>
        <w:rPr>
          <w:rFonts w:cstheme="minorHAnsi"/>
          <w:bCs/>
          <w:i/>
          <w:iCs/>
        </w:rPr>
      </w:pPr>
      <w:r>
        <w:t xml:space="preserve">«Ενιαία πρόσθετη διάταξη. </w:t>
      </w:r>
      <w:r>
        <w:rPr>
          <w:i/>
        </w:rPr>
        <w:t>Εγκαταστάσεις ελάχιστης υποδομής φόρτισης για ηλεκτρικά οχήματα σε κτίρια για χρήσεις εκτός των ιδιωτικών κατοικιών με περισσότερες από είκοσι θέσεις στάθμευσης.</w:t>
      </w:r>
    </w:p>
    <w:p w14:paraId="71CE31DD" w14:textId="72E1754E" w:rsidR="0067270E" w:rsidRPr="008F4D49" w:rsidRDefault="0067270E" w:rsidP="0067270E">
      <w:pPr>
        <w:ind w:left="426"/>
        <w:jc w:val="both"/>
      </w:pPr>
      <w:r>
        <w:t>Σύμφωνα με τις διατάξεις του νόμου 7/2021 της 20ής Μαΐου για την κλιματική αλλαγή και την ενεργειακή μετάβαση, πριν από την 1η Ιανουαρίου 2023, όλα τα κτίρια που προορίζονται για χρήση πλην ιδιωτικής οικιστικής χρήσης και διαθέτουν χώρο στάθμευσης με περισσότερους από είκοσι χώρους στάθμευσης, σε εσωτερικό ή καθορισμένο εξωτερικό χώρο, πρέπει να διαθέτουν τις ακόλουθες εγκαταστάσεις ελάχιστης υποδομής φόρτισης ηλεκτρικών οχημάτων:</w:t>
      </w:r>
    </w:p>
    <w:p w14:paraId="2339A7CE" w14:textId="2F683544" w:rsidR="0067270E" w:rsidRPr="00DC3EE9" w:rsidRDefault="0067270E" w:rsidP="00675D0E">
      <w:pPr>
        <w:ind w:left="426"/>
        <w:jc w:val="both"/>
        <w:rPr>
          <w:rFonts w:cstheme="minorHAnsi"/>
        </w:rPr>
      </w:pPr>
      <w:r>
        <w:t>— γενικά, εγκαθίσταται ένας σταθμός φόρτισης για κάθε 40 θέσεις στάθμευσης ή ισοδύναμοι σταθμοί έως 1.000 θέσεις στάθμευσης και ένας πρόσθετος σταθμός φόρτισης για κάθε 100 επιπλέον θέσεις στάθμευσης ή ισοδύναμοι σταθμοί. Εναλλακτικά, ζητείται η δημοτική άδεια ή έγκριση για τις εργασίες που απαιτούνται για την εκτέλεση της εν λόγω υποδομής φόρτισης ή σε περίπτωση που ο ιδιοκτήτης του κτιρίου υπόκειται στις διατάξεις του νόμου 9/2017 της 8ης Νοεμβρίου περί δημοσίων συμβάσεων, ο οποίος μεταφέρει στο ισπανικό δίκαιο τις οδηγίες 2014/23/ΕΕ και 2014/24/ΕΕ του Ευρωπαϊκού Κοινοβουλίου και του Συμβουλίου της 26ης Φεβρουαρίου 2014, προκηρύσσεται ο διαγωνισμός για τις εν λόγω εργασίες ή ενεργοποιείται το έργο ή το τεχνικό έγγραφο που απαιτείται για τον καθορισμό των εν λόγω εργασιών, με αναγγελία στην αντίστοιχη πλατφόρμα δημοσίων συμβάσεων</w:t>
      </w:r>
      <w:bookmarkStart w:id="0" w:name="_Hlk74840570"/>
      <w:r>
        <w:t xml:space="preserve">. Οι εργασίες που επισημοποιούνται με αίτηση χορήγησης δημοτικής άδειας ή έγκρισης πρέπει να αρχίζουν εντός της μέγιστης περιόδου ισχύος της άδειας σύμφωνα με τους σχετικούς κανονισμούς και ελλείψει αυτής, εντός έξι μηνών από την ημερομηνία </w:t>
      </w:r>
      <w:r>
        <w:lastRenderedPageBreak/>
        <w:t>χορήγησης της άδειας. Οι εργασίες που επισημοποιούνται με την έναρξη της διαδικασίας υποβολής προσφορών ή της πρόσκλησης υποβολής προσφορών του έργου ή του τεχνικού εγγράφου που τις καθορίζει πρέπει να αρχίσουν εντός της μέγιστης περιόδου ισχύος της άδειας, δημοτικής άδειας ή ισοδύναμης άδειας ή ελλείψει αυτής, εντός έξι μηνών από την ημερομηνία χορήγησής της.</w:t>
      </w:r>
    </w:p>
    <w:bookmarkEnd w:id="0"/>
    <w:p w14:paraId="58AB7358" w14:textId="65977551" w:rsidR="00F90C96" w:rsidRPr="008F4D49" w:rsidRDefault="0067270E" w:rsidP="00EA32C0">
      <w:pPr>
        <w:ind w:left="426"/>
        <w:jc w:val="both"/>
        <w:rPr>
          <w:rFonts w:cstheme="minorHAnsi"/>
        </w:rPr>
      </w:pPr>
      <w:r>
        <w:t>— σε κτίρια που ανήκουν στη γενική δημόσια διοίκηση ή σε δημόσιους φορείς που συνδέονται με αυτήν ή ανήκουν σε αυτήν, εγκαθίσταται ένας σταθμός φόρτισης για κάθε 20 θέσεις στάθμευσης ή ισοδύναμοι σταθμοί έως 500 θέσεις στάθμευσης και ένας πρόσθετος σταθμός φόρτισης για κάθε 100 επιπλέον θέσεις στάθμευσης ή ισοδύναμοι σταθμοί ή εναλλακτικά ξεκινά η διαδικασία υποβολής προσφορών για τις εργασίες ή ενεργοποιείται το έργο ή το τεχνικό έγγραφο που απαιτείται για τον καθορισμό των εργασιών με αναγγελία στη σχετική πλατφόρμα δημοσίων συμβάσεων. Οι εργασίες που επισημοποιούνται με την έναρξη της διαδικασίας υποβολής προσφορών ή της πρόσκλησης υποβολής προσφορών του έργου ή του τεχνικού εγγράφου που τις καθορίζει πρέπει να αρχίσουν εντός της μέγιστης περιόδου ισχύος της άδειας, δημοτικής άδειας ή ισοδύναμης άδειας ή ελλείψει αυτής, εντός έξι μηνών από την ημερομηνία χορήγησής της.</w:t>
      </w:r>
    </w:p>
    <w:p w14:paraId="354182C6" w14:textId="54A09FDC" w:rsidR="002A5A94" w:rsidRPr="00BA4C0D" w:rsidRDefault="002A5A94" w:rsidP="00210EA2">
      <w:pPr>
        <w:ind w:left="426"/>
        <w:jc w:val="both"/>
      </w:pPr>
      <w:r>
        <w:t>Τα επισήμως προστατευόμενα κτίρια εξαιρούνται από τις υποχρεώσεις αυτές, διότι αποτελούν μέρος δηλωμένου περιβάλλοντος ή λόγω της ιδιαίτερης αρχιτεκτονικής ή ιστορικής αξίας τους, εφόσον η τήρηση της απαίτησης θα μπορούσε να μεταβάλει αδικαιολόγητα τον χαρακτήρα ή την εμφάνισή τους και η επίσημη αρχή προστασίας είναι αυτή που καθορίζει τα αμετάβλητα στοιχεία.</w:t>
      </w:r>
    </w:p>
    <w:p w14:paraId="0662362C" w14:textId="0FC45639" w:rsidR="002A5A94" w:rsidRPr="0062182D" w:rsidRDefault="002A5A94" w:rsidP="0062182D">
      <w:pPr>
        <w:pStyle w:val="ListParagraph"/>
        <w:ind w:left="426"/>
        <w:jc w:val="both"/>
        <w:rPr>
          <w:rFonts w:cstheme="minorHAnsi"/>
        </w:rPr>
      </w:pPr>
      <w:r>
        <w:t>Αυτή η υποδομή φόρτισης ηλεκτρικών οχημάτων θα συμμορφώνεται με τις διατάξεις του βασιλικού διατάγματος 842/2002 της 2ας Αυγούστου, το οποίο εγκρίνει τον ηλεκτροτεχνικό κανονισμό χαμηλής τάσης και τη συμπληρωματική τεχνική οδηγία (ITC) BT 52 «Εγκαταστάσεις για ειδικούς σκοπούς. Υποδομή φόρτισης ηλεκτρικών οχημάτων», καθώς και τις διατάξεις του τμήματος 4 «Αιτιολόγηση της απαίτησης» και 5 «Κατασκευή και συντήρηση» του τμήματος HE 6 «Εγκαταστάσεις ελάχιστης υποδομής φόρτισης ηλεκτρικών οχημάτων» του βασικού εγγράφου DB-HE «Εξοικονόμηση ενέργειας».</w:t>
      </w:r>
    </w:p>
    <w:p w14:paraId="0769E30E" w14:textId="6A51451B" w:rsidR="0033081E" w:rsidRPr="008F4D49" w:rsidRDefault="005074AB" w:rsidP="00D47CC2">
      <w:pPr>
        <w:jc w:val="both"/>
        <w:rPr>
          <w:rFonts w:cstheme="minorHAnsi"/>
        </w:rPr>
      </w:pPr>
      <w:r>
        <w:t xml:space="preserve">Δεύτερον. Τροποποιείται το βασικό έγγραφο DB-HE «Εξοικονόμηση Ενέργειας» που περιλαμβάνεται στο Μέρος ΙΙ του τεχνικού οικοδομικού κώδικα, ενσωματώνοντας το τμήμα HE 6 «Εγκαταστάσεις ελάχιστης υποδομής φόρτισης ηλεκτρικών οχημάτων», το οποίο περιλαμβάνεται στο παράρτημα Ι του παρόντος βασιλικού διατάγματος. </w:t>
      </w:r>
    </w:p>
    <w:p w14:paraId="5DC46FAC" w14:textId="4A465EFF" w:rsidR="005074AB" w:rsidRPr="008F4D49" w:rsidRDefault="005074AB" w:rsidP="005074AB">
      <w:pPr>
        <w:spacing w:after="162"/>
        <w:ind w:left="13"/>
        <w:jc w:val="both"/>
        <w:rPr>
          <w:rFonts w:cstheme="minorHAnsi"/>
        </w:rPr>
      </w:pPr>
      <w:r>
        <w:t>Στο βασικό έγγραφο DB-HE επέρχονται επίσης οι ακόλουθες τροποποιήσεις:</w:t>
      </w:r>
    </w:p>
    <w:p w14:paraId="53FD09BA" w14:textId="1FBEE4B0" w:rsidR="005074AB" w:rsidRPr="009064BC" w:rsidRDefault="005074AB" w:rsidP="006424FF">
      <w:pPr>
        <w:numPr>
          <w:ilvl w:val="0"/>
          <w:numId w:val="13"/>
        </w:numPr>
        <w:spacing w:after="162"/>
        <w:ind w:left="720" w:hanging="295"/>
        <w:jc w:val="both"/>
        <w:rPr>
          <w:rFonts w:cstheme="minorHAnsi"/>
        </w:rPr>
      </w:pPr>
      <w:r>
        <w:t>Στο πρώτο εδάφιο του τμήματος «Θ Αντικείμενο» της «Εισαγωγής» στη φράση «Τα τμήματα του παρόντος DB αντιστοιχούν στις βασικές απαιτήσεις HE 0 α έως HE 5», το «HE 5» αντικαθίσταται από το «HE 6».</w:t>
      </w:r>
    </w:p>
    <w:p w14:paraId="7957EC48" w14:textId="441BEE49" w:rsidR="006F5E38" w:rsidRPr="009064BC" w:rsidRDefault="006F5E38" w:rsidP="006424FF">
      <w:pPr>
        <w:numPr>
          <w:ilvl w:val="0"/>
          <w:numId w:val="13"/>
        </w:numPr>
        <w:spacing w:after="162"/>
        <w:ind w:left="720" w:hanging="295"/>
        <w:jc w:val="both"/>
        <w:rPr>
          <w:rFonts w:cstheme="minorHAnsi"/>
        </w:rPr>
      </w:pPr>
      <w:r>
        <w:t>Στο τμήμα I «Αντικείμενο» της «Εισαγωγής», η αναφορά στο άρθρο 15.6 του μέρους Ι του CTE τροποποιείται ως εξής:</w:t>
      </w:r>
    </w:p>
    <w:p w14:paraId="5F1636DD" w14:textId="77777777" w:rsidR="006F5E38" w:rsidRPr="009064BC" w:rsidRDefault="006F5E38" w:rsidP="009064BC">
      <w:pPr>
        <w:pStyle w:val="ListParagraph"/>
        <w:ind w:left="709"/>
        <w:contextualSpacing w:val="0"/>
        <w:jc w:val="both"/>
        <w:rPr>
          <w:rFonts w:cstheme="minorHAnsi"/>
        </w:rPr>
      </w:pPr>
      <w:r>
        <w:t>«15.6 Βασική απαίτηση HE 5: Ελάχιστη παραγωγή ηλεκτρικής ενέργειας από ανανεώσιμες πηγές.</w:t>
      </w:r>
    </w:p>
    <w:p w14:paraId="6BB983CA" w14:textId="72439AD8" w:rsidR="006F5E38" w:rsidRPr="009064BC" w:rsidRDefault="006F5E38" w:rsidP="009064BC">
      <w:pPr>
        <w:pStyle w:val="ListParagraph"/>
        <w:spacing w:after="162"/>
        <w:ind w:left="709"/>
        <w:contextualSpacing w:val="0"/>
        <w:jc w:val="both"/>
        <w:rPr>
          <w:rFonts w:cstheme="minorHAnsi"/>
        </w:rPr>
      </w:pPr>
      <w:r>
        <w:lastRenderedPageBreak/>
        <w:t>Τα κτίρια διαθέτουν συστήματα ηλεκτροπαραγωγής από ανανεώσιμες πηγές για δική τους χρήση ή για τον εφοδιασμό του δικτύου.»</w:t>
      </w:r>
    </w:p>
    <w:p w14:paraId="2D6B0228" w14:textId="7AFD12CA" w:rsidR="005074AB" w:rsidRPr="009064BC" w:rsidRDefault="005074AB" w:rsidP="006424FF">
      <w:pPr>
        <w:numPr>
          <w:ilvl w:val="0"/>
          <w:numId w:val="13"/>
        </w:numPr>
        <w:spacing w:after="162"/>
        <w:ind w:left="720" w:hanging="295"/>
        <w:jc w:val="both"/>
        <w:rPr>
          <w:rFonts w:cstheme="minorHAnsi"/>
        </w:rPr>
      </w:pPr>
      <w:r>
        <w:t>Στο τμήμα I «Αντικείμενο» της «Εισαγωγής», προστίθεται ένα συμπληρωματικό σημείο στην παραπομπή στο άρθρο 15 του μέρους I του CTE στο τέλος του CTE, με το ακόλουθο κείμενο:</w:t>
      </w:r>
    </w:p>
    <w:p w14:paraId="7D3E8D59" w14:textId="77777777" w:rsidR="005074AB" w:rsidRPr="009064BC" w:rsidRDefault="005074AB" w:rsidP="006424FF">
      <w:pPr>
        <w:ind w:left="709"/>
        <w:jc w:val="both"/>
        <w:rPr>
          <w:rFonts w:cstheme="minorHAnsi"/>
        </w:rPr>
      </w:pPr>
      <w:r>
        <w:t>«15.7. Βασική απαίτηση HE 6: Εγκαταστάσεις ελάχιστης υποδομής φόρτισης για ηλεκτρικά οχήματα.</w:t>
      </w:r>
    </w:p>
    <w:p w14:paraId="63C180D9" w14:textId="77777777" w:rsidR="005074AB" w:rsidRPr="009064BC" w:rsidRDefault="005074AB" w:rsidP="006424FF">
      <w:pPr>
        <w:ind w:left="709"/>
        <w:jc w:val="both"/>
        <w:rPr>
          <w:rFonts w:cstheme="minorHAnsi"/>
        </w:rPr>
      </w:pPr>
      <w:r>
        <w:t>Τα κτίρια θα πρέπει να διαθέτουν ελάχιστη υποδομή που να επιτρέπει τη φόρτιση ηλεκτρικών οχημάτων.»</w:t>
      </w:r>
    </w:p>
    <w:p w14:paraId="2CCB9F35" w14:textId="1C8D3E4F" w:rsidR="001B0467" w:rsidRPr="009064BC" w:rsidRDefault="001B0467" w:rsidP="006424FF">
      <w:pPr>
        <w:numPr>
          <w:ilvl w:val="0"/>
          <w:numId w:val="13"/>
        </w:numPr>
        <w:ind w:left="720" w:hanging="294"/>
        <w:jc w:val="both"/>
        <w:rPr>
          <w:rFonts w:cstheme="minorHAnsi"/>
        </w:rPr>
      </w:pPr>
      <w:r>
        <w:t>Στον πίνακα περιεχομένων, ο τίτλος του τμήματος HE 5 τροποποιείται ως εξής:</w:t>
      </w:r>
    </w:p>
    <w:p w14:paraId="7DC0F11B" w14:textId="4E9858DC" w:rsidR="001B0467" w:rsidRPr="009064BC" w:rsidRDefault="001B0467" w:rsidP="001B0467">
      <w:pPr>
        <w:pStyle w:val="ListParagraph"/>
        <w:ind w:left="709"/>
        <w:jc w:val="both"/>
        <w:rPr>
          <w:rFonts w:cstheme="minorHAnsi"/>
        </w:rPr>
      </w:pPr>
      <w:r>
        <w:t>«Τμήμα HE 5 Ελάχιστη παραγωγή ηλεκτρικής ενέργειας από ανανεώσιμες πηγές.»</w:t>
      </w:r>
    </w:p>
    <w:p w14:paraId="1178E5DE" w14:textId="4953BECD" w:rsidR="005074AB" w:rsidRPr="009064BC" w:rsidRDefault="005074AB" w:rsidP="006424FF">
      <w:pPr>
        <w:numPr>
          <w:ilvl w:val="0"/>
          <w:numId w:val="13"/>
        </w:numPr>
        <w:ind w:left="720" w:hanging="294"/>
        <w:jc w:val="both"/>
        <w:rPr>
          <w:rFonts w:cstheme="minorHAnsi"/>
        </w:rPr>
      </w:pPr>
      <w:r>
        <w:t>Προστίθεται ένα συμπληρωματικό σημείο με το ακόλουθο κείμενο στην παραπομπή στο άρθρο 15 στο ευρετήριο:</w:t>
      </w:r>
    </w:p>
    <w:p w14:paraId="661731BD" w14:textId="7BCDF458" w:rsidR="005074AB" w:rsidRPr="009064BC" w:rsidRDefault="00982E58" w:rsidP="00982E58">
      <w:pPr>
        <w:tabs>
          <w:tab w:val="left" w:pos="7938"/>
        </w:tabs>
        <w:ind w:left="1134" w:hanging="425"/>
        <w:contextualSpacing/>
        <w:jc w:val="both"/>
        <w:rPr>
          <w:rFonts w:cstheme="minorHAnsi"/>
        </w:rPr>
      </w:pPr>
      <w:r>
        <w:t>«Τμήμα HE 6 Ελάχιστη υποδομή φόρτισης για ηλεκτρικά οχήματα..............................................................................</w:t>
      </w:r>
      <w:r w:rsidR="002F628C">
        <w:t>........................</w:t>
      </w:r>
      <w:r>
        <w:tab/>
        <w:t>33</w:t>
      </w:r>
    </w:p>
    <w:p w14:paraId="22DC136D" w14:textId="2723DEBD" w:rsidR="005074AB" w:rsidRPr="009064BC" w:rsidRDefault="005074AB" w:rsidP="00982E58">
      <w:pPr>
        <w:numPr>
          <w:ilvl w:val="0"/>
          <w:numId w:val="10"/>
        </w:numPr>
        <w:tabs>
          <w:tab w:val="left" w:pos="7938"/>
        </w:tabs>
        <w:ind w:left="1134" w:hanging="425"/>
        <w:contextualSpacing/>
        <w:jc w:val="both"/>
        <w:rPr>
          <w:rFonts w:cstheme="minorHAnsi"/>
        </w:rPr>
      </w:pPr>
      <w:r>
        <w:t>Πεδίο εφαρμογής...........................................................................................</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Περιγραφή της απαίτησης……………………………………………………………………</w:t>
      </w:r>
      <w:r>
        <w:tab/>
        <w:t>34</w:t>
      </w:r>
    </w:p>
    <w:p w14:paraId="4D6A108B" w14:textId="4E1CDD47" w:rsidR="005074AB" w:rsidRPr="009064BC" w:rsidRDefault="005074AB" w:rsidP="00982E58">
      <w:pPr>
        <w:numPr>
          <w:ilvl w:val="0"/>
          <w:numId w:val="10"/>
        </w:numPr>
        <w:tabs>
          <w:tab w:val="left" w:pos="7938"/>
        </w:tabs>
        <w:ind w:left="1134" w:hanging="425"/>
        <w:contextualSpacing/>
        <w:jc w:val="both"/>
        <w:rPr>
          <w:rFonts w:cstheme="minorHAnsi"/>
        </w:rPr>
      </w:pPr>
      <w:r>
        <w:t>Ποσοτικός προσδιορισμός της απαίτησης....................................................</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Αιτιολόγηση της απαίτησης……………………………………………………………………</w:t>
      </w:r>
      <w:r>
        <w:tab/>
        <w:t>34</w:t>
      </w:r>
    </w:p>
    <w:p w14:paraId="7CB375BD" w14:textId="02E01D51" w:rsidR="005074AB" w:rsidRPr="009064BC" w:rsidRDefault="005074AB" w:rsidP="00982E58">
      <w:pPr>
        <w:numPr>
          <w:ilvl w:val="0"/>
          <w:numId w:val="10"/>
        </w:numPr>
        <w:tabs>
          <w:tab w:val="left" w:pos="7938"/>
        </w:tabs>
        <w:ind w:left="1134" w:hanging="425"/>
        <w:contextualSpacing/>
        <w:jc w:val="both"/>
        <w:rPr>
          <w:rFonts w:cstheme="minorHAnsi"/>
        </w:rPr>
      </w:pPr>
      <w:r>
        <w:t>Κατασκευή και συντήρηση……………………………………………………....</w:t>
      </w:r>
      <w:r w:rsidR="002F628C">
        <w:rPr>
          <w:lang w:val="en-US"/>
        </w:rPr>
        <w:t>.............</w:t>
      </w:r>
      <w:r w:rsidR="002F628C">
        <w:rPr>
          <w:lang w:val="en-US"/>
        </w:rPr>
        <w:tab/>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Εκτέλεση……………………………………………………………………………………….</w:t>
      </w:r>
      <w:r>
        <w:tab/>
        <w:t>35</w:t>
      </w:r>
    </w:p>
    <w:p w14:paraId="4AE42B35" w14:textId="7B5F095A" w:rsidR="005074AB" w:rsidRPr="009064BC" w:rsidRDefault="005074AB" w:rsidP="00982E58">
      <w:pPr>
        <w:tabs>
          <w:tab w:val="left" w:pos="7938"/>
        </w:tabs>
        <w:ind w:left="1843" w:hanging="425"/>
        <w:contextualSpacing/>
        <w:jc w:val="both"/>
        <w:rPr>
          <w:rFonts w:cstheme="minorHAnsi"/>
        </w:rPr>
      </w:pPr>
      <w:r>
        <w:t>5.2</w:t>
      </w:r>
      <w:r>
        <w:tab/>
        <w:t>Παρακολούθηση της εκτέλεσης των εργασιών………………………………</w:t>
      </w:r>
      <w:r w:rsidR="002F628C">
        <w:tab/>
      </w:r>
      <w:r>
        <w:t>.35</w:t>
      </w:r>
    </w:p>
    <w:p w14:paraId="2E5A6752" w14:textId="1D93C7AC" w:rsidR="005074AB" w:rsidRPr="009064BC" w:rsidRDefault="005074AB" w:rsidP="00982E58">
      <w:pPr>
        <w:tabs>
          <w:tab w:val="left" w:pos="7938"/>
        </w:tabs>
        <w:ind w:left="1843" w:hanging="436"/>
        <w:contextualSpacing/>
        <w:jc w:val="both"/>
        <w:rPr>
          <w:rFonts w:cstheme="minorHAnsi"/>
        </w:rPr>
      </w:pPr>
      <w:r>
        <w:t>5.3</w:t>
      </w:r>
      <w:r>
        <w:tab/>
        <w:t>Έλεγχος των εργασιών που έχουν περατωθεί…………………………………</w:t>
      </w:r>
      <w:r>
        <w:tab/>
        <w:t>35</w:t>
      </w:r>
    </w:p>
    <w:p w14:paraId="5D3A912D" w14:textId="73A5314B" w:rsidR="005074AB" w:rsidRPr="009064BC" w:rsidRDefault="005074AB" w:rsidP="00982E58">
      <w:pPr>
        <w:tabs>
          <w:tab w:val="left" w:pos="7938"/>
        </w:tabs>
        <w:ind w:left="1843" w:hanging="425"/>
        <w:contextualSpacing/>
        <w:jc w:val="both"/>
        <w:rPr>
          <w:rFonts w:cstheme="minorHAnsi"/>
        </w:rPr>
      </w:pPr>
      <w:r>
        <w:t>5.4</w:t>
      </w:r>
      <w:r>
        <w:tab/>
        <w:t>Συντήρηση του κτιρίου........................................................</w:t>
      </w:r>
      <w:r w:rsidR="002F628C">
        <w:rPr>
          <w:lang w:val="en-US"/>
        </w:rPr>
        <w:t>...............</w:t>
      </w:r>
      <w:r>
        <w:tab/>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Στο τμήμα HE 0 «Όρια ενεργειακής κατανάλωσης», στο τμήμα 4.1 «Διαδικασία υπολογισμού», στην παράγραφο 9, οι λέξεις «αναγνωρισμένο έγγραφο» αντικαθίστανται από τις λέξεις «αναγνωρισμένο έγγραφο ενεργειακής πιστοποίησης για κτίρια».</w:t>
      </w:r>
    </w:p>
    <w:p w14:paraId="3222E360" w14:textId="2F90CB7E" w:rsidR="0067340E" w:rsidRPr="0067340E" w:rsidRDefault="006C16B4" w:rsidP="0026457E">
      <w:pPr>
        <w:numPr>
          <w:ilvl w:val="0"/>
          <w:numId w:val="13"/>
        </w:numPr>
        <w:ind w:left="720" w:hanging="295"/>
        <w:jc w:val="both"/>
        <w:rPr>
          <w:rFonts w:cstheme="minorHAnsi"/>
        </w:rPr>
      </w:pPr>
      <w:r>
        <w:t>Στο τμήμα HE 0 «Όρια ενεργειακής κατανάλωσης», στο τμήμα 4.1 «Διαδικασία υπολογισμού», η παράγραφος 9 μετατρέπεται σε παράγραφο 11 και προστίθενται τα ακόλουθα εδάφια:</w:t>
      </w:r>
    </w:p>
    <w:p w14:paraId="3392DEB4" w14:textId="73112890" w:rsidR="0067340E" w:rsidRDefault="0067340E" w:rsidP="0067340E">
      <w:pPr>
        <w:ind w:left="1134" w:hanging="425"/>
        <w:contextualSpacing/>
        <w:jc w:val="both"/>
        <w:rPr>
          <w:rFonts w:cstheme="minorHAnsi"/>
        </w:rPr>
      </w:pPr>
      <w:r>
        <w:t>«9</w:t>
      </w:r>
      <w:r>
        <w:tab/>
        <w:t>Ο υπολογισμός του ενεργειακού ισοζυγίου που απαιτείται για την επαλήθευση των απαιτήσεων της παρούσας BD πραγματοποιείται σύμφωνα με το πρότυπο UNE-EN ISO 52000-1:2019: Συνολική αξιολόγηση της ενεργειακής απόδοσης κτιρίων. Μέρος 1: Γενικό πλαίσιο και διαδικασίες, με τη χρήση συντελεστή εξαγωγής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Για την κατανομή των διαφόρων υπηρεσιών, η διανομή της ηλεκτρικής ενέργειας που παράγεται επιτόπου, σε κάθε χρονικό διάστημα, υπολογίζεται κατ’ αναλογία προς την κατανάλωση ηλεκτρικής ενέργειας της οικείας κατανάλωσης (θέρμανση, ψύξη, εξαερισμός, ACS και σε τριτογενή χρήση, επιπλέον, φωτισμός).»</w:t>
      </w:r>
    </w:p>
    <w:p w14:paraId="78947690" w14:textId="66930B3C" w:rsidR="005074AB" w:rsidRPr="009064BC" w:rsidRDefault="005074AB" w:rsidP="0026457E">
      <w:pPr>
        <w:numPr>
          <w:ilvl w:val="0"/>
          <w:numId w:val="13"/>
        </w:numPr>
        <w:ind w:left="720" w:hanging="294"/>
        <w:jc w:val="both"/>
        <w:rPr>
          <w:rFonts w:cstheme="minorHAnsi"/>
        </w:rPr>
      </w:pPr>
      <w:r>
        <w:lastRenderedPageBreak/>
        <w:t>Στο τμήμα HE 1 «Όροι για τον έλεγχο της ζήτησης ενέργειας», στο τμήμα 3.1.1 «Συντελεστής περατότητας του θερμικού κελύφους», προστίθεται το ακόλουθο εδάφιο:</w:t>
      </w:r>
    </w:p>
    <w:p w14:paraId="729573A3" w14:textId="05413AE2" w:rsidR="005074AB" w:rsidRPr="009064BC" w:rsidRDefault="005074AB" w:rsidP="006424FF">
      <w:pPr>
        <w:ind w:left="1134" w:hanging="425"/>
        <w:jc w:val="both"/>
        <w:rPr>
          <w:rFonts w:cstheme="minorHAnsi"/>
        </w:rPr>
      </w:pPr>
      <w:r>
        <w:t>«6</w:t>
      </w:r>
      <w:r>
        <w:tab/>
        <w:t>Εναλλακτικά, κτίρια ή στην περίπτωση μερικών παρεμβάσεων σε υφιστάμενα κτίρια, τμήματα κτιρίων στα οποία πραγματοποιούνται παρεμβάσεις, των οποίων η ζήτηση θέρμανσης και ψύξης είναι μικρότερη και στις δύο περιπτώσεις, από 15 kWh/m</w:t>
      </w:r>
      <w:r>
        <w:rPr>
          <w:vertAlign w:val="superscript"/>
        </w:rPr>
        <w:t>2</w:t>
      </w:r>
      <w:r>
        <w:t xml:space="preserve"> από τη συμμόρφωση με τον </w:t>
      </w:r>
      <w:r>
        <w:rPr>
          <w:i/>
        </w:rPr>
        <w:t>συνολικό συντελεστή μεταφοράς θερμότητας μέσω του θερμικού κελύφους (K)</w:t>
      </w:r>
      <w:r>
        <w:t>.»</w:t>
      </w:r>
    </w:p>
    <w:p w14:paraId="49941342" w14:textId="77777777" w:rsidR="00802B87" w:rsidRDefault="005074AB" w:rsidP="00802B87">
      <w:pPr>
        <w:numPr>
          <w:ilvl w:val="0"/>
          <w:numId w:val="13"/>
        </w:numPr>
        <w:ind w:left="709" w:hanging="283"/>
        <w:contextualSpacing/>
        <w:jc w:val="both"/>
        <w:rPr>
          <w:rFonts w:cstheme="minorHAnsi"/>
        </w:rPr>
      </w:pPr>
      <w:r>
        <w:t>Στο τμήμα HE 1 «Όροι για τον έλεγχο της ζήτησης ενέργειας», στο τμήμα 3.1.3 «Διαπερατότητα αέρα του θερμικού κελύφους», προστίθεται η ακόλουθη νέα παράγραφος 3:</w:t>
      </w:r>
    </w:p>
    <w:p w14:paraId="1D58DEB1" w14:textId="0D8F3294" w:rsidR="005074AB" w:rsidRPr="00802B87" w:rsidRDefault="005074AB" w:rsidP="00802B87">
      <w:pPr>
        <w:ind w:left="709"/>
        <w:contextualSpacing/>
        <w:jc w:val="both"/>
        <w:rPr>
          <w:rFonts w:cstheme="minorHAnsi"/>
        </w:rPr>
      </w:pPr>
      <w:r>
        <w:t xml:space="preserve">«Στην περίπτωση μεταβολών, ο πίνακας 3.1.3.α-HE1 ανωτέρω εφαρμόζεται μόνο στα στοιχεία του </w:t>
      </w:r>
      <w:r>
        <w:rPr>
          <w:i/>
        </w:rPr>
        <w:t>θερμικού κελύφους</w:t>
      </w:r>
      <w:r>
        <w:t xml:space="preserve"> που αντικαθίστανται, ενσωματώνονται ή τροποποιούνται ουσιαστικά·»</w:t>
      </w:r>
    </w:p>
    <w:p w14:paraId="7563FEDE" w14:textId="74826D79" w:rsidR="005074AB" w:rsidRDefault="005074AB" w:rsidP="00836E07">
      <w:pPr>
        <w:ind w:left="709"/>
        <w:jc w:val="both"/>
        <w:rPr>
          <w:rFonts w:cstheme="minorHAnsi"/>
        </w:rPr>
      </w:pPr>
      <w:r>
        <w:t>Η αρίθμηση των παραγράφων 3 και 4 του τμήματος 3.1.3 «Διαπερατότητα αέρα του θερμικού κελύφους» αντικαθίσταται από την αρίθμηση 4 και 5 αντίστοιχα.</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Στο τμήμα HE 3 Προϋποθέσεις των εγκαταστάσεων φωτισμού, στον πίνακα 3.1-HE3 οριακή τιμή απόδοσης εγκατάστασης (VEEI</w:t>
      </w:r>
      <w:r>
        <w:rPr>
          <w:vertAlign w:val="subscript"/>
        </w:rPr>
        <w:t>lim</w:t>
      </w:r>
      <w:r>
        <w:t xml:space="preserve">), οι λέξεις «Καταστήματα και μικρά καταστήματα» αντικαθίστανται από τις λέξεις «Καταστήματα και μικρά καταστήματα </w:t>
      </w:r>
      <w:r>
        <w:rPr>
          <w:rFonts w:ascii="Calibri" w:hAnsi="Calibri"/>
          <w:vertAlign w:val="subscript"/>
        </w:rPr>
        <w:t>(10)</w:t>
      </w:r>
      <w:r>
        <w:t>» και προστίθεται η ακόλουθη υποσημείωση:</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Ο όρος κατάστημα αναφέρεται τόσο στα μικρά ανεξάρτητα καταστήματα όσο και στο μέρος για εμπορική χρήση που δεν χρησιμοποιείται συνήθως σε εμπορικά κέντρα.»</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Στο τμήμα HE 4 Ελάχιστη συμβολή της ανανεώσιμης ενέργειας στην κάλυψη της ζήτησης ζεστού νερού οικιακής χρήσης, τμήμα 2 «Περιγραφή της απαίτησης», το άρθρο 1 διατυπώνεται ως εξής:</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Τα κτίρια καλύπτουν σε μεγάλο βαθμό τις ανάγκες τους για κλιματισμό και θέρμανση νερού για θερμαινόμενες εσωτερικές πισίνες που χρησιμοποιούν σε μεγάλο βαθμό διαδικασίες συμπαραγωγής από ανανεώσιμες πηγές· είτε παράγεται στο ίδιο το κτίριο είτε μέσω της σύνδεσης με σύστημα τηλεθέρμανσης.»</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Στο τμήμα HE 5 Ελάχιστη παραγωγή ηλεκτρικής ενέργειας, ο τίτλος μετατρέπεται σε:</w:t>
      </w:r>
    </w:p>
    <w:p w14:paraId="1835914C" w14:textId="7892C477" w:rsidR="005074AB" w:rsidRPr="009064BC" w:rsidRDefault="00836E07" w:rsidP="006F5E38">
      <w:pPr>
        <w:pStyle w:val="ListParagraph"/>
        <w:ind w:left="709"/>
        <w:contextualSpacing w:val="0"/>
        <w:jc w:val="both"/>
        <w:rPr>
          <w:rFonts w:cstheme="minorHAnsi"/>
        </w:rPr>
      </w:pPr>
      <w:r>
        <w:t>«Τμήμα HE 5 Ελάχιστη παραγωγή ηλεκτρικής ενέργειας από ανανεώσιμες πηγές.»</w:t>
      </w:r>
    </w:p>
    <w:p w14:paraId="5A13D3D2" w14:textId="6E7AA8ED" w:rsidR="005074AB" w:rsidRPr="009064BC" w:rsidRDefault="005074AB" w:rsidP="00CC005A">
      <w:pPr>
        <w:numPr>
          <w:ilvl w:val="0"/>
          <w:numId w:val="13"/>
        </w:numPr>
        <w:ind w:left="720" w:hanging="294"/>
        <w:jc w:val="both"/>
        <w:rPr>
          <w:rFonts w:cstheme="minorHAnsi"/>
        </w:rPr>
      </w:pPr>
      <w:r>
        <w:t xml:space="preserve">Στο τμήμα HE 5 Ελάχιστη παραγωγή ηλεκτρικής ενέργειας, το τμήμα 1 «Πεδίο εφαρμογής» διατυπώνεται ως εξής: </w:t>
      </w:r>
    </w:p>
    <w:p w14:paraId="45B1F681" w14:textId="77777777" w:rsidR="005074AB" w:rsidRPr="009064BC" w:rsidRDefault="005074AB" w:rsidP="00CC005A">
      <w:pPr>
        <w:ind w:left="1134" w:hanging="425"/>
        <w:jc w:val="both"/>
        <w:rPr>
          <w:rFonts w:cstheme="minorHAnsi"/>
        </w:rPr>
      </w:pPr>
      <w:r>
        <w:t>«1</w:t>
      </w:r>
      <w:r>
        <w:tab/>
        <w:t xml:space="preserve">Το παρόν τμήμα εφαρμόζεται στις ακόλουθες περιπτώσεις: </w:t>
      </w:r>
    </w:p>
    <w:p w14:paraId="10C39280" w14:textId="4335D1B7" w:rsidR="002F2BD0" w:rsidRPr="003934E5" w:rsidRDefault="005074AB" w:rsidP="002F2BD0">
      <w:pPr>
        <w:numPr>
          <w:ilvl w:val="0"/>
          <w:numId w:val="8"/>
        </w:numPr>
        <w:ind w:left="1418" w:hanging="284"/>
        <w:contextualSpacing/>
        <w:jc w:val="both"/>
        <w:rPr>
          <w:rFonts w:cstheme="minorHAnsi"/>
        </w:rPr>
      </w:pPr>
      <w:r>
        <w:t>νεόδμητα κτίρια όταν αυτά υπερβαίνουν τα 1.000 m</w:t>
      </w:r>
      <w:r>
        <w:rPr>
          <w:vertAlign w:val="superscript"/>
        </w:rPr>
        <w:t>2</w:t>
      </w:r>
      <w:r>
        <w:t xml:space="preserve"> δομημένης επιφάνειας·</w:t>
      </w:r>
    </w:p>
    <w:p w14:paraId="288E1AFC" w14:textId="6CE90E6C" w:rsidR="002F2BD0" w:rsidRPr="003934E5" w:rsidRDefault="002F2BD0" w:rsidP="002F2BD0">
      <w:pPr>
        <w:numPr>
          <w:ilvl w:val="0"/>
          <w:numId w:val="8"/>
        </w:numPr>
        <w:ind w:left="1418" w:hanging="284"/>
        <w:contextualSpacing/>
        <w:jc w:val="both"/>
        <w:rPr>
          <w:rFonts w:cstheme="minorHAnsi"/>
        </w:rPr>
      </w:pPr>
      <w:r>
        <w:t>επεκτάσεις υφιστάμενων κτιρίων, όταν η δόμηση αυξάνεται κατά περισσότερο από 1.000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lastRenderedPageBreak/>
        <w:t>υφιστάμενα κτίρια που έχουν ανακαινιστεί πλήρως ή όπου υπάρχει χαρακτηριστική αλλαγή χρήσης τους, όταν υπερβαίνουν τα 1.000 m</w:t>
      </w:r>
      <w:r>
        <w:rPr>
          <w:vertAlign w:val="superscript"/>
        </w:rPr>
        <w:t>2</w:t>
      </w:r>
      <w:r>
        <w:t xml:space="preserve"> δομημένης επιφάνειας.</w:t>
      </w:r>
    </w:p>
    <w:p w14:paraId="2BDE8293" w14:textId="74B0ACD8" w:rsidR="001B0467" w:rsidRPr="003934E5" w:rsidRDefault="00D76296" w:rsidP="001B0467">
      <w:pPr>
        <w:ind w:left="1134"/>
        <w:jc w:val="both"/>
        <w:rPr>
          <w:rFonts w:cstheme="minorHAnsi"/>
        </w:rPr>
      </w:pPr>
      <w:r>
        <w:t xml:space="preserve">Η δομημένη επιφάνεια θεωρείται ότι περιλαμβάνει την επιφάνεια των χώρων στάθμευσης εντός του κτιρίου και αποκλείει τους κοινούς εξωτερικούς χώρους.»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Στο τμήμα HE 5 «Ελάχιστη παραγωγή ηλεκτρικής ενέργειας», το πρώτο εδάφιο του τμήματος 2 «Χαρακτηρισμός της απαίτησης» διατυπώνεται ως εξής:</w:t>
      </w:r>
    </w:p>
    <w:p w14:paraId="477CF5F6" w14:textId="719B0DCE" w:rsidR="001B0467" w:rsidRPr="003934E5" w:rsidRDefault="003934E5" w:rsidP="003934E5">
      <w:pPr>
        <w:pStyle w:val="ListParagraph"/>
        <w:ind w:left="1134" w:hanging="425"/>
        <w:contextualSpacing w:val="0"/>
        <w:jc w:val="both"/>
        <w:rPr>
          <w:rFonts w:cstheme="minorHAnsi"/>
        </w:rPr>
      </w:pPr>
      <w:r>
        <w:t>«1</w:t>
      </w:r>
      <w:r>
        <w:tab/>
        <w:t>Τα κτίρια διαθέτουν συστήματα ηλεκτροπαραγωγής από ανανεώσιμες πηγές για δική τους χρήση ή για τον εφοδιασμό του δικτύου.»</w:t>
      </w:r>
    </w:p>
    <w:p w14:paraId="6586AED4" w14:textId="66518836" w:rsidR="005074AB" w:rsidRPr="003934E5" w:rsidRDefault="005074AB" w:rsidP="00262992">
      <w:pPr>
        <w:pStyle w:val="ListParagraph"/>
        <w:numPr>
          <w:ilvl w:val="0"/>
          <w:numId w:val="13"/>
        </w:numPr>
        <w:ind w:left="709" w:hanging="283"/>
        <w:jc w:val="both"/>
        <w:rPr>
          <w:rFonts w:cstheme="minorHAnsi"/>
        </w:rPr>
      </w:pPr>
      <w:r>
        <w:t>Στο τμήμα HE 5 «Ελάχιστη παραγωγή ηλεκτρικής ενέργειας», το τμήμα 3 «Ποσοτικοποίηση της απαίτησης» διατυπώνεται ως εξής:</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Η ελάχιστη </w:t>
      </w:r>
      <w:r>
        <w:rPr>
          <w:i/>
        </w:rPr>
        <w:t>ισχύς για την εγκατάσταση</w:t>
      </w:r>
      <w:r>
        <w:t xml:space="preserve"> P</w:t>
      </w:r>
      <w:r>
        <w:rPr>
          <w:vertAlign w:val="subscript"/>
        </w:rPr>
        <w:t>min</w:t>
      </w:r>
      <w:r>
        <w:t xml:space="preserve"> είναι η χαμηλότερη από το αποτέλεσμα των ακόλουθων δύο εξισώσεων: </w:t>
      </w:r>
    </w:p>
    <w:p w14:paraId="13C627CF" w14:textId="4FFC04B6" w:rsidR="005074AB" w:rsidRPr="002F628C" w:rsidRDefault="001E31F3" w:rsidP="005074AB">
      <w:pPr>
        <w:spacing w:before="60"/>
        <w:ind w:left="2127" w:hanging="993"/>
        <w:jc w:val="both"/>
        <w:rPr>
          <w:rFonts w:eastAsia="Arial" w:cstheme="minorHAnsi"/>
          <w:kern w:val="2"/>
          <w:szCs w:val="24"/>
          <w:lang w:val="en-US"/>
        </w:rPr>
      </w:pPr>
      <w:r w:rsidRPr="002F628C">
        <w:rPr>
          <w:lang w:val="en-US"/>
        </w:rPr>
        <w:t>P</w:t>
      </w:r>
      <w:r w:rsidRPr="002F628C">
        <w:rPr>
          <w:vertAlign w:val="subscript"/>
          <w:lang w:val="en-US"/>
        </w:rPr>
        <w:t>1</w:t>
      </w:r>
      <w:r w:rsidRPr="002F628C">
        <w:rPr>
          <w:lang w:val="en-US"/>
        </w:rPr>
        <w:t xml:space="preserve"> = </w:t>
      </w:r>
      <w:proofErr w:type="spellStart"/>
      <w:proofErr w:type="gramStart"/>
      <w:r w:rsidRPr="002F628C">
        <w:rPr>
          <w:lang w:val="en-US"/>
        </w:rPr>
        <w:t>F</w:t>
      </w:r>
      <w:r w:rsidRPr="002F628C">
        <w:rPr>
          <w:vertAlign w:val="subscript"/>
          <w:lang w:val="en-US"/>
        </w:rPr>
        <w:t>pr;el</w:t>
      </w:r>
      <w:proofErr w:type="spellEnd"/>
      <w:proofErr w:type="gramEnd"/>
      <w:r w:rsidRPr="002F628C">
        <w:rPr>
          <w:lang w:val="en-US"/>
        </w:rPr>
        <w:t xml:space="preserve"> · S</w:t>
      </w:r>
    </w:p>
    <w:p w14:paraId="667B6FED" w14:textId="0FB9ED9C" w:rsidR="001E31F3" w:rsidRPr="002F628C" w:rsidRDefault="001E31F3" w:rsidP="005074AB">
      <w:pPr>
        <w:spacing w:before="60"/>
        <w:ind w:left="2127" w:hanging="993"/>
        <w:jc w:val="both"/>
        <w:rPr>
          <w:rFonts w:eastAsia="Arial" w:cstheme="minorHAnsi"/>
          <w:kern w:val="2"/>
          <w:szCs w:val="24"/>
          <w:lang w:val="en-US"/>
        </w:rPr>
      </w:pPr>
      <w:r w:rsidRPr="002F628C">
        <w:rPr>
          <w:lang w:val="en-US"/>
        </w:rPr>
        <w:t>P</w:t>
      </w:r>
      <w:r w:rsidRPr="002F628C">
        <w:rPr>
          <w:vertAlign w:val="subscript"/>
          <w:lang w:val="en-US"/>
        </w:rPr>
        <w:t>2</w:t>
      </w:r>
      <w:r w:rsidRPr="002F628C">
        <w:rPr>
          <w:lang w:val="en-US"/>
        </w:rPr>
        <w:t xml:space="preserve"> = 0,1 · (0,5 · S</w:t>
      </w:r>
      <w:r w:rsidRPr="002F628C">
        <w:rPr>
          <w:vertAlign w:val="subscript"/>
          <w:lang w:val="en-US"/>
        </w:rPr>
        <w:t>c</w:t>
      </w:r>
      <w:r w:rsidRPr="002F628C">
        <w:rPr>
          <w:lang w:val="en-US"/>
        </w:rPr>
        <w:t xml:space="preserve"> - </w:t>
      </w:r>
      <w:proofErr w:type="gramStart"/>
      <w:r w:rsidRPr="002F628C">
        <w:rPr>
          <w:lang w:val="en-US"/>
        </w:rPr>
        <w:t>S</w:t>
      </w:r>
      <w:r w:rsidRPr="002F628C">
        <w:rPr>
          <w:vertAlign w:val="subscript"/>
          <w:lang w:val="en-US"/>
        </w:rPr>
        <w:t>oc</w:t>
      </w:r>
      <w:r w:rsidRPr="002F628C">
        <w:rPr>
          <w:lang w:val="en-US"/>
        </w:rPr>
        <w:t xml:space="preserve"> )</w:t>
      </w:r>
      <w:proofErr w:type="gramEnd"/>
    </w:p>
    <w:p w14:paraId="33F1DF55" w14:textId="77777777" w:rsidR="005074AB" w:rsidRPr="00C249FB" w:rsidRDefault="005074AB" w:rsidP="005074AB">
      <w:pPr>
        <w:spacing w:before="60"/>
        <w:ind w:left="1134"/>
        <w:jc w:val="both"/>
        <w:rPr>
          <w:rFonts w:eastAsia="Arial" w:cstheme="minorHAnsi"/>
          <w:kern w:val="2"/>
          <w:szCs w:val="24"/>
        </w:rPr>
      </w:pPr>
      <w:r>
        <w:t>όπου:</w:t>
      </w:r>
    </w:p>
    <w:p w14:paraId="61117D05" w14:textId="670BE156" w:rsidR="005074AB" w:rsidRDefault="005074AB" w:rsidP="005074AB">
      <w:pPr>
        <w:spacing w:before="60"/>
        <w:ind w:left="2126" w:hanging="567"/>
        <w:contextualSpacing/>
        <w:jc w:val="both"/>
        <w:rPr>
          <w:rFonts w:eastAsia="Arial" w:cstheme="minorHAnsi"/>
          <w:kern w:val="2"/>
          <w:szCs w:val="24"/>
        </w:rPr>
      </w:pPr>
      <w:r>
        <w:t>P</w:t>
      </w:r>
      <w:r>
        <w:rPr>
          <w:vertAlign w:val="subscript"/>
        </w:rPr>
        <w:t>min</w:t>
      </w:r>
      <w:r>
        <w:t xml:space="preserve"> </w:t>
      </w:r>
      <w:r>
        <w:rPr>
          <w:i/>
        </w:rPr>
        <w:t xml:space="preserve">ισχύς για την εγκατάσταση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συντελεστής παραγωγής ηλεκτρικής ενέργειας, ο οποίος έχει τιμή 0,005 για ιδιωτική οικιστική χρήση και 0,010 για άλλες χρήσεις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δομημένη επιφάνεια του κτιρίου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 xml:space="preserve"> επιφάνεια στέγης στην οποία δεν είναι δυνατή η βάδιση ή η οποία είναι προσβάσιμη μόνο για συντήρηση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 xml:space="preserve"> επιφάνεια στέγης στην οποία δεν είναι δυνατή η βάδιση ή η οποία είναι προσβάσιμη για συντήρηση και καταλαμβάνεται μόνο από θερμικούς ηλιακούς συλλέκτες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Σε κτίρια όπου, για αστικούς ή αρχιτεκτονικούς λόγους ή επειδή είναι επισήμως προστατευόμενα κτίρια, και η αρχή που χορηγεί την επίσημη προστασία είναι αυτή που καθορίζει τα αμετάβλητα στοιχεία, δεν μπορεί να επιτευχθεί η ελάχιστη </w:t>
      </w:r>
      <w:r>
        <w:rPr>
          <w:i/>
        </w:rPr>
        <w:t>ισχύς για την εγκατάσταση</w:t>
      </w:r>
      <w:r>
        <w:t>, η αδυναμία αυτή αιτιολογείται με ανάλυση των διαφόρων εναλλακτικών λύσεων και υιοθετείται η λύση που φθάνει τη μέγιστη δυνατή εγκατεστημένη ισχύ».</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Στο τμήμα HE 5 «Ελάχιστη παραγωγή ηλεκτρικής ενέργειας», στο τμήμα 4 «Αιτιολόγηση της απαίτησης» προστίθενται τα ακόλουθα:</w:t>
      </w:r>
    </w:p>
    <w:p w14:paraId="1F522FCD" w14:textId="0464CEFA" w:rsidR="005074AB" w:rsidRPr="003934E5" w:rsidRDefault="00CC005A" w:rsidP="00982E58">
      <w:pPr>
        <w:ind w:left="1134" w:hanging="425"/>
        <w:jc w:val="both"/>
        <w:rPr>
          <w:rFonts w:cstheme="minorHAnsi"/>
        </w:rPr>
      </w:pPr>
      <w:r>
        <w:t>γ)</w:t>
      </w:r>
      <w:r>
        <w:tab/>
        <w:t xml:space="preserve">κατά περίπτωση, λόγοι που εμποδίζουν την επίτευξη της ελάχιστης απαιτούμενης </w:t>
      </w:r>
      <w:r>
        <w:rPr>
          <w:i/>
        </w:rPr>
        <w:t>ισχύος για την εγκατάσταση</w:t>
      </w:r>
      <w:r>
        <w:t>, ανάλυση εναλλακτικών λύσεων και λύση που υιοθετήθηκε για την επίτευξη της μέγιστης δυνατής εγκατεστημένης ισχύος».</w:t>
      </w:r>
    </w:p>
    <w:p w14:paraId="2F009607" w14:textId="478B8572" w:rsidR="005074AB" w:rsidRPr="003934E5" w:rsidRDefault="005074AB" w:rsidP="009064BC">
      <w:pPr>
        <w:pStyle w:val="ListParagraph"/>
        <w:numPr>
          <w:ilvl w:val="0"/>
          <w:numId w:val="13"/>
        </w:numPr>
        <w:ind w:left="709" w:hanging="283"/>
        <w:jc w:val="both"/>
        <w:rPr>
          <w:rFonts w:cstheme="minorHAnsi"/>
        </w:rPr>
      </w:pPr>
      <w:r>
        <w:t>Στο παράρτημα Α «Ορολογία» πραγματοποιούνται οι ακόλουθες τροποποιήσεις:</w:t>
      </w:r>
    </w:p>
    <w:p w14:paraId="44885A1E" w14:textId="0F9B0783" w:rsidR="005074AB" w:rsidRPr="009064BC" w:rsidRDefault="005074AB" w:rsidP="005074AB">
      <w:pPr>
        <w:ind w:left="709" w:hanging="142"/>
        <w:jc w:val="both"/>
        <w:rPr>
          <w:rFonts w:cstheme="minorHAnsi"/>
        </w:rPr>
      </w:pPr>
      <w:r>
        <w:lastRenderedPageBreak/>
        <w:t>— Στον ορισμό του όρου «Ηλιακός έλεγχος (q</w:t>
      </w:r>
      <w:r>
        <w:rPr>
          <w:vertAlign w:val="subscript"/>
        </w:rPr>
        <w:t>sol;jul</w:t>
      </w:r>
      <w:r>
        <w:t>)», η τελεία στο τέλος του ορισμού του στοιχείου του τύπου «H</w:t>
      </w:r>
      <w:r>
        <w:rPr>
          <w:vertAlign w:val="subscript"/>
        </w:rPr>
        <w:t>sol;jul</w:t>
      </w:r>
      <w:r>
        <w:t>» αντικαθίσταται από ερωτηματικό και προστίθεται ο ορισμός ενός άλλου στοιχείου του τύπου ως εξής:</w:t>
      </w:r>
    </w:p>
    <w:p w14:paraId="3DF606FE" w14:textId="65F10CC5" w:rsidR="005074AB" w:rsidRPr="009064BC" w:rsidRDefault="005074AB" w:rsidP="00A5780E">
      <w:pPr>
        <w:ind w:left="709"/>
        <w:jc w:val="both"/>
        <w:rPr>
          <w:rFonts w:cstheme="minorHAnsi"/>
        </w:rPr>
      </w:pPr>
      <w:r>
        <w:t>«A</w:t>
      </w:r>
      <w:r>
        <w:rPr>
          <w:vertAlign w:val="subscript"/>
        </w:rPr>
        <w:t>util</w:t>
      </w:r>
      <w:r>
        <w:t>περιοχή που θεωρείται ότι είναι σύμφωνη με το τμήμα 4.6 του HE 0».</w:t>
      </w:r>
    </w:p>
    <w:p w14:paraId="22770CCD" w14:textId="56BB680A" w:rsidR="005074AB" w:rsidRPr="009064BC" w:rsidRDefault="005074AB" w:rsidP="005074AB">
      <w:pPr>
        <w:ind w:left="709" w:hanging="142"/>
        <w:jc w:val="both"/>
        <w:rPr>
          <w:rFonts w:cstheme="minorHAnsi"/>
        </w:rPr>
      </w:pPr>
      <w:r>
        <w:t>— Στον ορισμό του όρου «Τελική ενέργεια», η φράση «Είναι αυτή που αγοράζεται από τους καταναλωτές υπό μορφή ηλεκτρικής ενέργειας, καυσίμων ή άλλων καυσίμων που χρησιμοποιούνται απευθείας» αντικαθίσταται από τη φράση «Είναι εκείνη που παρέχεται στα συστήματα κτιρίων για την παροχή των υπηρεσιών. Η προμήθεια αυτή παρέχεται συνήθως μέσω καυσίμων, επιτόπιας παραγωγής ή ειδικών δικτύων (ηλεκτρικής ενέργειας, φυσικού αερίου, θερμής ή ψυχρής περιοχής κ.λπ.)».</w:t>
      </w:r>
    </w:p>
    <w:p w14:paraId="4C32D5BC" w14:textId="77777777" w:rsidR="005074AB" w:rsidRPr="009064BC" w:rsidRDefault="005074AB" w:rsidP="005074AB">
      <w:pPr>
        <w:ind w:left="709" w:hanging="142"/>
        <w:jc w:val="both"/>
        <w:rPr>
          <w:rFonts w:cstheme="minorHAnsi"/>
        </w:rPr>
      </w:pPr>
      <w:r>
        <w:t>— Στον ορισμό του όρου «ολικός συντελεστής ανταλλαγής θερμότητας (U)», στο τέλος του ορισμού προστίθεται η ακόλουθη πρόταση:</w:t>
      </w:r>
    </w:p>
    <w:p w14:paraId="553E6F27" w14:textId="77777777" w:rsidR="005074AB" w:rsidRPr="009064BC" w:rsidRDefault="005074AB" w:rsidP="00A5780E">
      <w:pPr>
        <w:ind w:left="709"/>
        <w:jc w:val="both"/>
        <w:rPr>
          <w:rFonts w:cstheme="minorHAnsi"/>
        </w:rPr>
      </w:pPr>
      <w:r>
        <w:t>«Εκφρασμένος σε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Οι ακόλουθοι όροι ενσωματώνονται στο παράρτημα Α «Ορολογία»:</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Βοηθητικός εξοπλισμός</w:t>
      </w:r>
      <w:r>
        <w:t>: ηλεκτρικός ή ηλεκτρονικός εξοπλισμός που συνδέεται με το φως, διαφορετικός για κάθε τύπο</w:t>
      </w:r>
      <w:r>
        <w:rPr>
          <w:i/>
        </w:rPr>
        <w:t xml:space="preserve"> φωτός</w:t>
      </w:r>
      <w:r>
        <w:t>, του οποίου η λειτουργία είναι η ανάφλεξη και ο έλεγχος των συνθηκών λειτουργίας. Αυτός ο βοηθητικός εξοπλισμός, εκτός αν είναι ηλεκτρονικός, σχηματίζεται από συνδυασμό εκκινητή, σταθεροποιητή και συμπυκνωτή.</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Σταθμός φόρτισης</w:t>
      </w:r>
      <w:r>
        <w:t xml:space="preserve">: σύνολο στοιχείων που είναι απαραίτητα για τη σύνδεση του </w:t>
      </w:r>
      <w:r>
        <w:rPr>
          <w:i/>
        </w:rPr>
        <w:t>ηλεκτρικού οχήματος</w:t>
      </w:r>
      <w:r>
        <w:t xml:space="preserve"> με τη σταθερή ηλεκτρική εγκατάσταση που απαιτείται για τη φόρτιση. </w:t>
      </w:r>
      <w:r>
        <w:rPr>
          <w:i/>
        </w:rPr>
        <w:t>Οι σταθμοί φόρτισης</w:t>
      </w:r>
      <w:r>
        <w:t xml:space="preserve"> ταξινομούνται ως:</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Ενιαίο σημείο φόρτισης, αποτελούμενο από τα απαραίτητα μέσα προστασίας, μία ή περισσότερες υποδοχές που δεν αφορούν ειδικά το </w:t>
      </w:r>
      <w:r>
        <w:rPr>
          <w:i/>
        </w:rPr>
        <w:t>ηλεκτρικό όχημα</w:t>
      </w:r>
      <w:r>
        <w:t xml:space="preserve"> και κατά περίπτωση, το κέλυφος.</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Σημείο επαναφόρτισης τύπου SAVE</w:t>
      </w:r>
      <w:r>
        <w:rPr>
          <w:i/>
        </w:rPr>
        <w:t xml:space="preserve"> (ειδικό σύστημα παροχής ηλεκτρικού ρεύματος ηλεκτρικών οχημάτων)</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Υποδομή φόρτισης για ηλεκτρικά οχήματα:</w:t>
      </w:r>
      <w:r>
        <w:t xml:space="preserve"> σύνολο φυσικών και λογικών διατάξεων που προορίζονται για τη φόρτιση </w:t>
      </w:r>
      <w:r>
        <w:rPr>
          <w:i/>
        </w:rPr>
        <w:t>ηλεκτρικών οχημάτων</w:t>
      </w:r>
      <w:r>
        <w:t xml:space="preserve"> που πληρούν τις απαιτήσεις ασφάλειας και διαθεσιμότητας που προβλέπονται για κάθε περίπτωση από τον ηλεκτροτεχνικό κανονισμό χαμηλής τάσης, ικανών να παρέχουν πλήρη και ολοκληρωμένη υπηρεσία φόρτισης. Περιλαμβάνει </w:t>
      </w:r>
      <w:r>
        <w:rPr>
          <w:i/>
        </w:rPr>
        <w:t>σταθμούς φόρτισης</w:t>
      </w:r>
      <w:r>
        <w:t>, το σύστημα ελέγχου, τους ηλεκτρικούς αγωγούς, τους ηλεκτρικούς πίνακες ελέγχου και προστασίας και τον εξοπλισμό μέτρησης, όταν αυτοί προορίζονται αποκλειστικά για τη φόρτιση ηλεκτρικών οχημάτων».</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Ειδικό σύστημα παροχής ηλεκτρικού ρεύματος ηλεκτρικών οχημάτων (SAVE)</w:t>
      </w:r>
      <w:r>
        <w:t xml:space="preserve">: σύνολο εξοπλισμού που συναρμολογείται για την παροχή ηλεκτρικής ενέργειας για τη φόρτιση ενός </w:t>
      </w:r>
      <w:r>
        <w:rPr>
          <w:i/>
        </w:rPr>
        <w:t>ηλεκτρικού οχήματος</w:t>
      </w:r>
      <w:r>
        <w:t xml:space="preserve"> συμπεριλαμβανομένων των προστατευτικών διατάξεων του σταθμού φόρτισης, του καλωδίου σύνδεσης (με αγωγούς φάσης, ουδέτερου και προστατευτικού αγωγού) της βάσης ή του συνδέσμου υποδοχής και κατά περίπτωση, ενός εναλλασσόμενου-συνεχούς μετατροπέα. Το σύστημα αυτό </w:t>
      </w:r>
      <w:r>
        <w:lastRenderedPageBreak/>
        <w:t xml:space="preserve">επιτρέπει, κατά περίπτωση, την επικοινωνία μεταξύ του </w:t>
      </w:r>
      <w:r>
        <w:rPr>
          <w:i/>
        </w:rPr>
        <w:t>ηλεκτρικού οχήματος</w:t>
      </w:r>
      <w:r>
        <w:t xml:space="preserve"> και της σταθερής εγκατάστασης».</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Ιδιωτική οικιστική χρήση</w:t>
      </w:r>
      <w:r>
        <w:t>: Κτίριο ή χώρος που προορίζεται για μόνιμη κατοικία, ανεξαρτήτως τύπου κτιρίου: μονοκατοικία, πολυκατοικία κ.λπ., τόσο για δημόσια όσο και για ιδιωτική ανάπτυξη.»</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Ηλεκτρικό όχημα</w:t>
      </w:r>
      <w:r>
        <w:t>: μηχανοκίνητο όχημα που διαθέτει σύστημα προώθησης με τουλάχιστον έναν μη περιφερειακό ηλεκτρικό μηχανισμό που λειτουργεί ως μετατροπέας ενέργειας και διαθέτει επαναφορτιζόμενο σύστημα αποθήκευσης ηλεκτρικής ενέργειας, το οποίο μπορεί να επαναφορτιστεί εξωτερικά».</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Στο παράρτημα Δ παράγραφος 4, το κείμενο «αναγνωρισμένο έγγραφο» αντικαθίσταται από το κείμενο «αναγνωρισμένο έγγραφο για την ενεργειακή πιστοποίηση κτιρίων».</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Στο παράρτημα Η Προσδιορισμός της διαπερατότητας του αέρα του κτιρίου, μετά τον τίτλο του τμήματος, η φράση «Ο προσδιορισμός της διαπερατότητας του αέρα του κτιρίου πρέπει να πραγματοποιείται με μία από τις ακόλουθες μεθόδους» και στο τμήμα 1 Προσδιορισμός μέσω δοκιμής, η φράση «Η τιμή αναλογίας της μεταβολής του αέρα στα 50 Pa, n50, μπορεί να επιτευχθεί με δοκιμή σύμφωνα με τη μέθοδο Β του UNE-EN 13829:2002 Προσδιορισμός της στεγανότητας του αέρα στα κτίρια. Μέθοδος συμπίεσης μέσω ανεμιστήρα.» αντικαθίστανται από: «Η τιμή του λόγου μεταβολής του αέρα στα 50 Pa, n50 μέσω δοκιμής λαμβάνεται από τη μέθοδο 1 ή 2 του UNE-EN ISO 9972: 2019 Θερμική απόδοση των κτιρίων. Προσδιορισμός της διαπερατότητας του αέρα κτιρίων. Μέθοδος συμπίεσης ανεμιστήρων».</w:t>
      </w:r>
    </w:p>
    <w:p w14:paraId="153946FB" w14:textId="274D0F0F" w:rsidR="001E0B70" w:rsidRPr="003934E5" w:rsidRDefault="001E0B70" w:rsidP="005074AB">
      <w:pPr>
        <w:ind w:left="13"/>
        <w:jc w:val="both"/>
        <w:rPr>
          <w:rFonts w:cstheme="minorHAnsi"/>
        </w:rPr>
      </w:pPr>
      <w:r>
        <w:t>Τρίτον.</w:t>
      </w:r>
      <w:r>
        <w:rPr>
          <w:b/>
        </w:rPr>
        <w:t xml:space="preserve"> </w:t>
      </w:r>
      <w:r>
        <w:t xml:space="preserve">Οι ακόλουθες τροποποιήσεις πραγματοποιούνται στο βασικό έγγραφο DB-SUA «Ασφάλεια κατά τη χρήση και προσβασιμότητα» που περιλαμβάνεται στο μέρος ΙΙ του τεχνικού οικοδομικού κώδικα: </w:t>
      </w:r>
    </w:p>
    <w:p w14:paraId="05134A28" w14:textId="08B7B404" w:rsidR="00A5780E" w:rsidRDefault="001E0B70" w:rsidP="00D722CA">
      <w:pPr>
        <w:ind w:left="13"/>
        <w:jc w:val="both"/>
        <w:rPr>
          <w:rFonts w:cstheme="minorHAnsi"/>
        </w:rPr>
      </w:pPr>
      <w:r>
        <w:t>Στο τμήμα SUA 9 «Προσβασιμότητα», στο παράρτημα Α «Ορολογία», ο ορισμός της «προσβάσιμης θέσης στάθμευσης» περιλαμβάνει πλέον παύλα με το κείμενο:</w:t>
      </w:r>
    </w:p>
    <w:p w14:paraId="791B9B63" w14:textId="2AEB4586" w:rsidR="00D722CA" w:rsidRPr="009064BC" w:rsidRDefault="0078611E" w:rsidP="0078611E">
      <w:pPr>
        <w:ind w:left="709"/>
        <w:jc w:val="both"/>
        <w:rPr>
          <w:rFonts w:cstheme="minorHAnsi"/>
        </w:rPr>
      </w:pPr>
      <w:r>
        <w:t>«- Σε περίπτωση που ο προσβάσιμος χώρος στάθμευσης διαθέτει σταθμό φόρτισης ηλεκτρικών οχημάτων, το προσβάσιμο δρομολόγιο καλύπτει επίσης τον εν λόγω σταθμό φόρτισης. Οι έξοδοι ισχύος και οι σύνδεσμοι των εν λόγω σταθμών φόρτισης αντιπαραβάλλονται χρωματικά με το περιβάλλον, τοποθετούνται σε ύψος μεταξύ 80 και 120 cm και η απόσταση από τις γωνίες πρέπει να είναι τουλάχιστον 35 cm».</w:t>
      </w:r>
    </w:p>
    <w:p w14:paraId="09F57FB9" w14:textId="78225EA3" w:rsidR="005074AB" w:rsidRPr="009064BC" w:rsidRDefault="00DF5914" w:rsidP="005074AB">
      <w:pPr>
        <w:ind w:left="13"/>
        <w:jc w:val="both"/>
        <w:rPr>
          <w:rFonts w:cstheme="minorHAnsi"/>
        </w:rPr>
      </w:pPr>
      <w:r>
        <w:t>Τέταρτον. Η ακόλουθη τροποποίηση πραγματοποιείται στο βασικό έγγραφο DB-HS «Υγεία», που περιλαμβάνεται στο μέρος ΙΙ του τεχνικού οικοδομικού κώδικα:</w:t>
      </w:r>
    </w:p>
    <w:p w14:paraId="6B818CBA" w14:textId="77777777" w:rsidR="002E7342" w:rsidRDefault="005074AB" w:rsidP="002E7342">
      <w:pPr>
        <w:pStyle w:val="ListParagraph"/>
        <w:numPr>
          <w:ilvl w:val="0"/>
          <w:numId w:val="22"/>
        </w:numPr>
        <w:jc w:val="both"/>
        <w:rPr>
          <w:rFonts w:cstheme="minorHAnsi"/>
        </w:rPr>
      </w:pPr>
      <w:r>
        <w:t>Στο τμήμα ΕΣ 4 «Παροχή νερού», στο τμήμα 3.2.2.1 στο σημείο 2, η φράση «το ελάχιστο ποσοστό ηλιακής ενέργειας για την παραγωγή ζεστού νερού οικιακής χρήσης» αντικαθίσταται από τη φράση «το ελάχιστο ποσοστό ανανεώσιμης ενέργειας για την κάλυψη της ζήτησης ζεστού νερού οικιακής χρήσης».</w:t>
      </w:r>
    </w:p>
    <w:p w14:paraId="49ACE665" w14:textId="4B95E48B" w:rsidR="005074AB" w:rsidRPr="003934E5" w:rsidRDefault="002F25C7" w:rsidP="009064BC">
      <w:pPr>
        <w:jc w:val="both"/>
        <w:rPr>
          <w:rFonts w:eastAsia="Arial" w:cstheme="minorHAnsi"/>
          <w:kern w:val="2"/>
        </w:rPr>
      </w:pPr>
      <w:r>
        <w:t>Πέμπτον. Πραγματοποιούνται οι ακόλουθες διορθώσεις σφαλμάτων και παροραμάτων που επισημαίνονται στο βασικό έγγραφο DB-HE «Ενεργειακή εξοικονόμηση» που περιλαμβάνεται στο μέρος ΙΙ του τεχνικού οικοδομικού κώδικα:</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lastRenderedPageBreak/>
        <w:t>Στο τμήμα HE 0, τμήμα 1 Πεδίο εφαρμογής, παράγραφος 1, όπου υπάρχει η διατύπωση: «...όπου η συνολική εκτεταμένη ωφέλιμη επιφάνεια υπερβαίνει τα 50 m</w:t>
      </w:r>
      <w:r>
        <w:rPr>
          <w:vertAlign w:val="superscript"/>
        </w:rPr>
        <w:t>2</w:t>
      </w:r>
      <w:r>
        <w:t>·», θα πρέπει να αναγράφεται «...όπου η εκτεταμένη ωφέλιμη επιφάνεια υπερβαίνει τα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Στο τμήμα HE 0, τμήμα 3 Ποσότητα της απαίτησης, τμήμα 3.1 Κατανάλωση μη ανανεώσιμης πρωτογενούς ενέργειας, παράγραφος 2, όπου υπάρχει η εξής διατύπωση: «... C</w:t>
      </w:r>
      <w:r>
        <w:rPr>
          <w:vertAlign w:val="subscript"/>
        </w:rPr>
        <w:t>ep’nren,lim</w:t>
      </w:r>
      <w:r>
        <w:t>...«, θα πρέπει να αντικατασταθεί με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Στο τμήμα HE 0, τμήμα 3 Ποσοτικοποίηση της απαίτησης, τμήμα 3.2 Συνολική κατανάλωση πρωτογενούς ενέργειας, παράγραφος 1, όπου υπάρχει η εξής διατύπωση: “... C</w:t>
      </w:r>
      <w:r>
        <w:rPr>
          <w:vertAlign w:val="subscript"/>
        </w:rPr>
        <w:t>ep’tot</w:t>
      </w:r>
      <w:r>
        <w:t>...», θα πρέπει να αντικατασταθεί με: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Στο τμήμα HE 0, τμήμα 3 Ποσοτικοποίηση της απαίτησης, τμήμα 3.2 Συνολική κατανάλωση πρωτογενούς ενέργειας, παράγραφος 2, όπου υπάρχει η εξής διατύπωση: «... C</w:t>
      </w:r>
      <w:r>
        <w:rPr>
          <w:vertAlign w:val="subscript"/>
        </w:rPr>
        <w:t>ep,tot</w:t>
      </w:r>
      <w:r>
        <w:t>...», θα πρέπει να αντικατασταθεί με: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Στο τμήμα HE 0, οι πίνακες 3.1.α-HE0 και 3.2.α-HE0 θα πρέπει να αναγράφουν τον όρο «</w:t>
      </w:r>
      <w:r>
        <w:rPr>
          <w:i/>
        </w:rPr>
        <w:t>ιδιωτική χρήση</w:t>
      </w:r>
      <w:r>
        <w:t xml:space="preserve">» με πλάγιους χαρακτήρες. Στα τμήματα 3.1 Κατανάλωση πρωτογενούς ενέργειας μη ανανεώσιμων πηγών, τμήμα 2 και 3.2 Συνολική κατανάλωση πρωτογενούς ενέργειας, τμήμα 2, ο όρος « </w:t>
      </w:r>
      <w:r>
        <w:rPr>
          <w:i/>
        </w:rPr>
        <w:t>ιδιωτική οικιακή χρήση</w:t>
      </w:r>
      <w:r>
        <w:t>» θα πρέπει να αναγράφεται με πλάγιους χαρακτήρες.</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Στο τμήμα HE 0, τμήμα 4.3 Εσωτερικά αιτήματα και όροι λειτουργίας, τμήμα 2, ο όρος «</w:t>
      </w:r>
      <w:r>
        <w:rPr>
          <w:i/>
        </w:rPr>
        <w:t>ιδιωτική χρήση κατοικίας</w:t>
      </w:r>
      <w:r>
        <w:t>» θα πρέπει να αναγράφεται με πλάγιους χαρακτήρες.</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Στο τμήμα HE 0, τμήμα 4.5 Συστήματα αναφοράς για ιδιωτική οικιστική χρήση, ο όρος «</w:t>
      </w:r>
      <w:r>
        <w:rPr>
          <w:i/>
        </w:rPr>
        <w:t>ιδιωτική χρήση κατοικίας</w:t>
      </w:r>
      <w:r>
        <w:t>» θα πρέπει να επαναλαμβάνεται τόσο στον τίτλο όσο και στην παράγραφο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3.11. Ανταλλαγή θερμότητας του θερμικού κελύφους, ο όρος «συμβατότητα» στους πίνακες 3.1.1.β-HE1 και στους πίνακες 3.1.1.γ-HE1, θα πρέπει να αναγράφεται με πλάγιους χαρακτήρες.</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3.11. Ανταλλαγή θερμότητας του θερμικού κελύφους, ο όρος «συμβατότητα» στις υποσημειώσεις του πίνακα 3.1.1.β-HE1 και στους πίνακες 3.1.1.γ-HE1 και ο όρος «πυκνότητα» στην υποσημείωση του πίνακα 3.1.1.γ-HE1 θα πρέπει να αναγράφονται με πλάγιους χαρακτήρες.</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3.1.1. Ανταλλαγή θερμότητας του θερμικού κελύφους, τμήμα 3, ο όρος «</w:t>
      </w:r>
      <w:r>
        <w:rPr>
          <w:i/>
        </w:rPr>
        <w:t>ιδιωτική χρήση κατοικίας</w:t>
      </w:r>
      <w:r>
        <w:t>» θα πρέπει να επαναληφθεί τόσο στην παράγραφο 3 όσο και στον πίνακα 3.1.1.β-HE1.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3.1.1. Συντελεστής μετάδοσης του θερμικού κελύφους, ο όρος «θερμικό κέλυφος» στον πίνακα 3.1.1.γ-HE1, θα πρέπει να αναγράφεται με πλάγιους χαρακτήρες.</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Στο τμήμα HE 1, τμήμα 3 Ποσοτικοποίηση της απαίτησης, τμήμα 3.1.2 Ηλιακός έλεγχος του θερμικού κελύφους, όπου αναφέρεται: «Πίνακας 3.1.2-HE1 Οριακή τιμή της παραμέτρου ηλιακού ελέγχου qsol;jul,lim [KWh/m</w:t>
      </w:r>
      <w:r>
        <w:rPr>
          <w:vertAlign w:val="superscript"/>
        </w:rPr>
        <w:t>2</w:t>
      </w:r>
      <w:r>
        <w:t xml:space="preserve">·mes]», θα πρέπει να αναγράφεται </w:t>
      </w:r>
      <w:r>
        <w:lastRenderedPageBreak/>
        <w:t>με το «sun;jul,lim» ως κάτω δείκτη: «Πίνακας 3.1.2-HE1 Οριακή τιμή της παραμέτρου ηλιακού ελέγχου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3.1.3 Διαπερατότητα αέρα του θερμικού κελύφους, ο όρος «θερμικό κέλυφος» θα πρέπει να αναγράφεται με πλάγιους χαρακτήρες.</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Στο τμήμα HE 1, τμήμα 3 Ποσοτικοποίηση της απαίτησης, τμήμα 3.1.3 Διαπερατότητα αέρα του θερμικού κελύφους, ο όρος «πυκνότητα» στον πίνακα 3.1.3.β-HE1, ο όρος «πυκνότητα» στον πίνακα 3.1.3.β-HE1 και ο όρος «ιδιωτική χρήση κατοικίας» στην παράγραφο 3 θα πρέπει να αναγράφονται με πλάγιους χαρακτήρες.</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Στο τμήμα HE 1, τμήμα 4 Αιτιολόγηση της απαίτησης, ο όρος «πυκνότητα» στο τμήμα 4.1.β) και ο όρος «ιδιωτική χρήση κατοικίας» στο τμήμα 4.1.ζ) θα πρέπει να αναγράφονται με πλάγιους χαρακτήρες.</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Στο τμήμα HE 4, τμήμα 3 Ποσοτικοποίηση της απαίτησης, τμήμα 3.1 Ελάχιστη συνεισφορά από ανανεώσιμες πηγές για τη θέρμανση ΖΝΧ (ζεστού νερού χρήσης) και/ή πισίνας, παράγραφος 4, όπου αναφέρεται: «...περισσότερα από 2,5 όταν ενεργοποιούνται με ηλεκτρική ενέργεια και άνω του 1,15 όταν λειτουργούν με θερμική ενέργεια...» πρέπει να νοούνται ως «... ίσο ή μεγαλύτερο του 2,5 όταν λειτουργούν με ηλεκτρική ενέργεια και ίσο ή μεγαλύτερο από 1,15 όταν λειτουργούν με θερμική ενέργεια...».</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Στο τμήμα HE 4, τμήμα 3 Ποσοτικοποίηση της απαίτησης, τμήμα 3.1 Ελάχιστη συνεισφορά από ανανεώσιμες πηγές για τη θέρμανση ΖΝΧ και/ή πισίνας, παράγραφος 5, όπου αναφέρεται: «... κτίρια κατοικιών...» θα πρέπει να διατυπώνεται ως «... κτίρια για ιδιωτική οικιστική χρήση...»</w:t>
      </w:r>
    </w:p>
    <w:p w14:paraId="198A06EA" w14:textId="307304FC" w:rsidR="005074AB" w:rsidRPr="009064BC" w:rsidRDefault="003E1EAB" w:rsidP="00547307">
      <w:pPr>
        <w:numPr>
          <w:ilvl w:val="0"/>
          <w:numId w:val="15"/>
        </w:numPr>
        <w:ind w:left="714" w:hanging="357"/>
        <w:jc w:val="both"/>
        <w:rPr>
          <w:rFonts w:cstheme="minorHAnsi"/>
        </w:rPr>
      </w:pPr>
      <w:r>
        <w:t xml:space="preserve">Στο τμήμα HE 4, πριν από το τμήμα «5.1. «Εκτέλεση» παρεμβάλλεται το ακόλουθο κείμενο «5. Κατασκευή και συντήρηση» ως τίτλος.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Στη σελίδα 140553, παράρτημα Α Ορολογία, στον ορισμό του «Συνολικού συντελεστή θερμικής εκπομπής (μέσω του θερμικού κελύφους του κτιρίου) (K)», όπου υπάρχει η εξής διατύπωση: «... K = X Hx/Aint...» πρέπει τα «x», «x» και «int» να αναγράφονται ως κάτω δείκτης: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Στο παράρτημα Α Ορολογία, στον ορισμό της «πυκνότητας», η λέξη «πυκνότητα» στη δεύτερη παράγραφο θα πρέπει να αναγράφεται με πλάγιους χαρακτήρες.</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Στο παράρτημα Α Ορολογία, στον ορισμό των «λειτουργικών όρων», ο όρος «ιδιωτική χρήση κατοικίας» θα πρέπει να αναγράφεται με πλάγιους χαρακτήρες.</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Στο παράρτημα Α Ορολογία, στον ορισμό της «κατανάλωσης πρωτογενούς ενέργειας από μη ανανεώσιμες πηγές», όπου υπάρχει η διατύπωση: «... Κατανάλωση πρωτογενούς μη ανανεώσιμης ενέργειας...» το «ep,nren» θα πρέπει να αναγράφεται ως κάτω δείκτης: «... Κατανάλωση πρωτογενούς μη ανανεώσιμης ενέργειας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 xml:space="preserve">Στο Παράρτημα Α Ορολογία, στον ορισμό της «Συνολικής κατανάλωσης πρωτογενούς ενέργειας», όπου αναφέρεται: «... Συνολική κατανάλωση πρωτογενούς ενέργειας...» </w:t>
      </w:r>
      <w:r>
        <w:lastRenderedPageBreak/>
        <w:t>το «ep,tot» θα πρέπει να αναγράφεται ως κάτω δείκτης: «... Συνολική κατανάλωση πρωτογενούς ενέργειας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Στο παράρτημα Α Ορολογία, στον ορισμό του «ηλιακού ελέγχου (q</w:t>
      </w:r>
      <w:r>
        <w:rPr>
          <w:vertAlign w:val="subscript"/>
        </w:rPr>
        <w:t>sol;ju</w:t>
      </w:r>
      <w:r>
        <w:t>)», όπου υπάρχει η διατύπωση: «... η ωφέλιμη επιφάνεια των χώρων...» θα πρέπει να διατυπώνεται ως εξής: «... η ωφέλιμη επιφάνεια των χώρων διαβίωσης...».</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Στο παράρτημα Α Ορολογία, στον ορισμό του «Κλιματιζόμενος χώρος διαβίωσης», ο όρος «ιδιωτική χρήση κατοικίας» θα πρέπει να αναγράφεται με πλάγιους χαρακτήρες.</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Στο παράρτημα Α Ορολογία, στον ορισμό της «Περιόδου χρήσης», ο όρος «ιδιωτική οικιακή χρήση» στη δεύτερη παράγραφο θα πρέπει να αναγράφεται με πλάγιους χαρακτήρες.</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Στο Παράρτημα Α Ορολογία, στον ορισμό της «Αξίας Ενεργειακής Απόδοσης της Εγκατάστασης (VEEI)», ο όρος «ιδιωτική χρήση κατοικίας» θα πρέπει να αναγράφεται με πλάγιους χαρακτήρες.</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Στο παράρτημα Γ Στοιχεία για τον ορισμό του θερμικού κελύφους, ο όρος «θερμικό κέλυφος» στον τίτλο θα πρέπει να αναγράφεται με πλάγιους χαρακτήρες.</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Στο παράρτημα Δ Συνθήκες λειτουργίας και προφίλ χρήσης, στον τίτλο, οι όροι «Συνθήκες λειτουργίας» και «Προφίλ χρήσης» πρέπει να αναγράφονται με πλάγιους χαρακτήρες στον τίτλο, στην παράγραφο 2 και στους πίνακες Πίνακας α-Παράρτημα Δ, πίνακας β-Παράρτημα Δ και πίνακας γ-Παράρτημα Δ.</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Στο παράρτημα Ε Ενδεικτικές τιμές εκπομπής, ο όρος «ιδιωτική χρήση κατοικίας» στο τμήμα 1 πρέπει να αναγράφεται με πλάγιους χαρακτήρες.</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Στο παράρτημα ΣΤ Ζήτηση αναφοράς ACS, ο όρος «ιδιωτική χρήση κατοικίας» θα πρέπει να αναγράφεται με πλάγιους χαρακτήρες τόσο στο τμήμα 1 όσο και στον πίνακα α-παράρτημα ΣΤ.</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Στο παράρτημα Η Προσδιορισμός της αεροπερατότητας του κτιρίου, στο τμήμα 2 Προσδιορισμός με τιμές αναφοράς, όπου υπάρχει η διατύπωση: «... 2. Η τιμή του λόγου της μεταβολής του αέρα στα 50 Pa, n50, μπορεί να υπολογιστεί από την ακόλουθη εξίσωση:» θα πρέπει να διατυπωθεί ως εξής: «... 1. Η τιμή του λόγου της μεταβολής του αέρα στα 50 Pa, n50 με τις τιμές αναφοράς λαμβάνεται από την ακόλουθη έκφραση:» όπου υπάρχει η διατύπωση: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θα πρέπει να διατυπώνεται ως εξής: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όπου υπάρχει η διατύπωση: «V είναι ο εσωτερικός όγκος του θερμικού κελύφους, σε [m</w:t>
      </w:r>
      <w:r>
        <w:rPr>
          <w:vertAlign w:val="superscript"/>
        </w:rPr>
        <w:t>3</w:t>
      </w:r>
      <w:r>
        <w:t>]» θα πρέπει να διατυπώνεται ως εξής: «V</w:t>
      </w:r>
      <w:r>
        <w:rPr>
          <w:vertAlign w:val="subscript"/>
        </w:rPr>
        <w:t>int</w:t>
      </w:r>
      <w:r>
        <w:t xml:space="preserve"> είναι ο εσωτερικός όγκος αέρα του </w:t>
      </w:r>
      <w:r>
        <w:rPr>
          <w:i/>
        </w:rPr>
        <w:t>θερμικού κελύφους</w:t>
      </w:r>
      <w:r>
        <w:t>, σε [m</w:t>
      </w:r>
      <w:r>
        <w:rPr>
          <w:vertAlign w:val="superscript"/>
        </w:rPr>
        <w:t>3</w:t>
      </w:r>
      <w:r>
        <w:t>]», και όπου υπάρχει η διατύπωση: «A</w:t>
      </w:r>
      <w:r>
        <w:rPr>
          <w:vertAlign w:val="subscript"/>
        </w:rPr>
        <w:t>o</w:t>
      </w:r>
      <w:r>
        <w:t xml:space="preserve"> είναι η επιφάνεια του αδιαφανούς τμήματος του θερμικού κελύφους, σε [m</w:t>
      </w:r>
      <w:r>
        <w:rPr>
          <w:vertAlign w:val="superscript"/>
        </w:rPr>
        <w:t>2</w:t>
      </w:r>
      <w:r>
        <w:t>]» θα πρέπει να διατυπώνεται ως εξής: «A</w:t>
      </w:r>
      <w:r>
        <w:rPr>
          <w:vertAlign w:val="subscript"/>
        </w:rPr>
        <w:t>o</w:t>
      </w:r>
      <w:r>
        <w:t xml:space="preserve"> είναι η επιφάνεια του αδιαφανούς τμήματος του </w:t>
      </w:r>
      <w:r>
        <w:rPr>
          <w:i/>
        </w:rPr>
        <w:t>θερμικού κελύφους</w:t>
      </w:r>
      <w:r>
        <w:t xml:space="preserve"> σε επαφή με εξωτερικό αέρα, σε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Στο παράρτημα H Προσδιορισμός της αεροπερατότητας του κτιρίου, ο όρος «θερμικό κέλυφος» πρέπει να αναγράφεται με πλάγιους χαρακτήρες στην περιγραφή των όρων V</w:t>
      </w:r>
      <w:r>
        <w:rPr>
          <w:vertAlign w:val="subscript"/>
        </w:rPr>
        <w:t>int</w:t>
      </w:r>
      <w:r>
        <w:t>, C, C</w:t>
      </w:r>
      <w:r>
        <w:rPr>
          <w:vertAlign w:val="subscript"/>
        </w:rPr>
        <w:t>h</w:t>
      </w:r>
      <w:r>
        <w:t>, A</w:t>
      </w:r>
      <w:r>
        <w:rPr>
          <w:vertAlign w:val="subscript"/>
        </w:rPr>
        <w:t>h</w:t>
      </w:r>
      <w:r>
        <w:t xml:space="preserve"> και στον πίνακα α-παράρτημα H</w:t>
      </w:r>
    </w:p>
    <w:p w14:paraId="7A548AE7" w14:textId="77777777" w:rsidR="0024794E" w:rsidRDefault="002F25C7" w:rsidP="0024794E">
      <w:pPr>
        <w:spacing w:before="200" w:after="100" w:line="240" w:lineRule="auto"/>
        <w:jc w:val="both"/>
        <w:rPr>
          <w:rFonts w:eastAsia="Arial" w:cstheme="minorHAnsi"/>
          <w:kern w:val="2"/>
          <w:szCs w:val="24"/>
        </w:rPr>
      </w:pPr>
      <w:r>
        <w:lastRenderedPageBreak/>
        <w:t xml:space="preserve">Έκτον. Οι διορθώσεις των σφαλμάτων και των παροραμάτων πραγματοποιούνται ως εξής: Βασικό έγγραφο DB-HS «Υγιεινή» που περιλαμβάνεται στο μέρος II του τεχνικού οικοδομικού κώδικα: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τμήμα 4 HS «Παροχή νερού», στο τμήμα 6.2., το στοιχείο «ε) σωλήνες χλωριούχου πολυβινυλοχλωριδίου (PVC-C) σύμφωνα με UNE-EN ISO 15874-1:2013, UNE-EN ISO 15874-2:2013 και UNE-EN ISO 15874-3:2013·» αντικαθίσταται από το στοιχείο «ε) πολυχλωριωμένοι σωλήνες χλωριούχου βινυλίου (PVC-C), σύμφωνα με το UNE-EN ISO 15877-1:2009 (+UNE-EN ISO 15877-1:2009/A1): 2011), UNE-EN ISO 15877-2:2009 (+UNE-EN ISO 15877-2:2009/A1: 2011) και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τμήμα 4 «Παροχή νερού», στο τμήμα 6.2., το στοιχείο «η) σωλήνες πολυβουτυλενίου (PB) σύμφωνα με τα UNE-EN ISO 15876-1:2017, UNE-EN ISO 15876-2:2017 και UNE-EN ISO 15876-3:2017·» αντικαθίσταται από το στοιχείο «η) σωλήνες πολυβουτυλενίου (PB) σύμφωνα με τα UNE-EN ISO 15876-1:2017, UNE-EN ISO 15876-2:2017 και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προσάρτημα Γ. Πρότυπα αναφοράς, όπου υπάρχει η διατύπωση: «Συστήματα πλαστικών σωληνώσεων για εγκαταστάσεις ζεστού και ψυχρού νερού. Πολυβουτυλένιο (PB). Μέρος 1: Γενικά» θα πρέπει να διατυπώνεται ως εξής: «Συστήματα πλαστικών σωληνώσεων για εγκαταστάσεις ζεστού και ψυχρού νερού. Πολυβουτυλένιο (PB). Μέρος 1: Γενικά</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προσάρτημα Γ. Πρότυπα αναφοράς, όπου υπάρχει η διατύπωση: «Συστήματα πλαστικών σωληνώσεων για εγκαταστάσεις ζεστού και ψυχρού νερού. Πολυβουτυλένιο (PB). Μέρος 2: Σωλήνες» θα πρέπει να διατυπώνεται ως εξής: «Συστήματα πλαστικών σωληνώσεων για εγκαταστάσεις ζεστού και ψυχρού νερού. Πολυβουτυλένιο (PB). Μέρος 2: Σωλήνες.</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προσάρτημα Γ. Πρότυπα αναφοράς, όπου υπάρχει η διατύπωση: «Συστήματα πλαστικών σωληνώσεων για εγκαταστάσεις ζεστού και ψυχρού νερού. Πολυβουτυλένιο (PB). Μέρος 3: Εξαρτήματα» θα πρέπει να διατυπώνεται ως εξής: «Συστήματα πλαστικών σωληνώσεων για εγκαταστάσεις ζεστού και ψυχρού νερού. Πολυβουτυλένιο (PB). Μέρος 3: Εξαρτήματα.</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Στο προσάρτημα Γ. Πρότυπα αναφοράς, πρέπει να ενσωματωθούν τα ακόλουθα μετά την παραπομπή στο πρότυπο «UNE-EN ISO 15876-3: 2017</w:t>
      </w:r>
      <w:r>
        <w:tab/>
        <w:t>Συστήματα πλαστικών σωληνώσεων για εγκαταστάσεις ζεστού και κρύου νερού. Πολυβουτυλένιο (PB). Μέρος 3: Εξαρτήματα» τα ακόλουθα πρότυπα:</w:t>
      </w:r>
    </w:p>
    <w:p w14:paraId="5A496CEC" w14:textId="6500843E" w:rsidR="00AD074F" w:rsidRDefault="00AD074F" w:rsidP="0024794E">
      <w:pPr>
        <w:pStyle w:val="ListParagraph"/>
        <w:spacing w:after="120"/>
        <w:ind w:left="709"/>
        <w:jc w:val="both"/>
      </w:pPr>
      <w:r>
        <w:t xml:space="preserve">«UNE-EN ISO 15877-1:2009 Συστήματα πλαστικών σωληνώσεων για εγκαταστάσεις ζεστού και ψυχρού νερού. Χλωριωμένο πολυ(βινυλοχλωρίδιο) (PVC-C). Μέρος 1: Γενικές διατάξεις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Συστήματα πλαστικών σωληνώσεων για εγκαταστάσεις ζεστού και κρύου νερού. Χλωριωμένο πολυ(βινυλοχλωρίδιο) (PVC-C). Μέρος 2: Σωλήνες.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Συστήματα πλαστικών σωληνώσεων για εγκαταστάσεις ζεστού και κρύου νερού. Χλωριωμένο πολυ(βινυλοχλωρίδιο) (PVC-C). Μέρος 3: Εξαρτήματα. (+UNE-EN ISO 15877-3:2009/A1:2011)</w:t>
      </w:r>
    </w:p>
    <w:p w14:paraId="30F2E766" w14:textId="038A7758" w:rsidR="005074AB" w:rsidRPr="00431D05" w:rsidRDefault="005074AB" w:rsidP="005074AB">
      <w:pPr>
        <w:jc w:val="both"/>
        <w:rPr>
          <w:rFonts w:cstheme="minorHAnsi"/>
          <w:bCs/>
          <w:i/>
          <w:iCs/>
        </w:rPr>
      </w:pPr>
      <w:r>
        <w:t xml:space="preserve">Μοναδική μεταβατική διάταξη. </w:t>
      </w:r>
      <w:r>
        <w:rPr>
          <w:i/>
        </w:rPr>
        <w:t>Κτίρια που εξαιρούνται από τις διατάξεις του παρόντος βασιλικού διατάγματος.</w:t>
      </w:r>
    </w:p>
    <w:p w14:paraId="71A41130" w14:textId="7184244B" w:rsidR="005074AB" w:rsidRPr="009064BC" w:rsidRDefault="005074AB" w:rsidP="005074AB">
      <w:pPr>
        <w:jc w:val="both"/>
        <w:rPr>
          <w:rFonts w:cstheme="minorHAnsi"/>
        </w:rPr>
      </w:pPr>
      <w:r>
        <w:lastRenderedPageBreak/>
        <w:t xml:space="preserve">Οι τροποποιήσεις του τεχνικού οικοδομικού κώδικα (CTE) που θεσπίζονται με το παρόν βασιλικό διάταγμα δεν ισχύουν για νέα κτίρια ή εργασίες σε υφιστάμενα κτίρια τα οποία, και στις δύο περιπτώσεις, έχουν ήδη υποβάλει αίτηση για άδεια εκτέλεσης δημοτικών έργων κατά την έναρξη ισχύος του παρόντος βασιλικού διατάγματος. </w:t>
      </w:r>
    </w:p>
    <w:p w14:paraId="6E353956" w14:textId="262DE845" w:rsidR="007B11B1" w:rsidRDefault="005074AB" w:rsidP="005074AB">
      <w:pPr>
        <w:jc w:val="both"/>
        <w:rPr>
          <w:rFonts w:cstheme="minorHAnsi"/>
        </w:rPr>
      </w:pPr>
      <w:r>
        <w:t>Οι εργασίες αυτές ξεκινούν εντός της μέγιστης περιόδου ισχύος της εν λόγω άδειας, σύμφωνα με τους κανονισμούς εφαρμογής της ή, ελλείψει αυτής, εντός έξι μηνών από τη χορήγηση της εν λόγω άδειας. Σε αντίθετη περίπτωση, τα σχέδια πρέπει να προσαρμοστούν στις τροποποιήσεις του CTE που εγκρίνονται με το παρόν βασιλικό διάταγμα.</w:t>
      </w:r>
    </w:p>
    <w:p w14:paraId="78DABA03" w14:textId="77777777" w:rsidR="005074AB" w:rsidRPr="00D47CC2" w:rsidRDefault="005074AB" w:rsidP="005074AB">
      <w:pPr>
        <w:jc w:val="both"/>
        <w:rPr>
          <w:rFonts w:cstheme="minorHAnsi"/>
          <w:bCs/>
          <w:i/>
          <w:iCs/>
        </w:rPr>
      </w:pPr>
      <w:r>
        <w:t xml:space="preserve">Δεύτερη μεταβατική διάταξη. </w:t>
      </w:r>
      <w:r>
        <w:rPr>
          <w:i/>
        </w:rPr>
        <w:t>Κτίρια για τα οποία η εφαρμογή των διατάξεων του παρόντος βασιλικού διατάγματος είναι προαιρετική.</w:t>
      </w:r>
    </w:p>
    <w:p w14:paraId="047CBC16" w14:textId="1E288EF7" w:rsidR="00CA5D2D" w:rsidRPr="00B24946" w:rsidRDefault="005074AB" w:rsidP="005074AB">
      <w:pPr>
        <w:jc w:val="both"/>
        <w:rPr>
          <w:rFonts w:cstheme="minorHAnsi"/>
        </w:rPr>
      </w:pPr>
      <w:r>
        <w:t xml:space="preserve">Οι τροποποιήσεις του εγκριθέντος με το παρόν βασιλικού διατάγματος τεχνικού οικοδομικού κώδικα εφαρμόζονται προαιρετικά στα νέα κατασκευαστικά έργα και στις εργασίες σε υφιστάμενα κτίρια για τα οποία, και στις δύο περιπτώσεις, ζητείται άδεια δημοτικού έργου εντός έξι μηνών από την έναρξη ισχύος του παρόντος βασιλικού διατάγματος. </w:t>
      </w:r>
    </w:p>
    <w:p w14:paraId="0F321A96" w14:textId="5FE37BEE" w:rsidR="00CA5D2D" w:rsidRDefault="00CA5D2D" w:rsidP="00CA5D2D">
      <w:pPr>
        <w:jc w:val="both"/>
        <w:rPr>
          <w:rFonts w:cstheme="minorHAnsi"/>
        </w:rPr>
      </w:pPr>
      <w:r>
        <w:t>Οι εργασίες αυτές ξεκινούν εντός της μέγιστης περιόδου ισχύος της εν λόγω άδειας, σύμφωνα με τους κανονισμούς εφαρμογής της ή, ελλείψει αυτής, εντός έξι μηνών από τη χορήγηση της εν λόγω άδειας. Σε αντίθετη περίπτωση, τα σχέδια πρέπει να προσαρμοστούν στις τροποποιήσεις του CTE που εγκρίνονται με το παρόν βασιλικό διάταγμα.</w:t>
      </w:r>
    </w:p>
    <w:p w14:paraId="1B48DE1E" w14:textId="77777777" w:rsidR="005074AB" w:rsidRPr="00D47CC2" w:rsidRDefault="005074AB" w:rsidP="005074AB">
      <w:pPr>
        <w:jc w:val="both"/>
        <w:rPr>
          <w:rFonts w:cstheme="minorHAnsi"/>
          <w:bCs/>
          <w:i/>
          <w:iCs/>
        </w:rPr>
      </w:pPr>
      <w:r>
        <w:t xml:space="preserve">Τρίτη μεταβατική διάταξη. </w:t>
      </w:r>
      <w:r>
        <w:rPr>
          <w:i/>
        </w:rPr>
        <w:t>Κτίρια για τα οποία είναι υποχρεωτική η εφαρμογή των διατάξεων του παρόντος βασιλικού διατάγματος.</w:t>
      </w:r>
    </w:p>
    <w:p w14:paraId="557DDCCB" w14:textId="624E2145" w:rsidR="005074AB" w:rsidRDefault="005074AB" w:rsidP="005074AB">
      <w:pPr>
        <w:jc w:val="both"/>
        <w:rPr>
          <w:rFonts w:cstheme="minorHAnsi"/>
        </w:rPr>
      </w:pPr>
      <w:r>
        <w:t>Η εφαρμογή των τροποποιήσεων του τεχνικού οικοδομικού κώδικα (CTE) που θεσπίζονται με το παρόν βασιλικό διάταγμα είναι υποχρεωτική για νέα κτίρια ή εργασίες σε υφιστάμενα κτίρια που υποβάλλουν αίτηση για εκτέλεση άδειας δημοτικών έργων μετά την παρέλευση εννέα μηνών από την έναρξη ισχύος της παρούσας διάταξης.</w:t>
      </w:r>
    </w:p>
    <w:p w14:paraId="588C44EA" w14:textId="52803F33" w:rsidR="005074AB" w:rsidRPr="00D47CC2" w:rsidRDefault="005074AB" w:rsidP="005074AB">
      <w:pPr>
        <w:jc w:val="both"/>
        <w:rPr>
          <w:rFonts w:cstheme="minorHAnsi"/>
          <w:bCs/>
          <w:i/>
          <w:iCs/>
        </w:rPr>
      </w:pPr>
      <w:r>
        <w:t xml:space="preserve">Πρώτη τελική διάταξη. </w:t>
      </w:r>
      <w:r>
        <w:rPr>
          <w:i/>
        </w:rPr>
        <w:t>Τροποποίηση του βασιλικού διατάγματος 1053/2014, της 12ης Δεκεμβρίου, για την έγκριση νέας συμπληρωματικής τεχνικής οδηγίας (ITC) BT 52 «Εγκαταστάσεις ειδικού σκοπού. Υποδομή επαναφόρτισης ηλεκτρικών οχημάτων», των ηλεκτροτεχνικών κανονισμών χαμηλής τάσης, που εγκρίθηκαν με το βασιλικό διάταγμα 842/2002, της 2ας Αυγούστου, και άλλων συμπληρωματικών τεχνικών οδηγιών.</w:t>
      </w:r>
    </w:p>
    <w:p w14:paraId="183CB7CD" w14:textId="78A1B469" w:rsidR="005074AB" w:rsidRPr="009064BC" w:rsidRDefault="005074AB" w:rsidP="005074AB">
      <w:pPr>
        <w:jc w:val="both"/>
        <w:rPr>
          <w:rFonts w:cstheme="minorHAnsi"/>
        </w:rPr>
      </w:pPr>
      <w:r>
        <w:t>Πρώτον. Η πρώτη συμπληρωματική διάταξη του βασιλικού διατάγματος 1053/2014, της 12ης Δεκεμβρίου, για την έγκριση νέας συμπληρωματικής τεχνικής οδηγίας (ITC) BT 52, τροποποιείται ως εξής:</w:t>
      </w:r>
    </w:p>
    <w:p w14:paraId="6C63F170" w14:textId="77777777" w:rsidR="005074AB" w:rsidRPr="009064BC" w:rsidRDefault="005074AB" w:rsidP="005074AB">
      <w:pPr>
        <w:ind w:left="567"/>
        <w:jc w:val="both"/>
        <w:rPr>
          <w:rFonts w:cstheme="minorHAnsi"/>
        </w:rPr>
      </w:pPr>
      <w:r>
        <w:t>«Πρώτη συμπληρωματική διάταξη. Ελάχιστες δομικές εγκαταστάσεις για τη φόρτιση ηλεκτρικών οχημάτων σε χώρους στάθμευσης αυτοκινήτων που δεν προορίζονται για κτίρια, νεόδμητα ή που έχουν υποβληθεί σε εκτεταμένη ανακαίνιση, ούτε για δημόσιες οδούς.</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Σε νεόδμητους χώρους στάθμευσης αυτοκινήτων ή σε αυτούς που έχουν υποβληθεί σε εκτεταμένη ανακαίνιση που δεν βρίσκονται σε κτίριο ή συνορεύουν με κτίριο και ως εκ τούτου δεν εμπίπτουν στο πεδίο εφαρμογής του βασικού έγγραφου εξοικονόμησης ενέργειας (DB HE) του τεχνικού </w:t>
      </w:r>
      <w:r>
        <w:lastRenderedPageBreak/>
        <w:t xml:space="preserve">οικοδομικού κώδικα, πρέπει να εγκατασταθεί τουλάχιστον ένας σταθμός φόρτισης για κάθε 40 θέσεις στάθμευσης. Ένας χώρος στάθμευσης αυτοκινήτων θεωρείται νεόδμητος όταν το κατασκευαστικό έργο υποβάλλεται προς επεξεργασία στην αρμόδια δημόσια διοίκηση μετά την έναρξη ισχύος του παρόντος βασιλικού διατάγματος. </w:t>
      </w:r>
    </w:p>
    <w:p w14:paraId="0C99327A" w14:textId="0AD5DDFE" w:rsidR="005074AB" w:rsidRPr="009064BC" w:rsidRDefault="005074AB" w:rsidP="002F659F">
      <w:pPr>
        <w:numPr>
          <w:ilvl w:val="0"/>
          <w:numId w:val="11"/>
        </w:numPr>
        <w:ind w:left="1418" w:hanging="284"/>
        <w:contextualSpacing/>
        <w:jc w:val="both"/>
        <w:rPr>
          <w:rFonts w:cstheme="minorHAnsi"/>
        </w:rPr>
      </w:pPr>
      <w:r>
        <w:t>Πρέπει να εξασφαλίζονται οι εγκαταστάσεις που είναι αναγκαίες για την τροφοδότηση των σταθμών φόρτισης που βρίσκονται στους χώρους ηλεκτρικών οχημάτων σε δημόσιες οδούς, οι οποίοι προβλέπονται στα διαδημοτικά ή δημοτικά σχέδια βιώσιμης κινητικότητας.»</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Δεύτερον. Το τμήμα 3.2 της ΣΥΜΠΛΗΡΩΜΑΤΙΚΗΣ ΤΕΧΝΙΚΗΣ ΟΔΗΓΙΑΣ (ITC) BT-52 τροποποιείται ως εξής:</w:t>
      </w:r>
    </w:p>
    <w:p w14:paraId="6A13CA56" w14:textId="2BC47FB2" w:rsidR="005074AB" w:rsidRPr="009064BC" w:rsidRDefault="005074AB" w:rsidP="005074AB">
      <w:pPr>
        <w:ind w:left="567"/>
        <w:jc w:val="both"/>
        <w:rPr>
          <w:rFonts w:cstheme="minorHAnsi"/>
        </w:rPr>
      </w:pPr>
      <w:r>
        <w:t xml:space="preserve">«3.2 Εγκατάσταση σε χώρους στάθμευσης αυτοκινήτων ή συλλογικούς χώρους στάθμευσης που γειτνιάζουν με κτίρια ή συγκροτήματα κτιρίων. </w:t>
      </w:r>
    </w:p>
    <w:p w14:paraId="14463364" w14:textId="6F4941EA" w:rsidR="005074AB" w:rsidRPr="003934E5" w:rsidRDefault="005074AB" w:rsidP="005074AB">
      <w:pPr>
        <w:ind w:left="567"/>
        <w:jc w:val="both"/>
        <w:rPr>
          <w:rFonts w:cstheme="minorHAnsi"/>
        </w:rPr>
      </w:pPr>
      <w:r>
        <w:t xml:space="preserve">Οι ηλεκτρικές εγκαταστάσεις φόρτισης </w:t>
      </w:r>
      <w:r>
        <w:rPr>
          <w:i/>
        </w:rPr>
        <w:t>ηλεκτρικών οχημάτων</w:t>
      </w:r>
      <w:r>
        <w:t xml:space="preserve"> που βρίσκονται σε χώρους στάθμευσης αυτοκινήτων ή χώρους στάθμευσης εντός κτιρίων ή προσαρτημένους σε κτίρια ή κατοικίες πρέπει να ακολουθούν οποιοδήποτε από τα συστήματα που περιγράφονται ανωτέρω.</w:t>
      </w:r>
      <w:r>
        <w:rPr>
          <w:color w:val="000000" w:themeColor="text1"/>
        </w:rPr>
        <w:t xml:space="preserve"> </w:t>
      </w:r>
      <w:r>
        <w:t>Στο ίδιο κτίριο μπορούν να χρησιμοποιούνται διαφορετικά διαγράμματα, υπό την προϋπόθεση ότι πληρούνται όλες οι απαιτήσεις που ορίζονται στην παρούσα (ITC) BT-52.</w:t>
      </w:r>
    </w:p>
    <w:p w14:paraId="642E3740" w14:textId="7634F88A" w:rsidR="005074AB" w:rsidRPr="009064BC" w:rsidRDefault="005074AB" w:rsidP="005074AB">
      <w:pPr>
        <w:ind w:left="567"/>
        <w:jc w:val="both"/>
        <w:rPr>
          <w:rFonts w:cstheme="minorHAnsi"/>
        </w:rPr>
      </w:pPr>
      <w:r>
        <w:t>Στο σχήμα 4α, το κύκλωμα φόρτισης ακολουθεί τις συνθήκες εγκατάστασης που περιγράφονται στην (ITC) BT-15, με τη χρήση καλωδίων και συστημάτων αγωγιμότητας των ίδιων τύπων και χαρακτηριστικών όπως για μια μεμονωμένη παράκαμψη, και το τμήμα του καλωδίου υπολογίζεται σύμφωνα με τις γενικές απαιτήσεις του τμήματος 5 της παρούσας ITC. Δεν είναι απαραίτητο να προβλεφθεί επέκταση του τμήματος των καλωδίων για τον προσδιορισμό της διαμέτρου ή των εγκάρσιων διαστάσεων του συστήματος αγωγιμότητας που πρόκειται να χρησιμοποιηθεί.</w:t>
      </w:r>
    </w:p>
    <w:p w14:paraId="5C0A8DBB" w14:textId="77777777" w:rsidR="005074AB" w:rsidRPr="009064BC" w:rsidRDefault="005074AB" w:rsidP="005074AB">
      <w:pPr>
        <w:ind w:left="567"/>
        <w:jc w:val="both"/>
        <w:rPr>
          <w:rFonts w:cstheme="minorHAnsi"/>
        </w:rPr>
      </w:pPr>
      <w:r>
        <w:t>Το καθεστώς 4β χρησιμοποιείται όταν η τροφοδότηση των σταθμών φόρτισης έχει σχεδιαστεί ως αναπόσπαστο μέρος ή επέκταση της ηλεκτρικής εγκατάστασης που εξυπηρετεί τις γενικές υπηρεσίες των γκαράζ.</w:t>
      </w:r>
    </w:p>
    <w:p w14:paraId="1BEC25F6" w14:textId="7E6AD67A" w:rsidR="005074AB" w:rsidRPr="009064BC" w:rsidRDefault="00D676D8" w:rsidP="005074AB">
      <w:pPr>
        <w:ind w:left="567"/>
        <w:jc w:val="both"/>
        <w:rPr>
          <w:rFonts w:cstheme="minorHAnsi"/>
        </w:rPr>
      </w:pPr>
      <w:r>
        <w:t>Τόσο σε υφιστάμενες όσο και σε νέες εγκαταστάσεις, και προκειμένου να διευκολυνθεί η χρήση του επιλεγμένου ηλεκτρικού συστήματος, οι πίνακες που περικλείουν γενικά προστατευτικά συστήματα και άλλες συσκευές φόρτισης ηλεκτρικών οχημάτων μπορούν να βρίσκονται στους χώρους που έχουν οριστεί για αυτόν τον σκοπό ή σε κοινόχρηστους χώρους.</w:t>
      </w:r>
    </w:p>
    <w:p w14:paraId="3AA0FB18" w14:textId="5CA8F82A" w:rsidR="005074AB" w:rsidRPr="009064BC" w:rsidRDefault="005074AB" w:rsidP="00904550">
      <w:pPr>
        <w:ind w:left="567"/>
        <w:jc w:val="both"/>
        <w:rPr>
          <w:rFonts w:cstheme="minorHAnsi"/>
        </w:rPr>
      </w:pPr>
      <w:r>
        <w:t xml:space="preserve">Η ηλεκτρική προεγκατάσταση για τη φόρτιση ηλεκτρικών οχημάτων σε χώρους στάθμευσης αυτοκινήτων που βρίσκονται σε κτίρια ή γειτνιάζουν με κτίρια ή συγκροτήματα κτιρίων διευκολύνει την επακόλουθη χρήση οποιουδήποτε από τα πιθανά συστήματα εγκατάστασης. Αυτό περιλαμβάνει τα ακόλουθα στοιχεία: </w:t>
      </w:r>
    </w:p>
    <w:p w14:paraId="4CCD8B27" w14:textId="732EDA20" w:rsidR="005074AB" w:rsidRPr="009064BC" w:rsidRDefault="005074AB" w:rsidP="005074AB">
      <w:pPr>
        <w:numPr>
          <w:ilvl w:val="0"/>
          <w:numId w:val="12"/>
        </w:numPr>
        <w:ind w:left="1418" w:hanging="284"/>
        <w:jc w:val="both"/>
        <w:rPr>
          <w:rFonts w:cstheme="minorHAnsi"/>
        </w:rPr>
      </w:pPr>
      <w:r>
        <w:t xml:space="preserve">Εγκατάσταση καλωδιακών συστημάτων αγωγιμότητας από τη συγκέντρωση των μετρητών και από τους κεντρικούς δρόμους των χώρων στάθμευσης, ώστε να μπορούν να λειτουργούν αργότερα οι σταθμοί φόρτισης που μπορούν να </w:t>
      </w:r>
      <w:r>
        <w:lastRenderedPageBreak/>
        <w:t>βρίσκονται στους επιμέρους χώρους στάθμευσης ή στους χώρους στάθμευσης αυτοκινήτων. Όταν η προεγκατάσταση έχει προγραμματιστεί για το 100 % των χώρων, τα συστήματα αγωγιμότητας καλωδίων πρέπει να φθάνουν σε καθέναν από τους χώρους. Όταν η προεγκατάσταση δεν προβλέπεται για το 100 % των χώρων, καθορίζονται οι χώροι που θεωρούνται ότι συμμορφώνονται με τη ρυθμιστική παροχή συστημάτων αγωγιμότητας καλωδίων και τα συστήματα αυτά φθάνουν σε καθέναν από αυτούς τους χώρους.</w:t>
      </w:r>
    </w:p>
    <w:p w14:paraId="0460434B" w14:textId="6073EA36" w:rsidR="005074AB" w:rsidRPr="009064BC" w:rsidRDefault="005074AB" w:rsidP="00281B93">
      <w:pPr>
        <w:numPr>
          <w:ilvl w:val="0"/>
          <w:numId w:val="12"/>
        </w:numPr>
        <w:jc w:val="both"/>
        <w:rPr>
          <w:rFonts w:cstheme="minorHAnsi"/>
        </w:rPr>
      </w:pPr>
      <w:r>
        <w:t>Η συγκέντρωση των μετρητών διαμορφώνεται σύμφωνα με το ηλεκτρικό σύστημα που επιλέγεται για τη φόρτιση του ηλεκτρικού οχήματος και όπως ορίζεται στην (ITC) BT-16. Οι εφεδρικές μονάδες εγκαθίστανται για τουλάχιστον το 20 % των χώρων στάθμευσης που δεν συνδέονται με κατοικία και ακόμη και αν όλοι οι χώροι συνδέονται με κατοικίες τουλάχιστον μία εφεδρική μονάδα. Αυτές οι εφεδρικές μονάδες πρέπει να έχουν την ικανότητα να στεγάζουν τον κύριο μετρητή και τις διατάξεις προστασίας υπερέντασης που συνδέονται με τον μετρητή, είτε με ασφάλειες είτε με διακόπτες κυκλώματος.</w:t>
      </w:r>
    </w:p>
    <w:p w14:paraId="7C024BD7" w14:textId="5A6D76AB" w:rsidR="005074AB" w:rsidRPr="009064BC" w:rsidRDefault="005074AB" w:rsidP="005074AB">
      <w:pPr>
        <w:ind w:left="1416"/>
        <w:jc w:val="both"/>
        <w:rPr>
          <w:rFonts w:cstheme="minorHAnsi"/>
        </w:rPr>
      </w:pPr>
      <w:r>
        <w:t>Οι έξοδοι ή οι σύνδεσμοι ρευματολήπτη που είναι εγκατεστημένοι στον σταθμό φόρτισης και οι αυτόματοι διακόπτες προστατευτικού κυκλώματος πρέπει να πληρούν μία από τις επιλογές που παρέχονται στο τμήμα 5.4.»</w:t>
      </w:r>
    </w:p>
    <w:p w14:paraId="3C2EF0D1" w14:textId="7C25EDED" w:rsidR="00324D93" w:rsidRPr="009064BC" w:rsidRDefault="00441D3E" w:rsidP="00CA5D2D">
      <w:pPr>
        <w:jc w:val="both"/>
        <w:rPr>
          <w:rFonts w:cstheme="minorHAnsi"/>
        </w:rPr>
      </w:pPr>
      <w:r>
        <w:t>Τρίτον. Το πρώτο εδάφιο του τμήματος 5.4. της ΣΥΜΠΛΗΡΩΜΑΤΙΚΗΣ ΤΕΧΝΙΚΗΣ ΟΔΗΓΙΑΣ (ITC) BT-52 τροποποιείται ως εξής:</w:t>
      </w:r>
    </w:p>
    <w:p w14:paraId="1D0AA4C9" w14:textId="6013C719" w:rsidR="00527DF1" w:rsidRDefault="00324D93" w:rsidP="00CA5D2D">
      <w:pPr>
        <w:jc w:val="both"/>
        <w:rPr>
          <w:color w:val="FF0000"/>
        </w:rPr>
      </w:pPr>
      <w:r>
        <w:t xml:space="preserve">«5.4 Σημείο σύνδεσης. </w:t>
      </w:r>
      <w:bookmarkStart w:id="1" w:name="_Hlk81468651"/>
      <w:r>
        <w:t xml:space="preserve">Το σημείο σύνδεσης πρέπει να βρίσκεται δίπλα στο προς παροχή τετράγωνο και να είναι μόνιμα τοποθετημένο σε θάλαμο. </w:t>
      </w:r>
    </w:p>
    <w:bookmarkEnd w:id="1"/>
    <w:p w14:paraId="346E72DC" w14:textId="2F609E5D" w:rsidR="00441D3E" w:rsidRPr="00527DF1" w:rsidRDefault="00527DF1" w:rsidP="00CA5D2D">
      <w:pPr>
        <w:jc w:val="both"/>
        <w:rPr>
          <w:color w:val="FF0000"/>
        </w:rPr>
      </w:pPr>
      <w:r>
        <w:t xml:space="preserve">Το ελάχιστο ύψος εγκατάστασης για τις υποδοχές και τους συνδέσμους πρέπει να είναι 60 cm πάνω από το έδαφος. </w:t>
      </w:r>
      <w:bookmarkStart w:id="2" w:name="_Hlk81468224"/>
      <w:r>
        <w:t>Εάν ο σταθμός φόρτισης προορίζεται για δημόσια χρήση, το μέγιστο ύψος είναι 120 cm. Σε προσβάσιμους χώρους στάθμευσης, οι πρίζες και οι σύνδεσμοι έχουν χρωματική αντίθεση με το περιβάλλον, τοποθετούνται σε ύψος μεταξύ 80 και 120 cm και η απόσταση από τις γωνιακές συνδέσεις πρέπει να είναι τουλάχιστον 35 cm.»</w:t>
      </w:r>
      <w:bookmarkEnd w:id="2"/>
    </w:p>
    <w:p w14:paraId="33BA3231" w14:textId="6E4F1E78" w:rsidR="005074AB" w:rsidRPr="00D47CC2" w:rsidRDefault="005074AB" w:rsidP="00CA5D2D">
      <w:pPr>
        <w:jc w:val="both"/>
        <w:rPr>
          <w:rFonts w:cstheme="minorHAnsi"/>
          <w:bCs/>
          <w:i/>
          <w:iCs/>
        </w:rPr>
      </w:pPr>
      <w:r>
        <w:t xml:space="preserve">Δεύτερη τελική διάταξη. </w:t>
      </w:r>
      <w:r>
        <w:rPr>
          <w:i/>
        </w:rPr>
        <w:t>Μεταφορά του δικαίου της Ευρωπαϊκής Ένωσης.</w:t>
      </w:r>
    </w:p>
    <w:p w14:paraId="09244551" w14:textId="77777777" w:rsidR="005074AB" w:rsidRPr="009064BC" w:rsidRDefault="005074AB" w:rsidP="00CA5D2D">
      <w:pPr>
        <w:jc w:val="both"/>
        <w:rPr>
          <w:rFonts w:cstheme="minorHAnsi"/>
        </w:rPr>
      </w:pPr>
      <w:r>
        <w:t>Το παρόν βασιλικό διάταγμα μεταφέρει στο ισπανικό δίκαιο τα άρθρα 8.2, 8.3 και 8.5 της οδηγίας (ΕΕ) 2018/844 του Ευρωπαϊκού Κοινοβουλίου και του Συμβουλίου, της 30ής Μαΐου 2018, για την τροποποίηση της οδηγίας 2010/31/ΕΕ για την ενεργειακή απόδοση των κτιρίων και της οδηγίας 2012/27/ΕΕ για την ενεργειακή απόδοση.</w:t>
      </w:r>
    </w:p>
    <w:p w14:paraId="106D513A" w14:textId="7AD1ED46" w:rsidR="005074AB" w:rsidRPr="00C760C9" w:rsidRDefault="005074AB" w:rsidP="005074AB">
      <w:pPr>
        <w:jc w:val="both"/>
        <w:rPr>
          <w:rFonts w:cstheme="minorHAnsi"/>
          <w:bCs/>
          <w:i/>
          <w:iCs/>
        </w:rPr>
      </w:pPr>
      <w:r>
        <w:t xml:space="preserve">Τρίτη τελική διάταξη. </w:t>
      </w:r>
      <w:r>
        <w:rPr>
          <w:i/>
        </w:rPr>
        <w:t>Έναρξη ισχύος.</w:t>
      </w:r>
    </w:p>
    <w:p w14:paraId="74B6AB2B" w14:textId="74C92419" w:rsidR="001035FC" w:rsidRDefault="005074AB" w:rsidP="000A2592">
      <w:pPr>
        <w:jc w:val="both"/>
        <w:rPr>
          <w:rFonts w:cstheme="minorHAnsi"/>
          <w:color w:val="FF0000"/>
        </w:rPr>
      </w:pPr>
      <w:r>
        <w:t>Το παρόν βασιλικό διάταγμα τίθεται σε ισχύ την επομένη της δημοσίευσής του στην Επίσημη Εφημερίδα.</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CF3AB6">
      <w:pPr>
        <w:pageBreakBefore/>
        <w:jc w:val="center"/>
        <w:rPr>
          <w:rFonts w:cstheme="minorHAnsi"/>
          <w:sz w:val="24"/>
          <w:szCs w:val="24"/>
        </w:rPr>
      </w:pPr>
      <w:r>
        <w:rPr>
          <w:sz w:val="24"/>
        </w:rPr>
        <w:lastRenderedPageBreak/>
        <w:t xml:space="preserve">Μαδρίτη, στις                          </w:t>
      </w:r>
    </w:p>
    <w:p w14:paraId="28C0A3AF" w14:textId="7E6F82AF" w:rsidR="007F6E00" w:rsidRPr="00243027" w:rsidRDefault="00D47CC2" w:rsidP="00726501">
      <w:pPr>
        <w:jc w:val="center"/>
        <w:rPr>
          <w:rFonts w:cstheme="minorHAnsi"/>
          <w:sz w:val="24"/>
          <w:szCs w:val="24"/>
        </w:rPr>
      </w:pPr>
      <w:r>
        <w:rPr>
          <w:sz w:val="24"/>
        </w:rPr>
        <w:t>Η ΥΠΟΥΡΓΟΣ ΜΕΤΑΦΟΡΩΝ, ΚΙΝΗΤΙΚΟΤΗΤΑΣ ΚΑΙ ΑΣΤΙΚΟΥ ΘΕΜΑΤΟΛΟΓΙΟΥ</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4BD805F4" w:rsidR="00C73E8C" w:rsidRPr="00243027" w:rsidRDefault="00C760C9" w:rsidP="007F6E00">
      <w:pPr>
        <w:jc w:val="center"/>
        <w:rPr>
          <w:rFonts w:cstheme="minorHAnsi"/>
          <w:sz w:val="24"/>
          <w:szCs w:val="24"/>
        </w:rPr>
      </w:pPr>
      <w:r>
        <w:rPr>
          <w:sz w:val="24"/>
        </w:rPr>
        <w:t>ΤΡΙΤ</w:t>
      </w:r>
      <w:r w:rsidR="00770104">
        <w:rPr>
          <w:sz w:val="24"/>
        </w:rPr>
        <w:t>Η</w:t>
      </w:r>
      <w:r>
        <w:rPr>
          <w:sz w:val="24"/>
        </w:rPr>
        <w:t xml:space="preserve"> ΑΝΤΙΠΡΟΕΔΡΟΣ ΤΗΣ ΚΥΒΕΡΝΗΣΗΣ ΚΑΙ ΥΠΟΥΡΓΟΣ ΟΙΚΟΛΟΓΙΚΗΣ ΜΕΤΑΒΑΣΗΣ ΚΑΙ ΔΗΜΟΓΡΑΦΙΚΗΣ ΠΡΟΚΛΗΣΗΣ</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Σχέδιο βασιλικού διατάγματος για την τροποποίηση του τεχνικού οικοδομικού κώδικα, που εγκρίθηκε με το βασιλικό διάταγμα 314/2006 της 17ης Μαρτίου.</w:t>
    </w:r>
  </w:p>
  <w:p w14:paraId="53C3F409" w14:textId="5B87674E" w:rsidR="00251439" w:rsidRPr="00C864A9" w:rsidRDefault="00251439" w:rsidP="00D214B0">
    <w:pPr>
      <w:pStyle w:val="Footer"/>
      <w:rPr>
        <w:i/>
        <w:sz w:val="15"/>
        <w:szCs w:val="15"/>
      </w:rPr>
    </w:pPr>
    <w:r>
      <w:rPr>
        <w:i/>
        <w:sz w:val="15"/>
      </w:rPr>
      <w:t>Έκδοση για δημόσια ενημέρωση στην Ευρώπη. Οκτώβριος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ΥΠΟΥΡΓΕΙΟ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ΑΝΑΠΤΥΞΗΣ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50A084F6"/>
    <w:lvl w:ilvl="0" w:tplc="5D4C802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030066D8"/>
    <w:lvl w:ilvl="0" w:tplc="5D4C802A">
      <w:start w:val="1"/>
      <mc:AlternateContent>
        <mc:Choice Requires="w14">
          <w:numFmt w:val="custom" w:format="α, β, γ, ..."/>
        </mc:Choice>
        <mc:Fallback>
          <w:numFmt w:val="decimal"/>
        </mc:Fallback>
      </mc:AlternateContent>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2D463A0E"/>
    <w:lvl w:ilvl="0" w:tplc="5D4C802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9AB0BBDC"/>
    <w:lvl w:ilvl="0" w:tplc="5D4C802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BE24D34"/>
    <w:lvl w:ilvl="0" w:tplc="5D4C802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28C"/>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0104"/>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CF3AB6"/>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7603</Words>
  <Characters>43341</Characters>
  <Application>Microsoft Office Word</Application>
  <DocSecurity>0</DocSecurity>
  <Lines>361</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2021-11-02T16:14:00Z</dcterms:modified>
</cp:coreProperties>
</file>