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114B6" w14:textId="63C93123" w:rsidR="005074AB" w:rsidRPr="00EA32C0" w:rsidRDefault="005074AB" w:rsidP="00EA32C0">
      <w:pPr>
        <w:jc w:val="both"/>
        <w:rPr>
          <w:rFonts w:cstheme="minorHAnsi"/>
          <w:b/>
        </w:rPr>
      </w:pPr>
      <w:r>
        <w:rPr>
          <w:b/>
        </w:rPr>
        <w:t>Förslag till kungligt dekret av den</w:t>
      </w:r>
      <w:r>
        <w:rPr>
          <w:b/>
        </w:rPr>
        <w:tab/>
        <w:t>, om ändring av de tekniska byggreglerna, godkänt genom kungligt dekret 314/2006 av den 17 Mars</w:t>
      </w:r>
    </w:p>
    <w:p w14:paraId="42548872" w14:textId="172DDCC5" w:rsidR="005074AB" w:rsidRPr="003934E5" w:rsidRDefault="005074AB" w:rsidP="005074AB">
      <w:pPr>
        <w:jc w:val="both"/>
        <w:rPr>
          <w:rFonts w:cstheme="minorHAnsi"/>
        </w:rPr>
      </w:pPr>
      <w:r>
        <w:t>I lag 38/1999 av den 5 november om byggnadsbestämmelser definieras tekniska byggregler (CTE) som ett regelverk som fastställer de grundläggande kvalitetskraven för byggnader och deras installationer och som gör det möjligt att uppfylla de grundläggande krav som fastställs i artikel 3. De tekniska byggreglerna (CTE) som föreskrivs i denna lag godkändes genom kungligt dekret 314/2006 av den 17 mars. De grundläggande dokument som ingår i del II i CTE anges och, i förekommande fall, kvantifiera de grundläggande krav som fastställs i del I genom fastställande av prestationsmålnivåer eller prestandagränser eller andra parametrar. Speciellt i det DB-HE grundläggande dokumentet ”Energisparande” specificeras och kvantifieras de energieffektivitetskrav som nybyggda byggnader ska uppfylla samt ingripanden i befintliga byggnader.</w:t>
      </w:r>
    </w:p>
    <w:p w14:paraId="400360D8" w14:textId="77777777" w:rsidR="005074AB" w:rsidRPr="003934E5" w:rsidRDefault="005074AB" w:rsidP="005074AB">
      <w:pPr>
        <w:jc w:val="both"/>
        <w:rPr>
          <w:rFonts w:cstheme="minorHAnsi"/>
        </w:rPr>
      </w:pPr>
      <w:r>
        <w:t>Den 30 maj 2018 antogs Europaparlamentets och rådets direktiv (EU) 2018/844 om ändring av direktiv 2010/31/EU om byggnaders energiprestanda och direktiv 2012/27/EU om energieffektivitet.</w:t>
      </w:r>
    </w:p>
    <w:p w14:paraId="0B5B2276" w14:textId="142A5C6B" w:rsidR="005A6E61" w:rsidRPr="003934E5" w:rsidRDefault="005074AB" w:rsidP="005A6E61">
      <w:pPr>
        <w:jc w:val="both"/>
        <w:rPr>
          <w:rFonts w:cstheme="minorHAnsi"/>
        </w:rPr>
      </w:pPr>
      <w:r>
        <w:t>I detta direktiv fastställs villkoren för att utveckla den minimiinfrastruktur som krävs för smart laddning av elfordon på parkeringsplatser i byggnader. Både byggsektorn och rörlighetssektorn ska därför vara strategiska områden för den övergripande utfasningen av fossila bränslen i ekonomin, med ett regelverk som syftar till att främja innovation, hållbarhet och energieffektivitet inom dessa sektorer.</w:t>
      </w:r>
    </w:p>
    <w:p w14:paraId="4245C855" w14:textId="1828DE90" w:rsidR="005A6E61" w:rsidRPr="003934E5" w:rsidRDefault="005A6E61" w:rsidP="005A6E61">
      <w:pPr>
        <w:jc w:val="both"/>
        <w:rPr>
          <w:rFonts w:cstheme="minorHAnsi"/>
        </w:rPr>
      </w:pPr>
      <w:r>
        <w:t>Utvecklingen av infrastruktur för smart laddning av elfordon kommer i sin tur att bidra till energihushållning och flexibilitet, användning av förnybar energi och förbättring av luftkvaliteten, och dess energiprestanda kommer att optimeras genom att byggnader blir mer digitala och ny teknik införlivas på fältet.</w:t>
      </w:r>
    </w:p>
    <w:p w14:paraId="45A016F5" w14:textId="74A214E6" w:rsidR="005A6E61" w:rsidRPr="003934E5" w:rsidRDefault="005A6E61" w:rsidP="005A6E61">
      <w:pPr>
        <w:jc w:val="both"/>
        <w:rPr>
          <w:rFonts w:cstheme="minorHAnsi"/>
        </w:rPr>
      </w:pPr>
      <w:r>
        <w:t xml:space="preserve">I den integrerade nationella energi- och klimatplan för 2021–2030 (PNIEC) som Spanien har lagt fram för Europeiska kommissionen planeras främjande av elmobilitet som en åtgärd för att minska energiförbrukningen och utsläppen från fordon genom anpassning av lagstiftningen och införlivande av EU-lagstiftning som möjliggör utbyggnad av laddningsinfrastruktur för elfordon i linje med utvecklingen av fordonsbeståndets elektrifiering, samt genom andra mekanismer för uppmuntran och stöd. </w:t>
      </w:r>
    </w:p>
    <w:p w14:paraId="3BF925DC" w14:textId="3FA9F544" w:rsidR="00A75681" w:rsidRPr="000E4F56" w:rsidRDefault="00C33374" w:rsidP="00A75681">
      <w:pPr>
        <w:jc w:val="both"/>
        <w:rPr>
          <w:rFonts w:cstheme="minorHAnsi"/>
        </w:rPr>
      </w:pPr>
      <w:r>
        <w:t>För att uppnå dessa mål och för att delvis införliva direktivet i detta avseende införs genom denna kungliga förordning i de tekniska byggreglerna ett nytt grundläggande energisparkrav avseende minimitilldelningen för laddningsinfrastruktur för elfordon, som håller på att utvecklas i det nya avsnittet HE 6 ”Minsta laddningsinfrastruktur för elfordon” i det grundläggande dokumentet om energisparande. För att säkerställa tillgänglighetsvillkoren för laddningsstationer på tillgängliga parkeringsplatser ändras grunddokumentet DB-SUA ”Säkerhet för användning och tillgänglighet”.</w:t>
      </w:r>
    </w:p>
    <w:p w14:paraId="7140FEE8" w14:textId="77777777" w:rsidR="00A75681" w:rsidRPr="000E4F56" w:rsidRDefault="00A75681" w:rsidP="00A75681">
      <w:pPr>
        <w:jc w:val="both"/>
      </w:pPr>
    </w:p>
    <w:p w14:paraId="3F754C26" w14:textId="778AE3BE" w:rsidR="00A75681" w:rsidRPr="000E4F56" w:rsidRDefault="00A75681" w:rsidP="00A75681">
      <w:pPr>
        <w:jc w:val="both"/>
        <w:rPr>
          <w:rFonts w:cstheme="minorHAnsi"/>
        </w:rPr>
      </w:pPr>
      <w:r>
        <w:t xml:space="preserve">I enlighet med bestämmelserna i lag 7/2021 av den 20 maj om klimatförändringar och energiomställning fastställs i en enda tilläggsbestämmelse i kungligt dekret 314/2006 av den 17 mars, genom vilken de tekniska byggreglerna godkänns, följande krav på minimibestämmelser </w:t>
      </w:r>
      <w:r>
        <w:lastRenderedPageBreak/>
        <w:t xml:space="preserve">för laddningsinfrastruktur för elfordon i befintliga byggnader som inte är avsedda för privat bruk och som har en parkeringsplats med mer än tjugo parkeringsplatser, antingen inne i eller i ett anvisat utomhusutrymme, och som inte omfattas av tillämpningsområdet för avsnitt HE6 i grunddokumentet om energisparande. I lag 7/2021 av den 20 maj om klimatförändringar och energiomställning fastställs skyldigheten att se till att denna bestämmelse som definieras i de tekniska byggreglerna träder i kraft före den 1 januari 2023. </w:t>
      </w:r>
    </w:p>
    <w:p w14:paraId="1192FDEB" w14:textId="77777777" w:rsidR="005074AB" w:rsidRPr="009064BC" w:rsidRDefault="005074AB" w:rsidP="005074AB">
      <w:pPr>
        <w:jc w:val="both"/>
        <w:rPr>
          <w:rFonts w:cstheme="minorHAnsi"/>
        </w:rPr>
      </w:pPr>
      <w:r>
        <w:t>För att komplettera regleringen av laddningsinfrastrukturer för elfordon ändras slutligen de kompletterande tekniska anvisningarna (ITC) BT-52 i den elektrotekniska lågspänningsförordningen, som godkändes genom kungligt dekret 1053/2014 av den 12 december, och andra kompletterande tekniska instruktioner ändras.</w:t>
      </w:r>
    </w:p>
    <w:p w14:paraId="53205125" w14:textId="62D4F2A6" w:rsidR="005A6E61" w:rsidRPr="009064BC" w:rsidRDefault="005074AB" w:rsidP="005A6E61">
      <w:pPr>
        <w:jc w:val="both"/>
        <w:rPr>
          <w:rFonts w:cstheme="minorHAnsi"/>
        </w:rPr>
      </w:pPr>
      <w:r>
        <w:t xml:space="preserve">Som en åtgärd för att främja förnybar energi, förbättra de produktiva sektorernas konkurrenskraft och få konsumenterna att bli mer delaktiga i förvaltningen av sin energi förutser PNIEC dessutom en utveckling av egenförbrukning med förnybar energi och distribuerad produktion i bostads- och affärsområden. </w:t>
      </w:r>
    </w:p>
    <w:p w14:paraId="4F23D1D3" w14:textId="56BE7436" w:rsidR="005074AB" w:rsidRPr="009064BC" w:rsidRDefault="005A6E61" w:rsidP="005074AB">
      <w:pPr>
        <w:jc w:val="both"/>
        <w:rPr>
          <w:rFonts w:cstheme="minorHAnsi"/>
        </w:rPr>
      </w:pPr>
      <w:r>
        <w:t xml:space="preserve">I detta avseende har godkännandet av kungligt dekret 244/2019 av den 5 april, som reglerar de administrativa, tekniska och ekonomiska villkoren för egenförbrukning av el, bland annat möjliggjort kollektiv egenförbrukning och samtidigt minskat de administrativa förfarandena för genomförande av egenförbrukning. Det anses därför att den nuvarande rättsliga ramen gör det möjligt att utvidga tillämpningsområdet för det grundläggande kravet HE 5 avseende minimiproduktion av el både genom att göra det tillämpligt i byggnader för privat bruk och genom att sänka tröskeln för byggd yta i byggnader för alla användningsområden som kravet gäller. </w:t>
      </w:r>
    </w:p>
    <w:p w14:paraId="2C3560FF" w14:textId="60FA6548" w:rsidR="005074AB" w:rsidRDefault="005074AB" w:rsidP="005074AB">
      <w:pPr>
        <w:jc w:val="both"/>
        <w:rPr>
          <w:rFonts w:cstheme="minorHAnsi"/>
        </w:rPr>
      </w:pPr>
      <w:r>
        <w:t>Efter att ha noterat fel och felskrivningar i kungligt dekret 732/2019 av den 20 december om ändring av de tekniska byggreglerna, godkända genom kungligt dekret 314/2006 av den 17 mars, offentliggjord i ”BOE” nr 311 av den 27 december 2019, görs dessutom lämpliga korrigeringar. För att klargöra tillämpningssättet för grunddokumentet DB-HE om energisparande efter uppdateringen genom ovannämnda kungliga förordning 732/2019, anses det nödvändigt att ändra ordalydelsen i vissa avsnitt i avsnitt HE 1 om villkor för kontroll av energiefterfrågan och bilaga A om terminologi i ovannämnda grunddokument.</w:t>
      </w:r>
    </w:p>
    <w:p w14:paraId="010C68C8" w14:textId="6D1CCB96" w:rsidR="00E26B23" w:rsidRDefault="00E26B23" w:rsidP="00B65F28">
      <w:pPr>
        <w:jc w:val="both"/>
        <w:rPr>
          <w:rFonts w:cstheme="minorHAnsi"/>
          <w:bCs/>
        </w:rPr>
      </w:pPr>
      <w:r>
        <w:t xml:space="preserve">Ändringen av de tekniska reglerna avseende införlivandet av det nya avsnittet HE 6 ”Minimibestämmelser för laddningsinfrastruktur för elfordon” i grunddokumentet om energisparande, samt ändringen av kungligt dekret 1053/2014 av den 12 december, som godkänner en ny kompletterande teknisk instruktion (ITC) BT 52 som ingår i den första slutbestämmelsen och den enda tilläggsbestämmelsen till kungligt dekret 314/2006 av den 17 mars, som godkänner tekniska byggregler, ingår i de rättsliga reformer som planeras i planen för återhämtning, omvandling och resiliens (PRTR). Särskilt del 1 i PRTR om ”Hållbar, säker och uppkopplad chockplan för rörlighet i stads- och storstadsmiljöer” avser godkännandet av denna kungliga förordning om genomförande av ovannämnda rättsliga reformer inom C1.R1-reformen, kallad ”Plan för utbyggnad av laddningsinfrastruktur och främjande av elfordon”.  C1.R1-reformen är utformad som en rättslig, reglering och strategisk ram för att underlätta utbyggnaden av laddningsinfrastruktur för att främja elfordon i Spanien och har två milstolpar. Den första utgörs av förordning TMA/178/2020 av den 19 februari om ändring av förordningen av den 16 december 1997, som reglerar tillträde till statliga vägar, servicevägar och uppförande </w:t>
      </w:r>
      <w:r>
        <w:lastRenderedPageBreak/>
        <w:t xml:space="preserve">av anläggningar för tjänster, och genom kungligt lagdekret 23/2020 av den 23 juni, som godkänner åtgärder på energiområdet och andra områden för ekonomisk reaktivering. Den andra milstolpen i C1.R1-reformen omfattar godkännandet av detta kungliga dekret om ändring av lagen om teknisk byggnad och kungligt dekret 1053/2014 av den 12 december om godkännande av en ny kompletterande teknisk instruktion (ITC) BT 52.  Reform C1.R1 är kopplad till investering C1.I2 ”Incitamentplan för installation av laddningsstationer, förvärv av el- och bränslecellsfordon och innovation inom elektromobilitet, laddning och grön vätgas.” Denna investering omfattar stöd till installation av laddningsstationer enligt kungligt dekret 266/2021 av den 13 april om godkännande av direkt beviljande av stöd till de autonoma regionerna och städerna Ceuta och Melilla för genomförande av stimulansprogram med koppling till elmobilitet (MOVES III) inom ramen för PRTR. </w:t>
      </w:r>
    </w:p>
    <w:p w14:paraId="65C24996" w14:textId="1073EF13" w:rsidR="003F7C25" w:rsidRPr="001C78CB" w:rsidRDefault="003F7C25" w:rsidP="005074AB">
      <w:pPr>
        <w:jc w:val="both"/>
        <w:rPr>
          <w:rFonts w:cstheme="minorHAnsi"/>
          <w:bCs/>
          <w:i/>
          <w:iCs/>
        </w:rPr>
      </w:pPr>
      <w:r>
        <w:t xml:space="preserve">Detta kungliga dekret respekterar principen om att inte orsaka betydande skada (DNSH) och villkoren för klimatmärkning och digital märkning, i enlighet med bestämmelserna i registret, Europaparlamentets och rådets förordning (EU/2021/241 av den 12 februari 2021 om inrättande av en mekanism för resiliens och återhämtning) och dess genomförandelagstiftning, särskilt kommissionens meddelande om teknisk vägledning om tillämpningen av principen om att inte orsaka betydande skada enligt förordningen om en mekanism för resiliens och återhämtning, samt kraven i rådets genomförandebeslut om godkännande av utvärderingen av den spanska planen för återhämtning, omvandling och resiliens. Detta inbegriper överensstämmelse med de särskilda villkor som anges i del 1 och i reform 1 som denna kungliga förordning är utformad i, både när det gäller principen om att inte orsaka betydande skada och klimatmärkning och digital märkning, särskilt de som anges i avsnitten 3, 6 och 8 i dokumentet om PRTR-komponenten. Investeringar i PRTR, C1.I2, i samband med reform C1.R1, respekterar också principen om att ingen betydande skada på miljön och villkoren för klimatmärkning och digital märkning. </w:t>
      </w:r>
    </w:p>
    <w:p w14:paraId="16D6EC35" w14:textId="6F02251C" w:rsidR="005074AB" w:rsidRPr="009064BC" w:rsidRDefault="005074AB" w:rsidP="005074AB">
      <w:pPr>
        <w:ind w:left="13"/>
        <w:jc w:val="both"/>
        <w:rPr>
          <w:rFonts w:cstheme="minorHAnsi"/>
        </w:rPr>
      </w:pPr>
      <w:r>
        <w:t>Detta kungliga dekret är förenligt med principerna om nödvändighet, effektivitet, proportionalitet, rättssäkerhet, öppenhet och effektivitet som fastställs i artikel 129 i lag 39/2015 av den 1 oktober om det gemensamma administrativa förfarandet för offentliga förvaltningar. När det gäller principerna om nödvändighet och effektivitet svarar lagen mot skyldigheten att införliva EU-direktiv i nationell lagstiftning och är i linje med mål av allmänt intresse, såsom anpassning av byggnadsinfrastruktur för att främja hållbar rörlighet och användning av förnybar energi. Detta kommer att leda till välfärd i samhället och skydda miljön. Denna kungliga förordning är också förenlig med proportionalitetsprincipen, eftersom den tillhandahåller nödvändiga och tillräckliga medel för att genomföra det rättsliga mandat som föreskrivs i direktivet, men kräver inte någon innovation som kan vara onödig eller gå utöver rättsliga krav och inte heller medföra en inskränkning av medborgarnas rättigheter. Denna förordning uppfyller rättssäkerhetsprincipen, eftersom den har utarbetats i enlighet med de förfaranden som anges i regeringens lag nr 50/1997 av den 27 november 1997 och principen om öppenhet, eftersom den tydligt anger dess syfte och dess offentligt tillgängliga motivering förklarar dess innehåll fullt ut. Slutligen uppfyller den också effektivitetsprincipen eftersom den inte medför någon administrativ börda.</w:t>
      </w:r>
    </w:p>
    <w:p w14:paraId="4E30715D" w14:textId="77777777" w:rsidR="005074AB" w:rsidRPr="009064BC" w:rsidRDefault="005074AB" w:rsidP="005074AB">
      <w:pPr>
        <w:jc w:val="both"/>
        <w:rPr>
          <w:rFonts w:cstheme="minorHAnsi"/>
        </w:rPr>
      </w:pPr>
      <w:r>
        <w:t xml:space="preserve">Denna allmänna bestämmelse har varit föremål för det informationsförfarande om tekniska föreskrifter och föreskrifter om informationssamhällets tjänster som föreskrivs i </w:t>
      </w:r>
      <w:r>
        <w:lastRenderedPageBreak/>
        <w:t>Europaparlamentets och rådets direktiv (EU) 2015/1535 av den 9 september 2015 och i kungligt dekret 1337/1999 av den 31 juli 1999.</w:t>
      </w:r>
    </w:p>
    <w:p w14:paraId="533AAB8D" w14:textId="741A459B" w:rsidR="003C546E" w:rsidRDefault="003C546E" w:rsidP="003C546E">
      <w:pPr>
        <w:jc w:val="both"/>
        <w:rPr>
          <w:rFonts w:cstheme="minorHAnsi"/>
        </w:rPr>
      </w:pPr>
      <w:r>
        <w:t>På förslag av ministern för transport, rörlighet och stadsutveckling och den tredje vice premiärministern och ministern för den ekologiska omställningen och den demografiska utmaningen, i samförstånd med statsrådet och efter överläggningar i ministerrådet vid dess möte om</w:t>
      </w:r>
    </w:p>
    <w:p w14:paraId="72CBBED7" w14:textId="7C56F995" w:rsidR="003C546E" w:rsidRPr="009064BC" w:rsidRDefault="003C546E" w:rsidP="005074AB">
      <w:pPr>
        <w:jc w:val="both"/>
        <w:rPr>
          <w:rFonts w:cstheme="minorHAnsi"/>
        </w:rPr>
      </w:pPr>
    </w:p>
    <w:p w14:paraId="02FFC445" w14:textId="386EF3CB" w:rsidR="005074AB" w:rsidRPr="009F5D1D" w:rsidRDefault="005074AB" w:rsidP="005074AB">
      <w:pPr>
        <w:jc w:val="center"/>
        <w:rPr>
          <w:rFonts w:cstheme="minorHAnsi"/>
          <w:spacing w:val="30"/>
        </w:rPr>
      </w:pPr>
      <w:r>
        <w:t>FÖRESKRIVS HÄRIGENOM FÖLJANDE:</w:t>
      </w:r>
    </w:p>
    <w:p w14:paraId="29194849" w14:textId="17EA67F9" w:rsidR="005074AB" w:rsidRPr="0033081E" w:rsidRDefault="002A5A94" w:rsidP="005074AB">
      <w:pPr>
        <w:jc w:val="both"/>
        <w:rPr>
          <w:rFonts w:cstheme="minorHAnsi"/>
          <w:bCs/>
          <w:i/>
          <w:iCs/>
        </w:rPr>
      </w:pPr>
      <w:r>
        <w:t xml:space="preserve">En artikel. </w:t>
      </w:r>
      <w:r>
        <w:rPr>
          <w:i/>
        </w:rPr>
        <w:t xml:space="preserve"> Ändring av de tekniska byggnadsreglerna (CTE), godkänd genom kungligt dekret 314/2006 av den 17 mars 2006.</w:t>
      </w:r>
    </w:p>
    <w:p w14:paraId="49F6DB5C" w14:textId="77777777" w:rsidR="005074AB" w:rsidRPr="009064BC" w:rsidRDefault="005074AB" w:rsidP="005074AB">
      <w:pPr>
        <w:jc w:val="both"/>
        <w:rPr>
          <w:rFonts w:cstheme="minorHAnsi"/>
        </w:rPr>
      </w:pPr>
      <w:r>
        <w:t>Kungligt dekret 314/2006 av den 17 mars 2006 om godkännande av de tekniska byggnadsreglerna (CTE) ska ändras på följande sätt:</w:t>
      </w:r>
    </w:p>
    <w:p w14:paraId="1E4A23CD" w14:textId="3CA20F16" w:rsidR="005074AB" w:rsidRPr="009064BC" w:rsidRDefault="005074AB" w:rsidP="005074AB">
      <w:pPr>
        <w:ind w:left="567" w:hanging="567"/>
        <w:jc w:val="both"/>
        <w:rPr>
          <w:rFonts w:cstheme="minorHAnsi"/>
        </w:rPr>
      </w:pPr>
      <w:r>
        <w:t>Ett. Del I i de tekniska byggnadsreglerna ska ändras på följande sätt:</w:t>
      </w:r>
    </w:p>
    <w:p w14:paraId="7B36765A" w14:textId="6C7BF234" w:rsidR="006B44D8" w:rsidRPr="009064BC" w:rsidRDefault="006B44D8" w:rsidP="0033081E">
      <w:pPr>
        <w:ind w:left="142" w:hanging="142"/>
        <w:jc w:val="both"/>
        <w:rPr>
          <w:rFonts w:cstheme="minorHAnsi"/>
        </w:rPr>
      </w:pPr>
      <w:r>
        <w:t>— I innehållsförteckningen namnet «15.6. Grundläggande krav HE5: Minsta elproduktion ska ha följande lydelse:</w:t>
      </w:r>
    </w:p>
    <w:p w14:paraId="750B02FB" w14:textId="5E773080" w:rsidR="006B44D8" w:rsidRPr="009064BC" w:rsidRDefault="006B44D8" w:rsidP="00F11565">
      <w:pPr>
        <w:ind w:left="426"/>
        <w:jc w:val="both"/>
        <w:rPr>
          <w:rFonts w:cstheme="minorHAnsi"/>
        </w:rPr>
      </w:pPr>
      <w:r>
        <w:t>«15.6. Grundläggande krav HE 5: Avsnitt HE5 Minimiproduktion av el från förnybara energikällor.»</w:t>
      </w:r>
    </w:p>
    <w:p w14:paraId="0B75EAC4" w14:textId="77777777" w:rsidR="006B44D8" w:rsidRPr="009064BC" w:rsidRDefault="006B44D8" w:rsidP="006B44D8">
      <w:pPr>
        <w:numPr>
          <w:ilvl w:val="0"/>
          <w:numId w:val="9"/>
        </w:numPr>
        <w:ind w:left="142" w:hanging="142"/>
        <w:jc w:val="both"/>
        <w:rPr>
          <w:rFonts w:cstheme="minorHAnsi"/>
        </w:rPr>
      </w:pPr>
      <w:r>
        <w:t>En ytterligare punkt med följande text ska införas i hänvisningen till artikel 15 i indexet:</w:t>
      </w:r>
    </w:p>
    <w:p w14:paraId="1C1AB680" w14:textId="1D8C7D23" w:rsidR="006B44D8" w:rsidRPr="009064BC" w:rsidRDefault="007E461E" w:rsidP="00F11565">
      <w:pPr>
        <w:ind w:left="426"/>
        <w:jc w:val="both"/>
        <w:rPr>
          <w:rFonts w:cstheme="minorHAnsi"/>
        </w:rPr>
      </w:pPr>
      <w:r>
        <w:t>«15.7. Grundläggande krav HE6: Minimiinfrastruktur för laddning av elfordon.</w:t>
      </w:r>
    </w:p>
    <w:p w14:paraId="03B3513D" w14:textId="1133ED17" w:rsidR="001E31F3" w:rsidRPr="002C30D6" w:rsidRDefault="005074AB" w:rsidP="005074AB">
      <w:pPr>
        <w:numPr>
          <w:ilvl w:val="0"/>
          <w:numId w:val="9"/>
        </w:numPr>
        <w:ind w:left="142" w:hanging="142"/>
        <w:jc w:val="both"/>
        <w:rPr>
          <w:rFonts w:cstheme="minorHAnsi"/>
        </w:rPr>
      </w:pPr>
      <w:r>
        <w:t>Kapitel 3, artikel 15, punkt 15.6 ändras på följande sätt:</w:t>
      </w:r>
    </w:p>
    <w:p w14:paraId="1E36A006" w14:textId="3C6E29CB" w:rsidR="001E31F3" w:rsidRPr="009064BC" w:rsidRDefault="00F11565" w:rsidP="00F11565">
      <w:pPr>
        <w:pStyle w:val="ListParagraph"/>
        <w:ind w:left="426"/>
        <w:jc w:val="both"/>
        <w:rPr>
          <w:rFonts w:cstheme="minorHAnsi"/>
        </w:rPr>
      </w:pPr>
      <w:r>
        <w:t>‘15.6 Grundläggande krav HE 5: Minimiproduktion av el från förnybara energikällor.</w:t>
      </w:r>
    </w:p>
    <w:p w14:paraId="4799EB9C" w14:textId="22AE3D4A" w:rsidR="001E31F3" w:rsidRPr="009064BC" w:rsidRDefault="001B0467" w:rsidP="00F11565">
      <w:pPr>
        <w:ind w:left="426"/>
        <w:jc w:val="both"/>
        <w:rPr>
          <w:rFonts w:cstheme="minorHAnsi"/>
        </w:rPr>
      </w:pPr>
      <w:r>
        <w:t>Byggnader ska ha system för elproduktion från förnybara källor för eget bruk eller för försörjning för nätet.”</w:t>
      </w:r>
    </w:p>
    <w:p w14:paraId="799517C6" w14:textId="6A449415" w:rsidR="005074AB" w:rsidRPr="009064BC" w:rsidRDefault="001E31F3" w:rsidP="005074AB">
      <w:pPr>
        <w:numPr>
          <w:ilvl w:val="0"/>
          <w:numId w:val="9"/>
        </w:numPr>
        <w:ind w:left="142" w:hanging="142"/>
        <w:jc w:val="both"/>
        <w:rPr>
          <w:rFonts w:cstheme="minorHAnsi"/>
        </w:rPr>
      </w:pPr>
      <w:r>
        <w:t>Följande ska införas i slutet av artikel 15:</w:t>
      </w:r>
    </w:p>
    <w:p w14:paraId="67BDEE2E" w14:textId="77777777" w:rsidR="005074AB" w:rsidRPr="009064BC" w:rsidRDefault="005074AB" w:rsidP="00F11565">
      <w:pPr>
        <w:ind w:left="426"/>
        <w:jc w:val="both"/>
        <w:rPr>
          <w:rFonts w:cstheme="minorHAnsi"/>
        </w:rPr>
      </w:pPr>
      <w:r>
        <w:t>«15.7 Grundkrav HE 6: Minimiinfrastruktur för laddning av elfordon.</w:t>
      </w:r>
    </w:p>
    <w:p w14:paraId="7C67403C" w14:textId="535BDE0B" w:rsidR="005074AB" w:rsidRDefault="005074AB" w:rsidP="00F11565">
      <w:pPr>
        <w:ind w:left="426"/>
        <w:jc w:val="both"/>
        <w:rPr>
          <w:rFonts w:cstheme="minorHAnsi"/>
        </w:rPr>
      </w:pPr>
      <w:r>
        <w:t>Byggnader ska ha en minimiinfrastruktur som möjliggör laddning av elfordon.”</w:t>
      </w:r>
    </w:p>
    <w:p w14:paraId="6F674517" w14:textId="77777777" w:rsidR="002A5A94" w:rsidRPr="000E4F56" w:rsidRDefault="002A5A94" w:rsidP="002A5A94">
      <w:pPr>
        <w:pStyle w:val="ListParagraph"/>
        <w:numPr>
          <w:ilvl w:val="0"/>
          <w:numId w:val="9"/>
        </w:numPr>
        <w:ind w:left="142" w:hanging="142"/>
        <w:jc w:val="both"/>
        <w:rPr>
          <w:rFonts w:cstheme="minorHAnsi"/>
        </w:rPr>
      </w:pPr>
      <w:r>
        <w:t>Följande tilläggsbestämmelse ska infogas:</w:t>
      </w:r>
    </w:p>
    <w:p w14:paraId="2417D1DC" w14:textId="3DAEE52F" w:rsidR="002A5A94" w:rsidRPr="0033081E" w:rsidRDefault="002A5A94" w:rsidP="002A5A94">
      <w:pPr>
        <w:ind w:left="426"/>
        <w:jc w:val="both"/>
        <w:rPr>
          <w:rFonts w:cstheme="minorHAnsi"/>
          <w:bCs/>
          <w:i/>
          <w:iCs/>
        </w:rPr>
      </w:pPr>
      <w:r>
        <w:t xml:space="preserve">”Enskild tilläggsbestämmelse. </w:t>
      </w:r>
      <w:r>
        <w:rPr>
          <w:i/>
        </w:rPr>
        <w:t>Minimiinfrastruktur för laddning av elfordon i byggnader för annan användning än privata bostadshus med mer än tjugo parkeringsplatser.</w:t>
      </w:r>
    </w:p>
    <w:p w14:paraId="71CE31DD" w14:textId="72E1754E" w:rsidR="0067270E" w:rsidRPr="008F4D49" w:rsidRDefault="0067270E" w:rsidP="0067270E">
      <w:pPr>
        <w:ind w:left="426"/>
        <w:jc w:val="both"/>
      </w:pPr>
      <w:r>
        <w:t>I enlighet med bestämmelserna i lag 7/2021 av den 20 maj om klimatförändringar och energiomställning innan 1 januari 2023, ska alla byggnader för annan användning än privat bruk som har en parkeringsplats med mer än tjugo parkeringsplatser, antingen inne i eller i en avsedd utomhusplats, ha följande minimiinfrastruktur för laddning av elfordon:</w:t>
      </w:r>
    </w:p>
    <w:p w14:paraId="2339A7CE" w14:textId="2F683544" w:rsidR="0067270E" w:rsidRPr="00DC3EE9" w:rsidRDefault="0067270E" w:rsidP="00675D0E">
      <w:pPr>
        <w:ind w:left="426"/>
        <w:jc w:val="both"/>
        <w:rPr>
          <w:rFonts w:cstheme="minorHAnsi"/>
        </w:rPr>
      </w:pPr>
      <w:r>
        <w:t xml:space="preserve">— i allmänhet ska en laddningsstation installeras för varje 40 parkeringsplatser eller motsvarande upp till 1 000 utrymmen, och en ytterligare laddningsstation för varje </w:t>
      </w:r>
      <w:r>
        <w:lastRenderedPageBreak/>
        <w:t>ytterligare 100 utrymmen eller motsvarande. Alternativt ska kommunalt tillstånd eller tillstånd för det arbete som krävs för att utföra denna laddningsinfrastruktur begäras eller, om byggnadens ägare omfattas av lag 9/2017 av den 8 november, om offentlig upphandling, genom vilken Europaparlamentets och rådets direktiv 2014/23/EU och 2014/24/EU av den 26 februari 2014 införlivas med spansk rätt, anbudsförfarandet för nämnda arbete eller det projekt eller tekniska dokument som krävs för att definiera detsamma ska inledas genom ett tillkännagivande på motsvarande avtalsplattform</w:t>
      </w:r>
      <w:bookmarkStart w:id="0" w:name="_Hlk74840570"/>
      <w:r>
        <w:t>. Bygg- och anläggningsarbeten som har gjorts officiella genom ansökan om kommunalt tillstånd eller auktorisation ska påbörjas inom den maximala giltighetstiden enligt gällande föreskrifter och, om så inte är fallet, inom sex månader från den dag då tillståndet beviljades. Bygg- och anläggningsarbeten som har gjorts officiella när anbudsförfarandet inleds eller när projektet eller det tekniska dokument som definierar dem inleds ska påbörjas inom den maximala giltighetstiden för tillståndets verkan, kommunalt tillstånd eller motsvarande eller, om detta inte är möjligt, inom sex månader från den dag då det beviljades.</w:t>
      </w:r>
    </w:p>
    <w:bookmarkEnd w:id="0"/>
    <w:p w14:paraId="58AB7358" w14:textId="65977551" w:rsidR="00F90C96" w:rsidRPr="008F4D49" w:rsidRDefault="0067270E" w:rsidP="00EA32C0">
      <w:pPr>
        <w:ind w:left="426"/>
        <w:jc w:val="both"/>
        <w:rPr>
          <w:rFonts w:cstheme="minorHAnsi"/>
        </w:rPr>
      </w:pPr>
      <w:r>
        <w:t>— i byggnader som ägs av statens allmänna förvaltning eller av offentliga organ som är knutna till eller tillhör denna ska en laddningsstation installeras för varje 20 parkeringsplatser eller motsvarande upp till 500 platser, och en ytterligare laddningsstation för varje ytterligare 100 utrymmen eller motsvarande, eller alternativt ska anbudsförfarandet för bygg- och anläggningsarbetena eller det projekt eller tekniska dokument som krävs för att definiera arbetena inledas genom ett tillkännagivande på den relevanta upphandlingsplattformen. Bygg- och anläggningsarbeten som har gjorts officiella när anbudsförfarandet inleds eller när projektet eller det tekniska dokument som definierar dem inleds ska påbörjas inom den maximala giltighetstiden för tillståndets verkan, kommunalt tillstånd eller motsvarande eller, om detta inte är möjligt, inom sex månader från den dag då det beviljades.</w:t>
      </w:r>
    </w:p>
    <w:p w14:paraId="354182C6" w14:textId="54A09FDC" w:rsidR="002A5A94" w:rsidRPr="00BA4C0D" w:rsidRDefault="002A5A94" w:rsidP="00210EA2">
      <w:pPr>
        <w:ind w:left="426"/>
        <w:jc w:val="both"/>
      </w:pPr>
      <w:r>
        <w:t>Officiellt skyddade byggnader är undantagna från dessa skyldigheter på grund av att de ingår i en deklarerad miljö eller på grund av deras särskilda arkitektoniska eller historiska värde, i den mån uppfyllandet av kravet på ett orimligt sätt kan förändra deras karaktär eller utseende, och det ska vara den officiella skyddsmyndigheten som fastställer de oföränderliga delarna.</w:t>
      </w:r>
    </w:p>
    <w:p w14:paraId="0662362C" w14:textId="0FC45639" w:rsidR="002A5A94" w:rsidRPr="0062182D" w:rsidRDefault="002A5A94" w:rsidP="0062182D">
      <w:pPr>
        <w:pStyle w:val="ListParagraph"/>
        <w:ind w:left="426"/>
        <w:jc w:val="both"/>
        <w:rPr>
          <w:rFonts w:cstheme="minorHAnsi"/>
        </w:rPr>
      </w:pPr>
      <w:r>
        <w:t>Denna infrastruktur för laddning av elfordon kommer att uppfylla bestämmelserna i kungligt dekret 842/2002 av den 2 augusti, som godkänner den elektrotekniska föreskriften för lågspänning och dess kompletterande tekniska instruktion (ITC) BT 52 ”Installationer för särskilda ändamål. Laddningsinfrastruktur för elfordon samt bestämmelserna i avsnitt 4. ”Motivering av kravet” och 5. ”Konstruktion, upprätthållande och underhåll” i avsnitt HE 6 ”Minsta laddningsinfrastruktur för elfordon” i grunddokumentet DB-HE ”Energisparande”.”</w:t>
      </w:r>
    </w:p>
    <w:p w14:paraId="0769E30E" w14:textId="6A51451B" w:rsidR="0033081E" w:rsidRPr="008F4D49" w:rsidRDefault="005074AB" w:rsidP="00D47CC2">
      <w:pPr>
        <w:jc w:val="both"/>
        <w:rPr>
          <w:rFonts w:cstheme="minorHAnsi"/>
        </w:rPr>
      </w:pPr>
      <w:r>
        <w:t xml:space="preserve">Två. Det grundläggande dokument DB-HE ”Energisparande” som ingår i del II i de tekniska byggreglerna ändras genom att avsnitt HE 6 ”Minsta laddningsinfrastruktur för elfordon” införlivas i bilaga I till denna kungliga förordning. </w:t>
      </w:r>
    </w:p>
    <w:p w14:paraId="5DC46FAC" w14:textId="4A465EFF" w:rsidR="005074AB" w:rsidRPr="008F4D49" w:rsidRDefault="005074AB" w:rsidP="005074AB">
      <w:pPr>
        <w:spacing w:after="162"/>
        <w:ind w:left="13"/>
        <w:jc w:val="both"/>
        <w:rPr>
          <w:rFonts w:cstheme="minorHAnsi"/>
        </w:rPr>
      </w:pPr>
      <w:r>
        <w:t>Följande ändringar görs också i grunddokumentet DB-HE:</w:t>
      </w:r>
    </w:p>
    <w:p w14:paraId="53FD09BA" w14:textId="1FBEE4B0" w:rsidR="005074AB" w:rsidRPr="009064BC" w:rsidRDefault="005074AB" w:rsidP="006424FF">
      <w:pPr>
        <w:numPr>
          <w:ilvl w:val="0"/>
          <w:numId w:val="13"/>
        </w:numPr>
        <w:spacing w:after="162"/>
        <w:ind w:left="720" w:hanging="295"/>
        <w:jc w:val="both"/>
        <w:rPr>
          <w:rFonts w:cstheme="minorHAnsi"/>
        </w:rPr>
      </w:pPr>
      <w:r>
        <w:lastRenderedPageBreak/>
        <w:t>I första underparagrafen i avsnittet ”I Ämne” i ”Inledning” i meningen ”Avsnitten i detta budgetförslag motsvarar de grundläggande kraven HE 0 a till HE 5” i stället för ”HE 5” ska ”HE 6” anges.</w:t>
      </w:r>
    </w:p>
    <w:p w14:paraId="7957EC48" w14:textId="441BEE49" w:rsidR="006F5E38" w:rsidRPr="009064BC" w:rsidRDefault="006F5E38" w:rsidP="006424FF">
      <w:pPr>
        <w:numPr>
          <w:ilvl w:val="0"/>
          <w:numId w:val="13"/>
        </w:numPr>
        <w:spacing w:after="162"/>
        <w:ind w:left="720" w:hanging="295"/>
        <w:jc w:val="both"/>
        <w:rPr>
          <w:rFonts w:cstheme="minorHAnsi"/>
        </w:rPr>
      </w:pPr>
      <w:r>
        <w:t>I avsnitt I ”Syfte” i ”Inledning” ska hänvisningen till artikel 15.6 i del I i kommittén ändras till följande:</w:t>
      </w:r>
    </w:p>
    <w:p w14:paraId="5F1636DD" w14:textId="77777777" w:rsidR="006F5E38" w:rsidRPr="009064BC" w:rsidRDefault="006F5E38" w:rsidP="009064BC">
      <w:pPr>
        <w:pStyle w:val="ListParagraph"/>
        <w:ind w:left="709"/>
        <w:contextualSpacing w:val="0"/>
        <w:jc w:val="both"/>
        <w:rPr>
          <w:rFonts w:cstheme="minorHAnsi"/>
        </w:rPr>
      </w:pPr>
      <w:r>
        <w:t>«15.6 Grundkrav HE 5: Minimiproduktion av el från förnybara energikällor.</w:t>
      </w:r>
    </w:p>
    <w:p w14:paraId="6BB983CA" w14:textId="72439AD8" w:rsidR="006F5E38" w:rsidRPr="009064BC" w:rsidRDefault="006F5E38" w:rsidP="009064BC">
      <w:pPr>
        <w:pStyle w:val="ListParagraph"/>
        <w:spacing w:after="162"/>
        <w:ind w:left="709"/>
        <w:contextualSpacing w:val="0"/>
        <w:jc w:val="both"/>
        <w:rPr>
          <w:rFonts w:cstheme="minorHAnsi"/>
        </w:rPr>
      </w:pPr>
      <w:r>
        <w:t>Byggnader ska ha system för elproduktion från förnybara källor för eget bruk eller för försörjning för nätet.”</w:t>
      </w:r>
    </w:p>
    <w:p w14:paraId="2D6B0228" w14:textId="7AFD12CA" w:rsidR="005074AB" w:rsidRPr="009064BC" w:rsidRDefault="005074AB" w:rsidP="006424FF">
      <w:pPr>
        <w:numPr>
          <w:ilvl w:val="0"/>
          <w:numId w:val="13"/>
        </w:numPr>
        <w:spacing w:after="162"/>
        <w:ind w:left="720" w:hanging="295"/>
        <w:jc w:val="both"/>
        <w:rPr>
          <w:rFonts w:cstheme="minorHAnsi"/>
        </w:rPr>
      </w:pPr>
      <w:r>
        <w:t>I avsnitt I ”Syfte” i ”Inledningen” ska en ytterligare punkt införas i hänvisningen till artikel 15 i del I i den gemensamma tekniska kommittén i slutet av den gemensamma utvärderingsenheten, med följande text:</w:t>
      </w:r>
    </w:p>
    <w:p w14:paraId="7D3E8D59" w14:textId="77777777" w:rsidR="005074AB" w:rsidRPr="009064BC" w:rsidRDefault="005074AB" w:rsidP="006424FF">
      <w:pPr>
        <w:ind w:left="709"/>
        <w:jc w:val="both"/>
        <w:rPr>
          <w:rFonts w:cstheme="minorHAnsi"/>
        </w:rPr>
      </w:pPr>
      <w:r>
        <w:t>«15.7. Grundläggande krav HE 6: Minimiinfrastruktur för laddning av elfordon.</w:t>
      </w:r>
    </w:p>
    <w:p w14:paraId="63C180D9" w14:textId="77777777" w:rsidR="005074AB" w:rsidRPr="009064BC" w:rsidRDefault="005074AB" w:rsidP="006424FF">
      <w:pPr>
        <w:ind w:left="709"/>
        <w:jc w:val="both"/>
        <w:rPr>
          <w:rFonts w:cstheme="minorHAnsi"/>
        </w:rPr>
      </w:pPr>
      <w:r>
        <w:t>Byggnader ska ha en minimiinfrastruktur som möjliggör laddning av elfordon.”</w:t>
      </w:r>
    </w:p>
    <w:p w14:paraId="2CCB9F35" w14:textId="1C8D3E4F" w:rsidR="001B0467" w:rsidRPr="009064BC" w:rsidRDefault="001B0467" w:rsidP="006424FF">
      <w:pPr>
        <w:numPr>
          <w:ilvl w:val="0"/>
          <w:numId w:val="13"/>
        </w:numPr>
        <w:ind w:left="720" w:hanging="294"/>
        <w:jc w:val="both"/>
        <w:rPr>
          <w:rFonts w:cstheme="minorHAnsi"/>
        </w:rPr>
      </w:pPr>
      <w:r>
        <w:t>I innehållsförteckningen ska rubriken på avsnitt HE 5 ändras på följande sätt:</w:t>
      </w:r>
    </w:p>
    <w:p w14:paraId="7DC0F11B" w14:textId="4E9858DC" w:rsidR="001B0467" w:rsidRPr="009064BC" w:rsidRDefault="001B0467" w:rsidP="001B0467">
      <w:pPr>
        <w:pStyle w:val="ListParagraph"/>
        <w:ind w:left="709"/>
        <w:jc w:val="both"/>
        <w:rPr>
          <w:rFonts w:cstheme="minorHAnsi"/>
        </w:rPr>
      </w:pPr>
      <w:r>
        <w:t>«Avsnitt HE 5 Minimiproduktion av elektrisk energi från förnybara energikällor.»</w:t>
      </w:r>
    </w:p>
    <w:p w14:paraId="1178E5DE" w14:textId="4953BECD" w:rsidR="005074AB" w:rsidRPr="009064BC" w:rsidRDefault="005074AB" w:rsidP="006424FF">
      <w:pPr>
        <w:numPr>
          <w:ilvl w:val="0"/>
          <w:numId w:val="13"/>
        </w:numPr>
        <w:ind w:left="720" w:hanging="294"/>
        <w:jc w:val="both"/>
        <w:rPr>
          <w:rFonts w:cstheme="minorHAnsi"/>
        </w:rPr>
      </w:pPr>
      <w:r>
        <w:t>En ytterligare punkt med följande text ska införas i hänvisningen till artikel 15 i indexet:</w:t>
      </w:r>
    </w:p>
    <w:p w14:paraId="661731BD" w14:textId="47ED1513" w:rsidR="005074AB" w:rsidRPr="009064BC" w:rsidRDefault="00982E58" w:rsidP="00982E58">
      <w:pPr>
        <w:tabs>
          <w:tab w:val="left" w:pos="7938"/>
        </w:tabs>
        <w:ind w:left="1134" w:hanging="425"/>
        <w:contextualSpacing/>
        <w:jc w:val="both"/>
        <w:rPr>
          <w:rFonts w:cstheme="minorHAnsi"/>
        </w:rPr>
      </w:pPr>
      <w:r>
        <w:t>”Avsnitt HE 6 Minsta laddningsinfrastruktur för elfordon....................................</w:t>
      </w:r>
      <w:r w:rsidR="004A442C">
        <w:t>.........</w:t>
      </w:r>
      <w:r>
        <w:t>33</w:t>
      </w:r>
    </w:p>
    <w:p w14:paraId="22DC136D" w14:textId="0B1F10D7" w:rsidR="005074AB" w:rsidRPr="009064BC" w:rsidRDefault="005074AB" w:rsidP="00982E58">
      <w:pPr>
        <w:numPr>
          <w:ilvl w:val="0"/>
          <w:numId w:val="10"/>
        </w:numPr>
        <w:tabs>
          <w:tab w:val="left" w:pos="7938"/>
        </w:tabs>
        <w:ind w:left="1134" w:hanging="425"/>
        <w:contextualSpacing/>
        <w:jc w:val="both"/>
        <w:rPr>
          <w:rFonts w:cstheme="minorHAnsi"/>
        </w:rPr>
      </w:pPr>
      <w:r>
        <w:t>Tillämpningsområde.............................................................................................33</w:t>
      </w:r>
    </w:p>
    <w:p w14:paraId="6FE2086C" w14:textId="59248847" w:rsidR="005074AB" w:rsidRPr="009064BC" w:rsidRDefault="005074AB" w:rsidP="00982E58">
      <w:pPr>
        <w:numPr>
          <w:ilvl w:val="0"/>
          <w:numId w:val="10"/>
        </w:numPr>
        <w:tabs>
          <w:tab w:val="left" w:pos="7938"/>
        </w:tabs>
        <w:ind w:left="1134" w:hanging="425"/>
        <w:contextualSpacing/>
        <w:jc w:val="both"/>
        <w:rPr>
          <w:rFonts w:cstheme="minorHAnsi"/>
        </w:rPr>
      </w:pPr>
      <w:r>
        <w:t>Beskrivning avkravet........</w:t>
      </w:r>
      <w:r w:rsidR="004A442C">
        <w:t>....................................................................................</w:t>
      </w:r>
      <w:r>
        <w:t>..34</w:t>
      </w:r>
    </w:p>
    <w:p w14:paraId="4D6A108B" w14:textId="70242C29" w:rsidR="005074AB" w:rsidRPr="009064BC" w:rsidRDefault="005074AB" w:rsidP="00982E58">
      <w:pPr>
        <w:numPr>
          <w:ilvl w:val="0"/>
          <w:numId w:val="10"/>
        </w:numPr>
        <w:tabs>
          <w:tab w:val="left" w:pos="7938"/>
        </w:tabs>
        <w:ind w:left="1134" w:hanging="425"/>
        <w:contextualSpacing/>
        <w:jc w:val="both"/>
        <w:rPr>
          <w:rFonts w:cstheme="minorHAnsi"/>
        </w:rPr>
      </w:pPr>
      <w:r>
        <w:t>Kvantifiering avkravet........................................................................</w:t>
      </w:r>
      <w:r w:rsidR="004A442C">
        <w:t>..................</w:t>
      </w:r>
      <w:r>
        <w:t>34</w:t>
      </w:r>
    </w:p>
    <w:p w14:paraId="79098154" w14:textId="01A8AF93" w:rsidR="005074AB" w:rsidRPr="009064BC" w:rsidRDefault="005074AB" w:rsidP="00982E58">
      <w:pPr>
        <w:numPr>
          <w:ilvl w:val="0"/>
          <w:numId w:val="10"/>
        </w:numPr>
        <w:tabs>
          <w:tab w:val="left" w:pos="7938"/>
        </w:tabs>
        <w:ind w:left="1134" w:hanging="425"/>
        <w:contextualSpacing/>
        <w:jc w:val="both"/>
        <w:rPr>
          <w:rFonts w:cstheme="minorHAnsi"/>
        </w:rPr>
      </w:pPr>
      <w:r>
        <w:t>Motivering avkravet............................................................................</w:t>
      </w:r>
      <w:r w:rsidR="004A442C">
        <w:t>................</w:t>
      </w:r>
      <w:r>
        <w:t>.. 34</w:t>
      </w:r>
    </w:p>
    <w:p w14:paraId="7CB375BD" w14:textId="371F5D2A" w:rsidR="005074AB" w:rsidRPr="009064BC" w:rsidRDefault="005074AB" w:rsidP="00982E58">
      <w:pPr>
        <w:numPr>
          <w:ilvl w:val="0"/>
          <w:numId w:val="10"/>
        </w:numPr>
        <w:tabs>
          <w:tab w:val="left" w:pos="7938"/>
        </w:tabs>
        <w:ind w:left="1134" w:hanging="425"/>
        <w:contextualSpacing/>
        <w:jc w:val="both"/>
        <w:rPr>
          <w:rFonts w:cstheme="minorHAnsi"/>
        </w:rPr>
      </w:pPr>
      <w:r>
        <w:t>Konstruktion, upprätthållande och underhåll..............................................</w:t>
      </w:r>
      <w:r w:rsidR="004A442C">
        <w:t>........</w:t>
      </w:r>
      <w:r>
        <w:t>35</w:t>
      </w:r>
    </w:p>
    <w:p w14:paraId="0BB8C82D" w14:textId="68BCD44C" w:rsidR="005074AB" w:rsidRPr="009064BC" w:rsidRDefault="006424FF" w:rsidP="00982E58">
      <w:pPr>
        <w:tabs>
          <w:tab w:val="left" w:pos="7938"/>
        </w:tabs>
        <w:ind w:left="1843" w:hanging="425"/>
        <w:contextualSpacing/>
        <w:jc w:val="both"/>
        <w:rPr>
          <w:rFonts w:cstheme="minorHAnsi"/>
        </w:rPr>
      </w:pPr>
      <w:r>
        <w:t>5.1</w:t>
      </w:r>
      <w:r>
        <w:tab/>
        <w:t>Utförande……………………………………………………………………………………….</w:t>
      </w:r>
      <w:r w:rsidR="004A442C">
        <w:t>....</w:t>
      </w:r>
      <w:r>
        <w:t>35</w:t>
      </w:r>
    </w:p>
    <w:p w14:paraId="4AE42B35" w14:textId="26FB193E" w:rsidR="005074AB" w:rsidRPr="009064BC" w:rsidRDefault="005074AB" w:rsidP="00982E58">
      <w:pPr>
        <w:tabs>
          <w:tab w:val="left" w:pos="7938"/>
        </w:tabs>
        <w:ind w:left="1843" w:hanging="425"/>
        <w:contextualSpacing/>
        <w:jc w:val="both"/>
        <w:rPr>
          <w:rFonts w:cstheme="minorHAnsi"/>
        </w:rPr>
      </w:pPr>
      <w:r>
        <w:t>5.2</w:t>
      </w:r>
      <w:r>
        <w:tab/>
        <w:t>Övervakning av arbetets genomförande...........................................</w:t>
      </w:r>
      <w:r w:rsidR="004A442C">
        <w:t>......</w:t>
      </w:r>
      <w:r>
        <w:t>35</w:t>
      </w:r>
    </w:p>
    <w:p w14:paraId="2E5A6752" w14:textId="52ED6730" w:rsidR="005074AB" w:rsidRPr="009064BC" w:rsidRDefault="005074AB" w:rsidP="00982E58">
      <w:pPr>
        <w:tabs>
          <w:tab w:val="left" w:pos="7938"/>
        </w:tabs>
        <w:ind w:left="1843" w:hanging="436"/>
        <w:contextualSpacing/>
        <w:jc w:val="both"/>
        <w:rPr>
          <w:rFonts w:cstheme="minorHAnsi"/>
        </w:rPr>
      </w:pPr>
      <w:r>
        <w:t>5.3</w:t>
      </w:r>
      <w:r>
        <w:tab/>
        <w:t>Kontroll av det avslutade arbetet............................................................35</w:t>
      </w:r>
    </w:p>
    <w:p w14:paraId="5D3A912D" w14:textId="5D70EBD4" w:rsidR="005074AB" w:rsidRPr="009064BC" w:rsidRDefault="005074AB" w:rsidP="00982E58">
      <w:pPr>
        <w:tabs>
          <w:tab w:val="left" w:pos="7938"/>
        </w:tabs>
        <w:ind w:left="1843" w:hanging="425"/>
        <w:contextualSpacing/>
        <w:jc w:val="both"/>
        <w:rPr>
          <w:rFonts w:cstheme="minorHAnsi"/>
        </w:rPr>
      </w:pPr>
      <w:r>
        <w:t>5.4</w:t>
      </w:r>
      <w:r>
        <w:tab/>
        <w:t>Underhåll och underhåll av byggnaden...............................................35»</w:t>
      </w:r>
    </w:p>
    <w:p w14:paraId="2AE043C4" w14:textId="77777777" w:rsidR="005074AB" w:rsidRPr="009064BC" w:rsidRDefault="005074AB" w:rsidP="005074AB">
      <w:pPr>
        <w:ind w:left="1418"/>
        <w:contextualSpacing/>
        <w:jc w:val="both"/>
        <w:rPr>
          <w:rFonts w:cstheme="minorHAnsi"/>
        </w:rPr>
      </w:pPr>
    </w:p>
    <w:p w14:paraId="3A1C5505" w14:textId="4B9D9EA3" w:rsidR="0026457E" w:rsidRDefault="0026457E" w:rsidP="0026457E">
      <w:pPr>
        <w:numPr>
          <w:ilvl w:val="0"/>
          <w:numId w:val="13"/>
        </w:numPr>
        <w:ind w:left="720" w:hanging="295"/>
        <w:jc w:val="both"/>
        <w:rPr>
          <w:rFonts w:cstheme="minorHAnsi"/>
        </w:rPr>
      </w:pPr>
      <w:r>
        <w:t>I avsnitt HE 0 ”Energiförbrukningsgränser” i avsnitt 4.1 ”Beräkningsförfarande” i paragraf 9 ska orden ”erkända dokument” ersättas med ”erkända energicertifieringsdokument för byggnader”.</w:t>
      </w:r>
    </w:p>
    <w:p w14:paraId="3222E360" w14:textId="2F90CB7E" w:rsidR="0067340E" w:rsidRPr="0067340E" w:rsidRDefault="006C16B4" w:rsidP="0026457E">
      <w:pPr>
        <w:numPr>
          <w:ilvl w:val="0"/>
          <w:numId w:val="13"/>
        </w:numPr>
        <w:ind w:left="720" w:hanging="295"/>
        <w:jc w:val="both"/>
        <w:rPr>
          <w:rFonts w:cstheme="minorHAnsi"/>
        </w:rPr>
      </w:pPr>
      <w:r>
        <w:t>I avsnitt HE 0 ”Energiförbrukningsgränser” i avsnitt 4.1 ”Beräkningsförfarande” ska paragraf 9 bli paragraf 11 och följande underparagrafer ska läggas till:</w:t>
      </w:r>
    </w:p>
    <w:p w14:paraId="3392DEB4" w14:textId="73112890" w:rsidR="0067340E" w:rsidRDefault="0067340E" w:rsidP="0067340E">
      <w:pPr>
        <w:ind w:left="1134" w:hanging="425"/>
        <w:contextualSpacing/>
        <w:jc w:val="both"/>
        <w:rPr>
          <w:rFonts w:cstheme="minorHAnsi"/>
        </w:rPr>
      </w:pPr>
      <w:r>
        <w:t>«9</w:t>
      </w:r>
      <w:r>
        <w:tab/>
        <w:t>Beräkningen av den energibalans som krävs för verifiering av kraven i detta BD ska utföras i enlighet med UNE-EN ISO 52000–1:2019: Övergripande bedömning av byggnaders energiprestanda. Del 1: allmänna ramar och förfaranden, med en exportfaktor K</w:t>
      </w:r>
      <w:r>
        <w:rPr>
          <w:vertAlign w:val="subscript"/>
        </w:rPr>
        <w:t>exp</w:t>
      </w:r>
      <w:r>
        <w:t xml:space="preserve"> = 0.»</w:t>
      </w:r>
    </w:p>
    <w:p w14:paraId="744E1B50" w14:textId="4419E002" w:rsidR="00B233D0" w:rsidRDefault="00B233D0" w:rsidP="0026457E">
      <w:pPr>
        <w:ind w:left="1134" w:hanging="425"/>
        <w:jc w:val="both"/>
        <w:rPr>
          <w:rFonts w:cstheme="minorHAnsi"/>
        </w:rPr>
      </w:pPr>
      <w:r>
        <w:lastRenderedPageBreak/>
        <w:t>«10</w:t>
      </w:r>
      <w:r>
        <w:tab/>
        <w:t>Vid fördelningen av de olika tjänsterna ska distributionen av den el som produceras på plats, inom varje tidsintervall, beräknas proportionellt i förhållande till den berörda förbrukningens elförbrukning (uppvärmning, kylning, ventilation, ACS och vid tertiär användning samt belysning).”</w:t>
      </w:r>
    </w:p>
    <w:p w14:paraId="78947690" w14:textId="66930B3C" w:rsidR="005074AB" w:rsidRPr="009064BC" w:rsidRDefault="005074AB" w:rsidP="0026457E">
      <w:pPr>
        <w:numPr>
          <w:ilvl w:val="0"/>
          <w:numId w:val="13"/>
        </w:numPr>
        <w:ind w:left="720" w:hanging="294"/>
        <w:jc w:val="both"/>
        <w:rPr>
          <w:rFonts w:cstheme="minorHAnsi"/>
        </w:rPr>
      </w:pPr>
      <w:r>
        <w:t>I avsnitt HE 1 ”Villkor för reglering av energibehovet” ska följande underparagraf läggas till i avsnitt 3.1.1 ”Överföring av termisk begränsning”:</w:t>
      </w:r>
    </w:p>
    <w:p w14:paraId="729573A3" w14:textId="05413AE2" w:rsidR="005074AB" w:rsidRPr="009064BC" w:rsidRDefault="005074AB" w:rsidP="006424FF">
      <w:pPr>
        <w:ind w:left="1134" w:hanging="425"/>
        <w:jc w:val="both"/>
        <w:rPr>
          <w:rFonts w:cstheme="minorHAnsi"/>
        </w:rPr>
      </w:pPr>
      <w:r>
        <w:t>”6</w:t>
      </w:r>
      <w:r>
        <w:tab/>
        <w:t>Alternativt kan byggnader eller, när det gäller partiella ingrepp i befintliga byggnader, delar av byggnader där ingrepp genomförs, vars uppvärmnings- och kylbehov i båda fallen är mindre än 15 kWh/m</w:t>
      </w:r>
      <w:r>
        <w:rPr>
          <w:vertAlign w:val="superscript"/>
        </w:rPr>
        <w:t>2</w:t>
      </w:r>
      <w:r>
        <w:t xml:space="preserve"> , undantas från överensstämmelse med </w:t>
      </w:r>
      <w:r>
        <w:rPr>
          <w:i/>
        </w:rPr>
        <w:t>den totala värmeöverföringskoefficienten genom klimatskalet (K)</w:t>
      </w:r>
      <w:r>
        <w:t>.”</w:t>
      </w:r>
    </w:p>
    <w:p w14:paraId="49941342" w14:textId="77777777" w:rsidR="00802B87" w:rsidRDefault="005074AB" w:rsidP="00802B87">
      <w:pPr>
        <w:numPr>
          <w:ilvl w:val="0"/>
          <w:numId w:val="13"/>
        </w:numPr>
        <w:ind w:left="709" w:hanging="283"/>
        <w:contextualSpacing/>
        <w:jc w:val="both"/>
        <w:rPr>
          <w:rFonts w:cstheme="minorHAnsi"/>
        </w:rPr>
      </w:pPr>
      <w:r>
        <w:t>I avsnitt HE 1 ”Villkor för reglering av energibehovet” ska följande nya paragraf 3 läggas till i avsnitt 3.1.3 ”Luftgenomsläpplighet för klimatskalet”:</w:t>
      </w:r>
    </w:p>
    <w:p w14:paraId="1D58DEB1" w14:textId="0D8F3294" w:rsidR="005074AB" w:rsidRPr="00802B87" w:rsidRDefault="005074AB" w:rsidP="00802B87">
      <w:pPr>
        <w:ind w:left="709"/>
        <w:contextualSpacing/>
        <w:jc w:val="both"/>
        <w:rPr>
          <w:rFonts w:cstheme="minorHAnsi"/>
        </w:rPr>
      </w:pPr>
      <w:r>
        <w:t xml:space="preserve">”Vid ändringar ska tabell 3.1.3.a-HE1 ovan endast tillämpas på de delar av </w:t>
      </w:r>
      <w:r>
        <w:rPr>
          <w:i/>
          <w:iCs/>
        </w:rPr>
        <w:t>klimat</w:t>
      </w:r>
      <w:r>
        <w:t xml:space="preserve"> </w:t>
      </w:r>
      <w:r>
        <w:rPr>
          <w:i/>
        </w:rPr>
        <w:t>skalet</w:t>
      </w:r>
      <w:r>
        <w:t xml:space="preserve"> som har ersatts, införlivas eller ändras väsentligt.”</w:t>
      </w:r>
    </w:p>
    <w:p w14:paraId="7563FEDE" w14:textId="74826D79" w:rsidR="005074AB" w:rsidRDefault="005074AB" w:rsidP="00836E07">
      <w:pPr>
        <w:ind w:left="709"/>
        <w:jc w:val="both"/>
        <w:rPr>
          <w:rFonts w:cstheme="minorHAnsi"/>
        </w:rPr>
      </w:pPr>
      <w:r>
        <w:t>Numreringen av de nuvarande paragraferna 3 och 4 i avsnitt 3.1.3 ”Luftgenomsläpplighet för klimatskalet” ska ersättas med 4 respektive 5.</w:t>
      </w:r>
    </w:p>
    <w:p w14:paraId="50F02663" w14:textId="6089A86E" w:rsidR="00E57D62" w:rsidRDefault="00E57D62" w:rsidP="0085697E">
      <w:pPr>
        <w:pStyle w:val="ListParagraph"/>
        <w:numPr>
          <w:ilvl w:val="0"/>
          <w:numId w:val="20"/>
        </w:numPr>
        <w:spacing w:line="257" w:lineRule="auto"/>
        <w:ind w:left="709" w:hanging="283"/>
        <w:contextualSpacing w:val="0"/>
        <w:jc w:val="both"/>
        <w:rPr>
          <w:rFonts w:cstheme="minorHAnsi"/>
        </w:rPr>
      </w:pPr>
      <w:r>
        <w:t>I avsnitt HE 3 Villkor för belysningsanläggningar, i tabell 3.1-HE3 Gränsvärde för anläggningens verkningsgrad (VEEI</w:t>
      </w:r>
      <w:r>
        <w:rPr>
          <w:vertAlign w:val="subscript"/>
        </w:rPr>
        <w:t>lim</w:t>
      </w:r>
      <w:r>
        <w:t xml:space="preserve">), ska orden ”Affärer och små butiker” ersättas med ”Affärer och små butiker </w:t>
      </w:r>
      <w:r>
        <w:rPr>
          <w:rFonts w:ascii="Calibri" w:hAnsi="Calibri"/>
          <w:vertAlign w:val="subscript"/>
        </w:rPr>
        <w:t>(10)</w:t>
      </w:r>
      <w:r>
        <w:t>” och följande fotnot ska läggas till:</w:t>
      </w:r>
    </w:p>
    <w:p w14:paraId="149506FB" w14:textId="5E891A3B" w:rsidR="00C40409" w:rsidRDefault="00E57D62" w:rsidP="00C40409">
      <w:pPr>
        <w:pStyle w:val="ListParagraph"/>
        <w:spacing w:line="257" w:lineRule="auto"/>
        <w:ind w:left="709"/>
        <w:contextualSpacing w:val="0"/>
        <w:jc w:val="both"/>
        <w:rPr>
          <w:rFonts w:eastAsia="Arial" w:cstheme="minorHAnsi"/>
          <w:kern w:val="2"/>
          <w:szCs w:val="24"/>
        </w:rPr>
      </w:pPr>
      <w:r>
        <w:t>”</w:t>
      </w:r>
      <w:r>
        <w:rPr>
          <w:vertAlign w:val="superscript"/>
        </w:rPr>
        <w:t>(10)</w:t>
      </w:r>
      <w:r>
        <w:t xml:space="preserve"> Termen affär avser både små oberoende butiker och den del för kommersiellt bruk som inte används allmänt i köpcentrum.”</w:t>
      </w:r>
    </w:p>
    <w:p w14:paraId="00451B2B" w14:textId="20875D3F" w:rsidR="00C40409" w:rsidRDefault="00C40409" w:rsidP="00154A68">
      <w:pPr>
        <w:pStyle w:val="ListParagraph"/>
        <w:numPr>
          <w:ilvl w:val="0"/>
          <w:numId w:val="20"/>
        </w:numPr>
        <w:spacing w:line="257" w:lineRule="auto"/>
        <w:ind w:left="709" w:hanging="283"/>
        <w:jc w:val="both"/>
        <w:rPr>
          <w:rFonts w:eastAsia="Arial" w:cstheme="minorHAnsi"/>
          <w:kern w:val="2"/>
          <w:szCs w:val="24"/>
        </w:rPr>
      </w:pPr>
      <w:r>
        <w:t>I avsnitt HE 4 Minsta bidrag från förnybar energi för att tillgodose efterfrågan på varmvatten för hushållsbruk, avsnitt 2 ”Beskrivning av kravet”, ska artikel 1 ha följande lydelse:</w:t>
      </w:r>
    </w:p>
    <w:p w14:paraId="14B0818B" w14:textId="77777777" w:rsidR="00C40409" w:rsidRPr="00C40409" w:rsidRDefault="00C40409" w:rsidP="00C40409">
      <w:pPr>
        <w:pStyle w:val="ListParagraph"/>
        <w:spacing w:line="257" w:lineRule="auto"/>
        <w:ind w:left="709"/>
        <w:jc w:val="both"/>
        <w:rPr>
          <w:rFonts w:eastAsia="Arial" w:cstheme="minorHAnsi"/>
          <w:kern w:val="2"/>
          <w:szCs w:val="24"/>
          <w:lang w:eastAsia="zh-CN" w:bidi="hi-IN"/>
        </w:rPr>
      </w:pPr>
    </w:p>
    <w:p w14:paraId="4CC04391" w14:textId="1C9A9342" w:rsidR="00C40409" w:rsidRPr="00C40409" w:rsidRDefault="00C40409" w:rsidP="00C40409">
      <w:pPr>
        <w:pStyle w:val="ListParagraph"/>
        <w:spacing w:line="257" w:lineRule="auto"/>
        <w:ind w:left="1134" w:hanging="425"/>
        <w:contextualSpacing w:val="0"/>
        <w:jc w:val="both"/>
        <w:rPr>
          <w:rFonts w:eastAsia="Arial" w:cstheme="minorHAnsi"/>
          <w:kern w:val="2"/>
          <w:szCs w:val="24"/>
        </w:rPr>
      </w:pPr>
      <w:r>
        <w:t>”1</w:t>
      </w:r>
      <w:r>
        <w:tab/>
        <w:t>Byggnader ska i stor utsträckning tillgodose sina behov av ACS och vattenuppvärmning för uppvärmda inomhuspooler som använder eller använder förnybara kraftvärmeprocesser; antingen genereras i själva byggnaden eller genom anslutning till ett fjärrvärmesystem.”</w:t>
      </w:r>
    </w:p>
    <w:p w14:paraId="4E4E1F9B" w14:textId="2DA4132B" w:rsidR="00836E07" w:rsidRPr="00E57D62" w:rsidRDefault="00836E07" w:rsidP="009064BC">
      <w:pPr>
        <w:pStyle w:val="ListParagraph"/>
        <w:numPr>
          <w:ilvl w:val="0"/>
          <w:numId w:val="13"/>
        </w:numPr>
        <w:ind w:left="709" w:hanging="283"/>
        <w:contextualSpacing w:val="0"/>
        <w:jc w:val="both"/>
        <w:rPr>
          <w:rFonts w:cstheme="minorHAnsi"/>
        </w:rPr>
      </w:pPr>
      <w:r>
        <w:t>I avsnitt HE 5 Minsta generering av elektrisk energi blir titeln:</w:t>
      </w:r>
    </w:p>
    <w:p w14:paraId="1835914C" w14:textId="7892C477" w:rsidR="005074AB" w:rsidRPr="009064BC" w:rsidRDefault="00836E07" w:rsidP="006F5E38">
      <w:pPr>
        <w:pStyle w:val="ListParagraph"/>
        <w:ind w:left="709"/>
        <w:contextualSpacing w:val="0"/>
        <w:jc w:val="both"/>
        <w:rPr>
          <w:rFonts w:cstheme="minorHAnsi"/>
        </w:rPr>
      </w:pPr>
      <w:r>
        <w:t>”Avsnitt HE 5 Minimiproduktion av el från förnybara energikällor.”</w:t>
      </w:r>
    </w:p>
    <w:p w14:paraId="5A13D3D2" w14:textId="6E7AA8ED" w:rsidR="005074AB" w:rsidRPr="009064BC" w:rsidRDefault="005074AB" w:rsidP="00CC005A">
      <w:pPr>
        <w:numPr>
          <w:ilvl w:val="0"/>
          <w:numId w:val="13"/>
        </w:numPr>
        <w:ind w:left="720" w:hanging="294"/>
        <w:jc w:val="both"/>
        <w:rPr>
          <w:rFonts w:cstheme="minorHAnsi"/>
        </w:rPr>
      </w:pPr>
      <w:r>
        <w:t xml:space="preserve">I avsnitt HE 5 Minsta elproduktion ska avsnitt 1 ”Tillämpningsområde” ha följande lydelse: </w:t>
      </w:r>
    </w:p>
    <w:p w14:paraId="45B1F681" w14:textId="77777777" w:rsidR="005074AB" w:rsidRPr="009064BC" w:rsidRDefault="005074AB" w:rsidP="00CC005A">
      <w:pPr>
        <w:ind w:left="1134" w:hanging="425"/>
        <w:jc w:val="both"/>
        <w:rPr>
          <w:rFonts w:cstheme="minorHAnsi"/>
        </w:rPr>
      </w:pPr>
      <w:r>
        <w:t>”1</w:t>
      </w:r>
      <w:r>
        <w:tab/>
        <w:t xml:space="preserve">Detta avsnitt gäller i följande fall: </w:t>
      </w:r>
    </w:p>
    <w:p w14:paraId="10C39280" w14:textId="4335D1B7" w:rsidR="002F2BD0" w:rsidRPr="003934E5" w:rsidRDefault="005074AB" w:rsidP="002F2BD0">
      <w:pPr>
        <w:numPr>
          <w:ilvl w:val="0"/>
          <w:numId w:val="8"/>
        </w:numPr>
        <w:ind w:left="1418" w:hanging="284"/>
        <w:contextualSpacing/>
        <w:jc w:val="both"/>
        <w:rPr>
          <w:rFonts w:cstheme="minorHAnsi"/>
        </w:rPr>
      </w:pPr>
      <w:r>
        <w:t>nybyggda byggnader när de överstiger 1 000 m</w:t>
      </w:r>
      <w:r>
        <w:rPr>
          <w:vertAlign w:val="superscript"/>
        </w:rPr>
        <w:t>2</w:t>
      </w:r>
      <w:r>
        <w:t xml:space="preserve"> konstruerade;</w:t>
      </w:r>
    </w:p>
    <w:p w14:paraId="288E1AFC" w14:textId="6CE90E6C" w:rsidR="002F2BD0" w:rsidRPr="003934E5" w:rsidRDefault="002F2BD0" w:rsidP="002F2BD0">
      <w:pPr>
        <w:numPr>
          <w:ilvl w:val="0"/>
          <w:numId w:val="8"/>
        </w:numPr>
        <w:ind w:left="1418" w:hanging="284"/>
        <w:contextualSpacing/>
        <w:jc w:val="both"/>
        <w:rPr>
          <w:rFonts w:cstheme="minorHAnsi"/>
        </w:rPr>
      </w:pPr>
      <w:r>
        <w:t>utbyggnad av befintliga byggnader, när det bebyggda området ökas med mer än 1 000 m</w:t>
      </w:r>
      <w:r>
        <w:rPr>
          <w:vertAlign w:val="superscript"/>
        </w:rPr>
        <w:t>2</w:t>
      </w:r>
      <w:r>
        <w:t>.</w:t>
      </w:r>
    </w:p>
    <w:p w14:paraId="647D0A9C" w14:textId="63F54BFD" w:rsidR="005074AB" w:rsidRPr="009064BC" w:rsidRDefault="005074AB" w:rsidP="005074AB">
      <w:pPr>
        <w:numPr>
          <w:ilvl w:val="0"/>
          <w:numId w:val="8"/>
        </w:numPr>
        <w:ind w:left="1418" w:hanging="284"/>
        <w:contextualSpacing/>
        <w:jc w:val="both"/>
        <w:rPr>
          <w:rFonts w:cstheme="minorHAnsi"/>
        </w:rPr>
      </w:pPr>
      <w:r>
        <w:t>befintliga byggnader som är helt renoverade, eller där det sker en ändring av användningsegenskaperna, när de överstiger 1 000 m</w:t>
      </w:r>
      <w:r>
        <w:rPr>
          <w:vertAlign w:val="superscript"/>
        </w:rPr>
        <w:t>2</w:t>
      </w:r>
      <w:r>
        <w:t xml:space="preserve"> av byggd yta.</w:t>
      </w:r>
    </w:p>
    <w:p w14:paraId="2BDE8293" w14:textId="74B0ACD8" w:rsidR="001B0467" w:rsidRPr="003934E5" w:rsidRDefault="00D76296" w:rsidP="001B0467">
      <w:pPr>
        <w:ind w:left="1134"/>
        <w:jc w:val="both"/>
        <w:rPr>
          <w:rFonts w:cstheme="minorHAnsi"/>
        </w:rPr>
      </w:pPr>
      <w:r>
        <w:lastRenderedPageBreak/>
        <w:t xml:space="preserve">Det bebyggda området ska anses omfatta ytan av parkeringsplatserna inne i byggnaden och inte de gemensamma utomhusområdena.” </w:t>
      </w:r>
    </w:p>
    <w:p w14:paraId="067F87BA" w14:textId="3B6D1449" w:rsidR="005074AB" w:rsidRPr="003934E5" w:rsidRDefault="001B0467" w:rsidP="001B0467">
      <w:pPr>
        <w:pStyle w:val="ListParagraph"/>
        <w:numPr>
          <w:ilvl w:val="0"/>
          <w:numId w:val="13"/>
        </w:numPr>
        <w:ind w:left="709" w:hanging="284"/>
        <w:contextualSpacing w:val="0"/>
        <w:jc w:val="both"/>
        <w:rPr>
          <w:rFonts w:cstheme="minorHAnsi"/>
        </w:rPr>
      </w:pPr>
      <w:r>
        <w:t>I avsnitt HE 5 ”Minsta elproduktion” ska avsnitt 2 första underparagraf, ”Beskrivning av kravet”, ha följande lydelse:</w:t>
      </w:r>
    </w:p>
    <w:p w14:paraId="477CF5F6" w14:textId="719B0DCE" w:rsidR="001B0467" w:rsidRPr="003934E5" w:rsidRDefault="003934E5" w:rsidP="003934E5">
      <w:pPr>
        <w:pStyle w:val="ListParagraph"/>
        <w:ind w:left="1134" w:hanging="425"/>
        <w:contextualSpacing w:val="0"/>
        <w:jc w:val="both"/>
        <w:rPr>
          <w:rFonts w:cstheme="minorHAnsi"/>
        </w:rPr>
      </w:pPr>
      <w:r>
        <w:t>”1</w:t>
      </w:r>
      <w:r>
        <w:tab/>
        <w:t>Byggnader ska ha system för elproduktion från förnybara källor för eget bruk eller för försörjning med nätet.”</w:t>
      </w:r>
    </w:p>
    <w:p w14:paraId="6586AED4" w14:textId="66518836" w:rsidR="005074AB" w:rsidRPr="003934E5" w:rsidRDefault="005074AB" w:rsidP="00262992">
      <w:pPr>
        <w:pStyle w:val="ListParagraph"/>
        <w:numPr>
          <w:ilvl w:val="0"/>
          <w:numId w:val="13"/>
        </w:numPr>
        <w:ind w:left="709" w:hanging="283"/>
        <w:jc w:val="both"/>
        <w:rPr>
          <w:rFonts w:cstheme="minorHAnsi"/>
        </w:rPr>
      </w:pPr>
      <w:r>
        <w:t>I avsnitt HE 5 ”Minsta generering av elektrisk energi” ska avsnitt 3 ”Kvantifiering av kravet” ha följande lydelse:</w:t>
      </w:r>
    </w:p>
    <w:p w14:paraId="7AEDE70F" w14:textId="4971BFFF" w:rsidR="005074AB" w:rsidRPr="003934E5" w:rsidRDefault="005074AB" w:rsidP="00CC005A">
      <w:pPr>
        <w:spacing w:before="60"/>
        <w:ind w:left="1134" w:hanging="425"/>
        <w:jc w:val="both"/>
        <w:rPr>
          <w:rFonts w:eastAsia="Arial" w:cstheme="minorHAnsi"/>
          <w:kern w:val="2"/>
          <w:szCs w:val="24"/>
        </w:rPr>
      </w:pPr>
      <w:r>
        <w:t>”1</w:t>
      </w:r>
      <w:r>
        <w:tab/>
        <w:t xml:space="preserve">Minsta </w:t>
      </w:r>
      <w:r>
        <w:rPr>
          <w:i/>
        </w:rPr>
        <w:t>effekt att installera</w:t>
      </w:r>
      <w:r>
        <w:t xml:space="preserve"> P</w:t>
      </w:r>
      <w:r>
        <w:rPr>
          <w:vertAlign w:val="subscript"/>
        </w:rPr>
        <w:t>min</w:t>
      </w:r>
      <w:r>
        <w:t xml:space="preserve"> ska vara det lägsta av resultatet från följande två ekvationer: </w:t>
      </w:r>
    </w:p>
    <w:p w14:paraId="13C627CF" w14:textId="4FFC04B6" w:rsidR="005074AB" w:rsidRPr="003934E5" w:rsidRDefault="001E31F3" w:rsidP="005074AB">
      <w:pPr>
        <w:spacing w:before="60"/>
        <w:ind w:left="2127" w:hanging="993"/>
        <w:jc w:val="both"/>
        <w:rPr>
          <w:rFonts w:eastAsia="Arial" w:cstheme="minorHAnsi"/>
          <w:kern w:val="2"/>
          <w:szCs w:val="24"/>
        </w:rPr>
      </w:pPr>
      <w:r>
        <w:t>P</w:t>
      </w:r>
      <w:r>
        <w:rPr>
          <w:vertAlign w:val="subscript"/>
        </w:rPr>
        <w:t>1</w:t>
      </w:r>
      <w:r>
        <w:t xml:space="preserve"> = F</w:t>
      </w:r>
      <w:r>
        <w:rPr>
          <w:vertAlign w:val="subscript"/>
        </w:rPr>
        <w:t>pr;el</w:t>
      </w:r>
      <w:r>
        <w:t xml:space="preserve"> · S</w:t>
      </w:r>
    </w:p>
    <w:p w14:paraId="667B6FED" w14:textId="0FB9ED9C" w:rsidR="001E31F3" w:rsidRPr="008E713D" w:rsidRDefault="001E31F3" w:rsidP="005074AB">
      <w:pPr>
        <w:spacing w:before="60"/>
        <w:ind w:left="2127" w:hanging="993"/>
        <w:jc w:val="both"/>
        <w:rPr>
          <w:rFonts w:eastAsia="Arial" w:cstheme="minorHAnsi"/>
          <w:kern w:val="2"/>
          <w:szCs w:val="24"/>
        </w:rPr>
      </w:pPr>
      <w:r>
        <w:t>P</w:t>
      </w:r>
      <w:r>
        <w:rPr>
          <w:vertAlign w:val="subscript"/>
        </w:rPr>
        <w:t>2</w:t>
      </w:r>
      <w:r>
        <w:t xml:space="preserve"> = 0,1 · (0,5· S</w:t>
      </w:r>
      <w:r>
        <w:rPr>
          <w:vertAlign w:val="subscript"/>
        </w:rPr>
        <w:t>c</w:t>
      </w:r>
      <w:r>
        <w:t xml:space="preserve"> – S</w:t>
      </w:r>
      <w:r>
        <w:rPr>
          <w:vertAlign w:val="subscript"/>
        </w:rPr>
        <w:t>oc</w:t>
      </w:r>
      <w:r>
        <w:t xml:space="preserve"> )</w:t>
      </w:r>
    </w:p>
    <w:p w14:paraId="33F1DF55" w14:textId="77777777" w:rsidR="005074AB" w:rsidRPr="00C249FB" w:rsidRDefault="005074AB" w:rsidP="005074AB">
      <w:pPr>
        <w:spacing w:before="60"/>
        <w:ind w:left="1134"/>
        <w:jc w:val="both"/>
        <w:rPr>
          <w:rFonts w:eastAsia="Arial" w:cstheme="minorHAnsi"/>
          <w:kern w:val="2"/>
          <w:szCs w:val="24"/>
        </w:rPr>
      </w:pPr>
      <w:r>
        <w:t>med:</w:t>
      </w:r>
    </w:p>
    <w:p w14:paraId="61117D05" w14:textId="670BE156" w:rsidR="005074AB" w:rsidRDefault="005074AB" w:rsidP="005074AB">
      <w:pPr>
        <w:spacing w:before="60"/>
        <w:ind w:left="2126" w:hanging="567"/>
        <w:contextualSpacing/>
        <w:jc w:val="both"/>
        <w:rPr>
          <w:rFonts w:eastAsia="Arial" w:cstheme="minorHAnsi"/>
          <w:kern w:val="2"/>
          <w:szCs w:val="24"/>
        </w:rPr>
      </w:pPr>
      <w:r>
        <w:t>P</w:t>
      </w:r>
      <w:r>
        <w:rPr>
          <w:vertAlign w:val="subscript"/>
        </w:rPr>
        <w:t>min</w:t>
      </w:r>
      <w:r>
        <w:rPr>
          <w:i/>
        </w:rPr>
        <w:t xml:space="preserve"> effekt att installera </w:t>
      </w:r>
      <w:r>
        <w:t>[kW];</w:t>
      </w:r>
    </w:p>
    <w:p w14:paraId="4DD09CC6" w14:textId="0B7C6032" w:rsidR="00D45636" w:rsidRPr="003934E5" w:rsidRDefault="00D45636" w:rsidP="005074AB">
      <w:pPr>
        <w:spacing w:before="60"/>
        <w:ind w:left="2126" w:hanging="567"/>
        <w:contextualSpacing/>
        <w:jc w:val="both"/>
        <w:rPr>
          <w:rFonts w:eastAsia="Arial" w:cstheme="minorHAnsi"/>
          <w:kern w:val="2"/>
          <w:szCs w:val="24"/>
        </w:rPr>
      </w:pPr>
      <w:r>
        <w:t>F</w:t>
      </w:r>
      <w:r>
        <w:rPr>
          <w:vertAlign w:val="subscript"/>
        </w:rPr>
        <w:t>pr;el</w:t>
      </w:r>
      <w:r>
        <w:t xml:space="preserve"> kraftproduktionsfaktor, som tar värdet 0,005 för privat bruk i bostäder och 0,010 för andra användningsområden [kW/m</w:t>
      </w:r>
      <w:r>
        <w:rPr>
          <w:vertAlign w:val="superscript"/>
        </w:rPr>
        <w:t>2</w:t>
      </w:r>
      <w:r>
        <w:t>];</w:t>
      </w:r>
    </w:p>
    <w:p w14:paraId="76F60B0B" w14:textId="4CB9482B" w:rsidR="005074AB" w:rsidRPr="003934E5" w:rsidRDefault="005074AB" w:rsidP="005074AB">
      <w:pPr>
        <w:spacing w:before="60"/>
        <w:ind w:left="2126" w:hanging="567"/>
        <w:contextualSpacing/>
        <w:jc w:val="both"/>
        <w:rPr>
          <w:rFonts w:eastAsia="Arial" w:cstheme="minorHAnsi"/>
          <w:kern w:val="2"/>
          <w:szCs w:val="24"/>
        </w:rPr>
      </w:pPr>
      <w:r>
        <w:t xml:space="preserve">S </w:t>
      </w:r>
      <w:r>
        <w:tab/>
        <w:t>yta av byggnadens bebyggda yta [m</w:t>
      </w:r>
      <w:r>
        <w:rPr>
          <w:vertAlign w:val="superscript"/>
        </w:rPr>
        <w:t>2</w:t>
      </w:r>
      <w:r>
        <w:t>];</w:t>
      </w:r>
    </w:p>
    <w:p w14:paraId="22E0EB96" w14:textId="1BEA5C90" w:rsidR="00262992" w:rsidRPr="003934E5" w:rsidRDefault="00262992" w:rsidP="00262992">
      <w:pPr>
        <w:spacing w:before="60"/>
        <w:ind w:left="2126" w:hanging="567"/>
        <w:contextualSpacing/>
        <w:jc w:val="both"/>
        <w:rPr>
          <w:rFonts w:cstheme="minorHAnsi"/>
        </w:rPr>
      </w:pPr>
      <w:r>
        <w:t>S</w:t>
      </w:r>
      <w:r>
        <w:rPr>
          <w:vertAlign w:val="subscript"/>
        </w:rPr>
        <w:t>c</w:t>
      </w:r>
      <w:r>
        <w:t xml:space="preserve"> </w:t>
      </w:r>
      <w:r>
        <w:tab/>
        <w:t>yta på icke-trafikabelt tak eller endast tillgänglig för underhåll [m</w:t>
      </w:r>
      <w:r>
        <w:rPr>
          <w:vertAlign w:val="superscript"/>
        </w:rPr>
        <w:t>2</w:t>
      </w:r>
      <w:r>
        <w:t>];</w:t>
      </w:r>
    </w:p>
    <w:p w14:paraId="3D939F32" w14:textId="65BA2EC5" w:rsidR="00A515D1" w:rsidRPr="009064BC" w:rsidRDefault="00262992" w:rsidP="00262992">
      <w:pPr>
        <w:spacing w:before="60"/>
        <w:ind w:left="2127" w:hanging="567"/>
        <w:jc w:val="both"/>
        <w:rPr>
          <w:rFonts w:eastAsia="Arial" w:cstheme="minorHAnsi"/>
          <w:kern w:val="2"/>
          <w:szCs w:val="24"/>
        </w:rPr>
      </w:pPr>
      <w:r>
        <w:t>S</w:t>
      </w:r>
      <w:r>
        <w:rPr>
          <w:vertAlign w:val="subscript"/>
        </w:rPr>
        <w:t>oc</w:t>
      </w:r>
      <w:r>
        <w:t xml:space="preserve"> </w:t>
      </w:r>
      <w:r>
        <w:tab/>
        <w:t>yta på icke-trafikabelt tak eller tillgänglig för underhåll som endast upptas av termiska solceller [m</w:t>
      </w:r>
      <w:r>
        <w:rPr>
          <w:vertAlign w:val="superscript"/>
        </w:rPr>
        <w:t>2</w:t>
      </w:r>
      <w:r>
        <w:t>].</w:t>
      </w:r>
    </w:p>
    <w:p w14:paraId="539F8AB0" w14:textId="583A6FA1" w:rsidR="005074AB" w:rsidRPr="009064BC" w:rsidRDefault="007769F1" w:rsidP="00CC005A">
      <w:pPr>
        <w:ind w:left="1134" w:hanging="425"/>
        <w:jc w:val="both"/>
        <w:rPr>
          <w:rFonts w:eastAsia="Arial" w:cstheme="minorHAnsi"/>
          <w:kern w:val="2"/>
          <w:szCs w:val="24"/>
        </w:rPr>
      </w:pPr>
      <w:r>
        <w:t>2</w:t>
      </w:r>
      <w:r>
        <w:tab/>
        <w:t xml:space="preserve">I byggnader där det av stads- eller arkitektoniska skäl eller på grund av att de är officiellt skyddade byggnader, där det är myndigheten som beviljar det officiella skyddet som avgör de oföränderliga delarna, inte kan uppnås minsta </w:t>
      </w:r>
      <w:r>
        <w:rPr>
          <w:i/>
        </w:rPr>
        <w:t>effekt att installera</w:t>
      </w:r>
      <w:r>
        <w:t>, ska denna omöjlighet motiveras genom en analys av de olika alternativen, och den lösning som uppnår maximal installerad effekt ska antas.»</w:t>
      </w:r>
    </w:p>
    <w:p w14:paraId="2A986A64" w14:textId="7E05FC12" w:rsidR="005074AB" w:rsidRPr="003934E5" w:rsidRDefault="005074AB" w:rsidP="009064BC">
      <w:pPr>
        <w:pStyle w:val="ListParagraph"/>
        <w:numPr>
          <w:ilvl w:val="0"/>
          <w:numId w:val="13"/>
        </w:numPr>
        <w:spacing w:before="60"/>
        <w:ind w:left="709" w:hanging="283"/>
        <w:jc w:val="both"/>
        <w:rPr>
          <w:rFonts w:eastAsia="Arial" w:cstheme="minorHAnsi"/>
          <w:kern w:val="2"/>
          <w:szCs w:val="24"/>
        </w:rPr>
      </w:pPr>
      <w:r>
        <w:t>I avsnitt HE 5 ”Minsta generering av elenergi” ska följande läggas till i avsnitt 4 ”Motivering av kravet”:</w:t>
      </w:r>
    </w:p>
    <w:p w14:paraId="1F522FCD" w14:textId="0464CEFA" w:rsidR="005074AB" w:rsidRPr="003934E5" w:rsidRDefault="00CC005A" w:rsidP="00982E58">
      <w:pPr>
        <w:ind w:left="1134" w:hanging="425"/>
        <w:jc w:val="both"/>
        <w:rPr>
          <w:rFonts w:cstheme="minorHAnsi"/>
        </w:rPr>
      </w:pPr>
      <w:r>
        <w:t>c)</w:t>
      </w:r>
      <w:r>
        <w:tab/>
        <w:t xml:space="preserve">i tillämpliga fall, skäl som förhindrar att den minsta nödvändiga </w:t>
      </w:r>
      <w:r>
        <w:rPr>
          <w:i/>
        </w:rPr>
        <w:t>- effekten att installera</w:t>
      </w:r>
      <w:r>
        <w:t xml:space="preserve"> uppnås, analys av alternativ och den lösning som används för att uppnå maximal installerad effekt.”</w:t>
      </w:r>
    </w:p>
    <w:p w14:paraId="2F009607" w14:textId="478B8572" w:rsidR="005074AB" w:rsidRPr="003934E5" w:rsidRDefault="005074AB" w:rsidP="009064BC">
      <w:pPr>
        <w:pStyle w:val="ListParagraph"/>
        <w:numPr>
          <w:ilvl w:val="0"/>
          <w:numId w:val="13"/>
        </w:numPr>
        <w:ind w:left="709" w:hanging="283"/>
        <w:jc w:val="both"/>
        <w:rPr>
          <w:rFonts w:cstheme="minorHAnsi"/>
        </w:rPr>
      </w:pPr>
      <w:r>
        <w:t>Följande ändringar görs i bilaga A ”Terminologi”:</w:t>
      </w:r>
    </w:p>
    <w:p w14:paraId="44885A1E" w14:textId="0F9B0783" w:rsidR="005074AB" w:rsidRPr="009064BC" w:rsidRDefault="005074AB" w:rsidP="005074AB">
      <w:pPr>
        <w:ind w:left="709" w:hanging="142"/>
        <w:jc w:val="both"/>
        <w:rPr>
          <w:rFonts w:cstheme="minorHAnsi"/>
        </w:rPr>
      </w:pPr>
      <w:r>
        <w:t>— I definitionen av termen ”solcellskontroll (q</w:t>
      </w:r>
      <w:r>
        <w:rPr>
          <w:vertAlign w:val="subscript"/>
        </w:rPr>
        <w:t>sol;jul</w:t>
      </w:r>
      <w:r>
        <w:t>)” ska punkten i slutet av definitionen av komponenten i formeln ”H</w:t>
      </w:r>
      <w:r>
        <w:rPr>
          <w:vertAlign w:val="subscript"/>
        </w:rPr>
        <w:t>sol;jul</w:t>
      </w:r>
      <w:r>
        <w:t>” ersättas med ett semikolon, och definitionen av en annan komponent i formeln ska läggas till enligt följande:</w:t>
      </w:r>
    </w:p>
    <w:p w14:paraId="3DF606FE" w14:textId="65F10CC5" w:rsidR="005074AB" w:rsidRPr="009064BC" w:rsidRDefault="005074AB" w:rsidP="00A5780E">
      <w:pPr>
        <w:ind w:left="709"/>
        <w:jc w:val="both"/>
        <w:rPr>
          <w:rFonts w:cstheme="minorHAnsi"/>
        </w:rPr>
      </w:pPr>
      <w:r>
        <w:t>”A</w:t>
      </w:r>
      <w:r>
        <w:rPr>
          <w:vertAlign w:val="subscript"/>
        </w:rPr>
        <w:t>util</w:t>
      </w:r>
      <w:r>
        <w:t>område som anses vara i enlighet med avsnitt 4.6 i HE 0.”</w:t>
      </w:r>
    </w:p>
    <w:p w14:paraId="22770CCD" w14:textId="56BB680A" w:rsidR="005074AB" w:rsidRPr="009064BC" w:rsidRDefault="005074AB" w:rsidP="005074AB">
      <w:pPr>
        <w:ind w:left="709" w:hanging="142"/>
        <w:jc w:val="both"/>
        <w:rPr>
          <w:rFonts w:cstheme="minorHAnsi"/>
        </w:rPr>
      </w:pPr>
      <w:r>
        <w:t xml:space="preserve">— I definitionen av begreppet ”slutenergi” ska formuleringen ”Det som köps av konsumenter, i form av el, bränslen eller andra bränslen som används direkt” ersättas med ”Det som levereras till byggnadssystemen för att tillhandahålla tjänsterna. Denna </w:t>
      </w:r>
      <w:r>
        <w:lastRenderedPageBreak/>
        <w:t>försörjning sker normalt genom bränslen, produktion på plats eller särskilda nät (el, gas, värme eller kyla osv.)”.</w:t>
      </w:r>
    </w:p>
    <w:p w14:paraId="4C32D5BC" w14:textId="77777777" w:rsidR="005074AB" w:rsidRPr="009064BC" w:rsidRDefault="005074AB" w:rsidP="005074AB">
      <w:pPr>
        <w:ind w:left="709" w:hanging="142"/>
        <w:jc w:val="both"/>
        <w:rPr>
          <w:rFonts w:cstheme="minorHAnsi"/>
        </w:rPr>
      </w:pPr>
      <w:r>
        <w:t>— I definitionen av termisk transmission (U) ska följande mening läggas till i slutet av definitionen:</w:t>
      </w:r>
    </w:p>
    <w:p w14:paraId="553E6F27" w14:textId="77777777" w:rsidR="005074AB" w:rsidRPr="009064BC" w:rsidRDefault="005074AB" w:rsidP="00A5780E">
      <w:pPr>
        <w:ind w:left="709"/>
        <w:jc w:val="both"/>
        <w:rPr>
          <w:rFonts w:cstheme="minorHAnsi"/>
        </w:rPr>
      </w:pPr>
      <w:r>
        <w:t>”Uttryckt i W/m</w:t>
      </w:r>
      <w:r>
        <w:rPr>
          <w:vertAlign w:val="superscript"/>
        </w:rPr>
        <w:t>2</w:t>
      </w:r>
      <w:r>
        <w:t>K.”</w:t>
      </w:r>
    </w:p>
    <w:p w14:paraId="573B0D8C" w14:textId="4E8B3B75" w:rsidR="005074AB" w:rsidRPr="009064BC" w:rsidRDefault="005074AB" w:rsidP="009064BC">
      <w:pPr>
        <w:pStyle w:val="ListParagraph"/>
        <w:numPr>
          <w:ilvl w:val="0"/>
          <w:numId w:val="13"/>
        </w:numPr>
        <w:ind w:left="709" w:hanging="283"/>
        <w:jc w:val="both"/>
        <w:rPr>
          <w:rFonts w:cstheme="minorHAnsi"/>
        </w:rPr>
      </w:pPr>
      <w:r>
        <w:t>Följande begrepp ska införas i bilaga A ”Terminologi”:</w:t>
      </w:r>
    </w:p>
    <w:p w14:paraId="0F83A0A9" w14:textId="31436021" w:rsidR="005074AB" w:rsidRPr="003934E5" w:rsidRDefault="005074AB" w:rsidP="00CC005A">
      <w:pPr>
        <w:spacing w:before="200" w:after="120" w:line="240" w:lineRule="auto"/>
        <w:ind w:left="709"/>
        <w:jc w:val="both"/>
        <w:rPr>
          <w:rFonts w:eastAsia="Arial" w:cstheme="minorHAnsi"/>
          <w:kern w:val="2"/>
          <w:szCs w:val="24"/>
        </w:rPr>
      </w:pPr>
      <w:r>
        <w:t>”</w:t>
      </w:r>
      <w:r>
        <w:rPr>
          <w:b/>
          <w:i/>
        </w:rPr>
        <w:t>Stödutrustning</w:t>
      </w:r>
      <w:r>
        <w:t>: elektrisk eller elektronisk utrustning i samband med ljuset, olika för varje typ</w:t>
      </w:r>
      <w:r>
        <w:rPr>
          <w:i/>
        </w:rPr>
        <w:t xml:space="preserve"> ljus</w:t>
      </w:r>
      <w:r>
        <w:t>, vars funktion är tändningen och kontroll av driftsförhållanden. Denna hjälputrustning, om den inte är elektronisk, består av en kombination av start-, förkopplingsdon och kondensorer.</w:t>
      </w:r>
    </w:p>
    <w:p w14:paraId="47B71CFB" w14:textId="447664D0" w:rsidR="005074AB" w:rsidRPr="00431D05" w:rsidRDefault="00547307" w:rsidP="00CC005A">
      <w:pPr>
        <w:spacing w:before="200" w:after="100" w:line="240" w:lineRule="auto"/>
        <w:ind w:left="709"/>
        <w:jc w:val="both"/>
        <w:rPr>
          <w:rFonts w:eastAsia="Arial" w:cstheme="minorHAnsi"/>
          <w:bCs/>
          <w:iCs/>
          <w:kern w:val="2"/>
        </w:rPr>
      </w:pPr>
      <w:r>
        <w:t>”</w:t>
      </w:r>
      <w:r>
        <w:rPr>
          <w:b/>
          <w:i/>
        </w:rPr>
        <w:t>Laddningsstation</w:t>
      </w:r>
      <w:r>
        <w:t xml:space="preserve">: uppsättning som krävs för att ansluta </w:t>
      </w:r>
      <w:r>
        <w:rPr>
          <w:i/>
        </w:rPr>
        <w:t>elfordonet</w:t>
      </w:r>
      <w:r>
        <w:t xml:space="preserve"> till den fasta elektriska installation som krävs för laddning. </w:t>
      </w:r>
      <w:r>
        <w:rPr>
          <w:i/>
        </w:rPr>
        <w:t>Laddningsstationer</w:t>
      </w:r>
      <w:r>
        <w:t xml:space="preserve"> klassificeras som:</w:t>
      </w:r>
    </w:p>
    <w:p w14:paraId="56DF9BC1" w14:textId="77777777" w:rsidR="005074AB" w:rsidRPr="00431D05" w:rsidRDefault="005074AB" w:rsidP="005074AB">
      <w:pPr>
        <w:spacing w:before="200" w:after="100" w:line="240" w:lineRule="auto"/>
        <w:ind w:left="1418" w:hanging="284"/>
        <w:jc w:val="both"/>
        <w:rPr>
          <w:rFonts w:eastAsia="Arial" w:cstheme="minorHAnsi"/>
          <w:bCs/>
          <w:iCs/>
          <w:kern w:val="2"/>
        </w:rPr>
      </w:pPr>
      <w:r>
        <w:t>1.</w:t>
      </w:r>
      <w:r>
        <w:tab/>
        <w:t xml:space="preserve">En laddningspunkt, bestående av nödvändiga skydd, en eller flera uttag som inte är specifika för </w:t>
      </w:r>
      <w:r>
        <w:rPr>
          <w:i/>
        </w:rPr>
        <w:t>elfordonet</w:t>
      </w:r>
      <w:r>
        <w:t xml:space="preserve"> och, i tillämpliga fall, skalet.</w:t>
      </w:r>
    </w:p>
    <w:p w14:paraId="5B671B65" w14:textId="3FFFFEF0" w:rsidR="005074AB" w:rsidRPr="00431D05" w:rsidRDefault="005074AB" w:rsidP="005074AB">
      <w:pPr>
        <w:spacing w:before="200" w:after="100" w:line="240" w:lineRule="auto"/>
        <w:ind w:left="1418" w:hanging="284"/>
        <w:jc w:val="both"/>
        <w:rPr>
          <w:rFonts w:eastAsia="Arial" w:cstheme="minorHAnsi"/>
          <w:b/>
          <w:bCs/>
          <w:i/>
          <w:iCs/>
          <w:kern w:val="2"/>
        </w:rPr>
      </w:pPr>
      <w:r>
        <w:t>2.</w:t>
      </w:r>
      <w:r>
        <w:tab/>
        <w:t xml:space="preserve">SAVE </w:t>
      </w:r>
      <w:r>
        <w:rPr>
          <w:i/>
        </w:rPr>
        <w:t>(Särskilda strömförsörjningssystem för elfordon)</w:t>
      </w:r>
      <w:r>
        <w:t xml:space="preserve"> typ av laddningsstation.»</w:t>
      </w:r>
    </w:p>
    <w:p w14:paraId="1D92DB31" w14:textId="44506109" w:rsidR="005074AB" w:rsidRPr="003934E5" w:rsidRDefault="00547307" w:rsidP="00CC005A">
      <w:pPr>
        <w:spacing w:before="200" w:after="100" w:line="240" w:lineRule="auto"/>
        <w:ind w:left="709"/>
        <w:jc w:val="both"/>
        <w:rPr>
          <w:rFonts w:eastAsia="Arial" w:cstheme="minorHAnsi"/>
          <w:kern w:val="2"/>
        </w:rPr>
      </w:pPr>
      <w:r>
        <w:t>”</w:t>
      </w:r>
      <w:r>
        <w:rPr>
          <w:b/>
          <w:i/>
        </w:rPr>
        <w:t>Laddningsinfrastruktur för elfordon:</w:t>
      </w:r>
      <w:r>
        <w:t xml:space="preserve"> uppsättning fysiska och logiska anordningar avsedda för laddning av </w:t>
      </w:r>
      <w:r>
        <w:rPr>
          <w:i/>
        </w:rPr>
        <w:t>elfordon</w:t>
      </w:r>
      <w:r>
        <w:t xml:space="preserve"> som uppfyller de säkerhets- och tillgänglighetskrav som föreskrivs för varje enskilt fall i den elektrotekniska föreskriften för lågspänning, som kan tillhandahålla en fullständig och omfattande laddningstjänst. Den omfattar </w:t>
      </w:r>
      <w:r>
        <w:rPr>
          <w:i/>
        </w:rPr>
        <w:t>laddningsstationer</w:t>
      </w:r>
      <w:r>
        <w:t>, styrsystem, elektriska ledningar, elektriska kontroll- och skyddspaneler och mätutrustning, när dessa uteslutande är avsedda för laddning av elfordon.”</w:t>
      </w:r>
    </w:p>
    <w:p w14:paraId="5C699291" w14:textId="5BE34863" w:rsidR="005074AB" w:rsidRPr="003934E5" w:rsidRDefault="00547307" w:rsidP="00547307">
      <w:pPr>
        <w:spacing w:before="200" w:after="100" w:line="240" w:lineRule="auto"/>
        <w:ind w:left="709"/>
        <w:jc w:val="both"/>
        <w:rPr>
          <w:rFonts w:eastAsia="Arial" w:cstheme="minorHAnsi"/>
          <w:kern w:val="2"/>
        </w:rPr>
      </w:pPr>
      <w:r>
        <w:t>”</w:t>
      </w:r>
      <w:r>
        <w:rPr>
          <w:b/>
          <w:bCs/>
        </w:rPr>
        <w:t>Särskilda strömförsörjningssystem för elfordon</w:t>
      </w:r>
      <w:r>
        <w:rPr>
          <w:b/>
          <w:i/>
        </w:rPr>
        <w:t xml:space="preserve"> (SAVE)</w:t>
      </w:r>
      <w:r>
        <w:t xml:space="preserve">: uppsättning av utrustning som monterats för att leverera elkraft för laddning av ett </w:t>
      </w:r>
      <w:r>
        <w:rPr>
          <w:i/>
        </w:rPr>
        <w:t>elfordon</w:t>
      </w:r>
      <w:r>
        <w:t xml:space="preserve"> inklusive skydd av laddningsstationen, anslutningskabeln (med fas-, neutral- och skyddsledare) uttagsbasen eller kontakten och, i förekommande fall, en växelströmskontinuerlig omvandlare. Detta system ska, när så är lämpligt, möjliggöra kommunikation mellan </w:t>
      </w:r>
      <w:r>
        <w:rPr>
          <w:i/>
        </w:rPr>
        <w:t>elfordonet</w:t>
      </w:r>
      <w:r>
        <w:t xml:space="preserve"> och den fasta installationen.”</w:t>
      </w:r>
    </w:p>
    <w:p w14:paraId="5928BE95" w14:textId="4E74D790" w:rsidR="005074AB" w:rsidRPr="003934E5" w:rsidRDefault="00547307" w:rsidP="00CC005A">
      <w:pPr>
        <w:spacing w:before="200" w:after="100" w:line="240" w:lineRule="auto"/>
        <w:ind w:left="709"/>
        <w:jc w:val="both"/>
        <w:rPr>
          <w:rFonts w:eastAsia="Arial" w:cstheme="minorHAnsi"/>
          <w:strike/>
          <w:kern w:val="2"/>
        </w:rPr>
      </w:pPr>
      <w:r>
        <w:t>”</w:t>
      </w:r>
      <w:r>
        <w:rPr>
          <w:b/>
          <w:i/>
        </w:rPr>
        <w:t>Privat användning för bostäder</w:t>
      </w:r>
      <w:r>
        <w:t>: Byggnad eller område som är avsedd för permanent bostad, oavsett typ av byggnad: fristående hus, flerbostadshus m.m., både för offentlig och privat utveckling.”</w:t>
      </w:r>
    </w:p>
    <w:p w14:paraId="0B244847" w14:textId="4B38DAFA" w:rsidR="005074AB" w:rsidRDefault="00547307" w:rsidP="00CC005A">
      <w:pPr>
        <w:spacing w:before="200" w:after="100" w:line="240" w:lineRule="auto"/>
        <w:ind w:left="709"/>
        <w:jc w:val="both"/>
        <w:rPr>
          <w:rFonts w:eastAsia="Arial" w:cstheme="minorHAnsi"/>
          <w:kern w:val="2"/>
          <w:szCs w:val="24"/>
        </w:rPr>
      </w:pPr>
      <w:r>
        <w:t>”</w:t>
      </w:r>
      <w:r>
        <w:rPr>
          <w:b/>
          <w:i/>
        </w:rPr>
        <w:t>Elektriskt fordon</w:t>
      </w:r>
      <w:r>
        <w:t>: motorfordon utrustat med en framdrivningsgrupp med minst en icke perifer elektrisk mekanism som fungerar som energiomvandlare och är utrustad med ett uppladdningsbart system för lagring av elenergi som kan laddas från utsidan.”</w:t>
      </w:r>
    </w:p>
    <w:p w14:paraId="5F3597CA" w14:textId="51707A46" w:rsidR="0026457E" w:rsidRPr="0026457E" w:rsidRDefault="0026457E" w:rsidP="0026457E">
      <w:pPr>
        <w:pStyle w:val="ListParagraph"/>
        <w:numPr>
          <w:ilvl w:val="0"/>
          <w:numId w:val="13"/>
        </w:numPr>
        <w:spacing w:before="200" w:after="100" w:line="240" w:lineRule="auto"/>
        <w:ind w:left="641" w:hanging="357"/>
        <w:contextualSpacing w:val="0"/>
        <w:jc w:val="both"/>
        <w:rPr>
          <w:rFonts w:eastAsia="Arial" w:cstheme="minorHAnsi"/>
          <w:kern w:val="2"/>
          <w:szCs w:val="24"/>
        </w:rPr>
      </w:pPr>
      <w:r>
        <w:t>I paragraf 4 i bilaga D ska texten ”Erkänd handling” ersättas med ”Erkänt dokument för energicertifiering av byggnader».</w:t>
      </w:r>
    </w:p>
    <w:p w14:paraId="5FD4478D" w14:textId="2E4A3E9F" w:rsidR="00033600" w:rsidRPr="00033600" w:rsidRDefault="00033600" w:rsidP="0026457E">
      <w:pPr>
        <w:pStyle w:val="ListParagraph"/>
        <w:numPr>
          <w:ilvl w:val="0"/>
          <w:numId w:val="13"/>
        </w:numPr>
        <w:spacing w:before="200" w:after="100" w:line="240" w:lineRule="auto"/>
        <w:ind w:left="641" w:hanging="357"/>
        <w:contextualSpacing w:val="0"/>
        <w:jc w:val="both"/>
        <w:rPr>
          <w:rFonts w:eastAsia="Arial" w:cstheme="minorHAnsi"/>
          <w:kern w:val="2"/>
        </w:rPr>
      </w:pPr>
      <w:r>
        <w:t xml:space="preserve">I bilaga H Fastställande av byggnadens luftgenomsläpplighet, efter rubriken på avsnittet, ska orden ”Bestämning av byggnadens luftgenomsläpplighet utföras med en av följande metoder.” och i avsnitt 1 Fastställande genom provning kan formuleringen ”Bestämning av luftförändringen vid 50 Pa, n50, erhållas genom provning enligt metod B i UNE-EN </w:t>
      </w:r>
      <w:r>
        <w:lastRenderedPageBreak/>
        <w:t>13829:2002 Fastställande av lufttäthet i byggnader. Trycksättningsmetod med hjälp av en fläkt.” ska ersättas med följande: ”Värdet för luftväxlingsförhållandet vid 50 Pa, n50 genom provning ska erhållas från metod 1 eller 2 i UNE-EN ISO 9972: 2019 Termisk prestanda av byggnader. Bestämning av byggnaders luftgenomsläpplighet. Metod för trycksättning av fläktar.”</w:t>
      </w:r>
    </w:p>
    <w:p w14:paraId="153946FB" w14:textId="274D0F0F" w:rsidR="001E0B70" w:rsidRPr="003934E5" w:rsidRDefault="001E0B70" w:rsidP="005074AB">
      <w:pPr>
        <w:ind w:left="13"/>
        <w:jc w:val="both"/>
        <w:rPr>
          <w:rFonts w:cstheme="minorHAnsi"/>
        </w:rPr>
      </w:pPr>
      <w:r>
        <w:t>Tre.</w:t>
      </w:r>
      <w:r>
        <w:rPr>
          <w:b/>
        </w:rPr>
        <w:t xml:space="preserve"> </w:t>
      </w:r>
      <w:r>
        <w:t xml:space="preserve">Följande ändringar införs i det grundläggande dokumentet DB-SUA ”Säkerhet i användning och tillgänglighet” som ingår i del II i den tekniska byggkoden: </w:t>
      </w:r>
    </w:p>
    <w:p w14:paraId="05134A28" w14:textId="08B7B404" w:rsidR="00A5780E" w:rsidRDefault="001E0B70" w:rsidP="00D722CA">
      <w:pPr>
        <w:ind w:left="13"/>
        <w:jc w:val="both"/>
        <w:rPr>
          <w:rFonts w:cstheme="minorHAnsi"/>
        </w:rPr>
      </w:pPr>
      <w:r>
        <w:t>I avsnitt SUA 9 ”Tillgänglighet” i bilaga A ”Terminologi” omfattar definitionen av ”tillgänglig parkeringsplats” nu ett bindestreck med texten:</w:t>
      </w:r>
    </w:p>
    <w:p w14:paraId="791B9B63" w14:textId="2AEB4586" w:rsidR="00D722CA" w:rsidRPr="009064BC" w:rsidRDefault="0078611E" w:rsidP="0078611E">
      <w:pPr>
        <w:ind w:left="709"/>
        <w:jc w:val="both"/>
        <w:rPr>
          <w:rFonts w:cstheme="minorHAnsi"/>
        </w:rPr>
      </w:pPr>
      <w:r>
        <w:t>”- Om den tillgängliga parkeringsplatsen har en laddningsstation för elfordon, omfattar den tillgängliga färdvägen även denna laddningsstation. Kraftuttagen och anslutningsdonen till dessa laddningsstationer ska vara kromatiskt kontrasterade mot omgivningen, placerade på en höjd av 80–120 cm och avståndet från hörnen ska vara minst 35 cm.”</w:t>
      </w:r>
    </w:p>
    <w:p w14:paraId="09F57FB9" w14:textId="78225EA3" w:rsidR="005074AB" w:rsidRPr="009064BC" w:rsidRDefault="00DF5914" w:rsidP="005074AB">
      <w:pPr>
        <w:ind w:left="13"/>
        <w:jc w:val="both"/>
        <w:rPr>
          <w:rFonts w:cstheme="minorHAnsi"/>
        </w:rPr>
      </w:pPr>
      <w:r>
        <w:t>Fyra. Följande ändring införs i grunddokumentet DB-HS ”Hälsa”, som ingår i del II i den tekniska byggkoden:</w:t>
      </w:r>
    </w:p>
    <w:p w14:paraId="6B818CBA" w14:textId="77777777" w:rsidR="002E7342" w:rsidRDefault="005074AB" w:rsidP="002E7342">
      <w:pPr>
        <w:pStyle w:val="ListParagraph"/>
        <w:numPr>
          <w:ilvl w:val="0"/>
          <w:numId w:val="22"/>
        </w:numPr>
        <w:jc w:val="both"/>
        <w:rPr>
          <w:rFonts w:cstheme="minorHAnsi"/>
        </w:rPr>
      </w:pPr>
      <w:r>
        <w:t>I avsnitt HS 4 ”Vattenförsörjning” i avsnitt 3.2.2.1 i punkt 2 ska meningen ”solenergins minsta bidrag till inhemsk varmvattenproduktion” ersättas med meningen ”det minsta bidraget från förnybar energi för att täcka efterfrågan på varmvatten”.</w:t>
      </w:r>
    </w:p>
    <w:p w14:paraId="49ACE665" w14:textId="4B95E48B" w:rsidR="005074AB" w:rsidRPr="003934E5" w:rsidRDefault="002F25C7" w:rsidP="009064BC">
      <w:pPr>
        <w:jc w:val="both"/>
        <w:rPr>
          <w:rFonts w:eastAsia="Arial" w:cstheme="minorHAnsi"/>
          <w:kern w:val="2"/>
        </w:rPr>
      </w:pPr>
      <w:r>
        <w:t>Fem. Följande rättelser av fel och felskrivningar i grunddokumentet DB-HE ”Energisparande” som ingår i del II i den tekniska byggkoden görs:</w:t>
      </w:r>
    </w:p>
    <w:p w14:paraId="67BFDFA6" w14:textId="6609A07E" w:rsidR="00D612CE" w:rsidRPr="007F1589" w:rsidRDefault="002A5A94" w:rsidP="00D612CE">
      <w:pPr>
        <w:numPr>
          <w:ilvl w:val="0"/>
          <w:numId w:val="15"/>
        </w:numPr>
        <w:spacing w:before="200" w:after="100" w:line="240" w:lineRule="auto"/>
        <w:jc w:val="both"/>
        <w:rPr>
          <w:rFonts w:eastAsia="Arial" w:cstheme="minorHAnsi"/>
          <w:kern w:val="2"/>
        </w:rPr>
      </w:pPr>
      <w:r>
        <w:t>I avsnitt HE 0, avsnitt 1 Räckvidd, paragraf 1, där det har följande lydelse: ”... där den totala utvidgade användbara ytan överstiger 50 m</w:t>
      </w:r>
      <w:r>
        <w:rPr>
          <w:vertAlign w:val="superscript"/>
        </w:rPr>
        <w:t>2</w:t>
      </w:r>
      <w:r>
        <w:t>;” ska den lyda ”...där den förlängda användbara ytan överstiger 50 m</w:t>
      </w:r>
      <w:r>
        <w:rPr>
          <w:vertAlign w:val="superscript"/>
        </w:rPr>
        <w:t>2</w:t>
      </w:r>
      <w:r>
        <w:t>;”</w:t>
      </w:r>
    </w:p>
    <w:p w14:paraId="1C45277B" w14:textId="4D7F13E0" w:rsidR="007F1589" w:rsidRDefault="00033444" w:rsidP="00D612CE">
      <w:pPr>
        <w:numPr>
          <w:ilvl w:val="0"/>
          <w:numId w:val="15"/>
        </w:numPr>
        <w:spacing w:before="200" w:after="100" w:line="240" w:lineRule="auto"/>
        <w:jc w:val="both"/>
        <w:rPr>
          <w:rFonts w:eastAsia="Arial" w:cstheme="minorHAnsi"/>
          <w:kern w:val="2"/>
        </w:rPr>
      </w:pPr>
      <w:r>
        <w:t>I avsnitt HE 0, avsnitt 3 Kvantifiering av kravet, avsnitt 3.1 Icke-förnybar primärenergianvändning, paragraf 2, där det har följande lydelse: ”... C</w:t>
      </w:r>
      <w:r>
        <w:rPr>
          <w:vertAlign w:val="subscript"/>
        </w:rPr>
        <w:t>ep’nren,lim</w:t>
      </w:r>
      <w:r>
        <w:t>...”, det ska lyda ”... C</w:t>
      </w:r>
      <w:r>
        <w:rPr>
          <w:vertAlign w:val="subscript"/>
        </w:rPr>
        <w:t>ep,nren,lim</w:t>
      </w:r>
      <w:r>
        <w:t>...”.</w:t>
      </w:r>
    </w:p>
    <w:p w14:paraId="154CDFEF" w14:textId="5322C794" w:rsidR="00E87B89" w:rsidRPr="00C40409" w:rsidRDefault="00E87B89" w:rsidP="00E87B89">
      <w:pPr>
        <w:numPr>
          <w:ilvl w:val="0"/>
          <w:numId w:val="15"/>
        </w:numPr>
        <w:spacing w:before="200" w:after="100" w:line="240" w:lineRule="auto"/>
        <w:jc w:val="both"/>
        <w:rPr>
          <w:rFonts w:eastAsia="Arial" w:cstheme="minorHAnsi"/>
          <w:kern w:val="2"/>
        </w:rPr>
      </w:pPr>
      <w:r>
        <w:t>I avsnitt HE 0, avsnitt 3 Kvantifiering av kravet, avsnitt 3.2 Total primärenergianvändning, paragraf 1, där det har följande lydelse: “... C</w:t>
      </w:r>
      <w:r>
        <w:rPr>
          <w:vertAlign w:val="subscript"/>
        </w:rPr>
        <w:t>ep’tot</w:t>
      </w:r>
      <w:r>
        <w:t>...”, bör den ha följande lydelse: ”... C</w:t>
      </w:r>
      <w:r>
        <w:rPr>
          <w:vertAlign w:val="subscript"/>
        </w:rPr>
        <w:t>ep,tot</w:t>
      </w:r>
      <w:r>
        <w:t>...”.</w:t>
      </w:r>
    </w:p>
    <w:p w14:paraId="090F812B" w14:textId="4B3E0C74" w:rsidR="005074AB" w:rsidRPr="00E87B89" w:rsidRDefault="00033444" w:rsidP="005074AB">
      <w:pPr>
        <w:numPr>
          <w:ilvl w:val="0"/>
          <w:numId w:val="15"/>
        </w:numPr>
        <w:spacing w:before="200" w:after="100" w:line="240" w:lineRule="auto"/>
        <w:jc w:val="both"/>
        <w:rPr>
          <w:rFonts w:eastAsia="Arial" w:cstheme="minorHAnsi"/>
          <w:kern w:val="2"/>
        </w:rPr>
      </w:pPr>
      <w:r>
        <w:t>I avsnitt HE 0, avsnitt 3 Kvantifiering av kravet, avsnitt 3.2 Total primärenergianvändning, punkt 2, där det har följande lydelse: ”... C</w:t>
      </w:r>
      <w:r>
        <w:rPr>
          <w:vertAlign w:val="subscript"/>
        </w:rPr>
        <w:t>ep,tot</w:t>
      </w:r>
      <w:r>
        <w:t>...”, bör den ha följande lydelse: ”... C</w:t>
      </w:r>
      <w:r>
        <w:rPr>
          <w:vertAlign w:val="subscript"/>
        </w:rPr>
        <w:t>ep,tot</w:t>
      </w:r>
      <w:r>
        <w:t>...”.</w:t>
      </w:r>
    </w:p>
    <w:p w14:paraId="3E0C5510" w14:textId="77777777" w:rsidR="00E87B89" w:rsidRPr="00E87B89" w:rsidRDefault="00E87B89" w:rsidP="00E87B89">
      <w:pPr>
        <w:numPr>
          <w:ilvl w:val="0"/>
          <w:numId w:val="15"/>
        </w:numPr>
        <w:spacing w:before="200" w:after="100" w:line="240" w:lineRule="auto"/>
        <w:jc w:val="both"/>
        <w:rPr>
          <w:rFonts w:eastAsia="Arial" w:cstheme="minorHAnsi"/>
          <w:kern w:val="2"/>
        </w:rPr>
      </w:pPr>
      <w:r>
        <w:t>I avsnitt HE 0, ska tabellerna 3.1.a-HE0 och 3.2.a-HE0 ha termen ”</w:t>
      </w:r>
      <w:r>
        <w:rPr>
          <w:i/>
        </w:rPr>
        <w:t>privat bruk i bostäder</w:t>
      </w:r>
      <w:r>
        <w:t xml:space="preserve">” i kursiv stil. I avsnitt 3.1 Förbrukning av icke-förnybar primärenergi, avsnitt 2 och 3.2 Total primärenergianvändning, avsnitt 2, ska termen ” </w:t>
      </w:r>
      <w:r>
        <w:rPr>
          <w:i/>
        </w:rPr>
        <w:t>Privat bruk i bostäder</w:t>
      </w:r>
      <w:r>
        <w:t>” anges med kursiv stil.</w:t>
      </w:r>
    </w:p>
    <w:p w14:paraId="7A281569" w14:textId="77777777" w:rsidR="00E87B89" w:rsidRPr="00E87B89" w:rsidRDefault="00E87B89" w:rsidP="00E87B89">
      <w:pPr>
        <w:numPr>
          <w:ilvl w:val="0"/>
          <w:numId w:val="15"/>
        </w:numPr>
        <w:spacing w:before="200" w:after="100" w:line="240" w:lineRule="auto"/>
        <w:jc w:val="both"/>
        <w:rPr>
          <w:rFonts w:eastAsia="Arial" w:cstheme="minorHAnsi"/>
          <w:kern w:val="2"/>
        </w:rPr>
      </w:pPr>
      <w:r>
        <w:t>I avsnitt HE 0, avsnitt 4.3 Interna förfrågningar och driftsvillkor, avsnitt 2, ska termen ”</w:t>
      </w:r>
      <w:r>
        <w:rPr>
          <w:i/>
        </w:rPr>
        <w:t>privat bruk i bostäder</w:t>
      </w:r>
      <w:r>
        <w:t>” anges med kursiv stil.</w:t>
      </w:r>
    </w:p>
    <w:p w14:paraId="26708F84" w14:textId="52569E21" w:rsidR="00E87B89" w:rsidRPr="00E87B89" w:rsidRDefault="00E87B89" w:rsidP="00E87B89">
      <w:pPr>
        <w:numPr>
          <w:ilvl w:val="0"/>
          <w:numId w:val="15"/>
        </w:numPr>
        <w:spacing w:before="200" w:after="100" w:line="240" w:lineRule="auto"/>
        <w:jc w:val="both"/>
        <w:rPr>
          <w:rFonts w:eastAsia="Arial" w:cstheme="minorHAnsi"/>
          <w:kern w:val="2"/>
        </w:rPr>
      </w:pPr>
      <w:r>
        <w:lastRenderedPageBreak/>
        <w:t>I avsnitt HE 0, avsnitt 4.5 Referenssystem för privat bruk i bostäder ska termen ”</w:t>
      </w:r>
      <w:r>
        <w:rPr>
          <w:i/>
        </w:rPr>
        <w:t>privat bruk i bostäder</w:t>
      </w:r>
      <w:r>
        <w:t>” kursiveras både i rubriken och i paragraf 1.</w:t>
      </w:r>
    </w:p>
    <w:p w14:paraId="1F72D64C" w14:textId="6874C4DE" w:rsidR="00C40409" w:rsidRDefault="00C40409" w:rsidP="00A06D23">
      <w:pPr>
        <w:pStyle w:val="ListParagraph"/>
        <w:numPr>
          <w:ilvl w:val="0"/>
          <w:numId w:val="15"/>
        </w:numPr>
        <w:contextualSpacing w:val="0"/>
        <w:jc w:val="both"/>
        <w:rPr>
          <w:rFonts w:eastAsia="Arial" w:cstheme="minorHAnsi"/>
          <w:kern w:val="2"/>
        </w:rPr>
      </w:pPr>
      <w:r>
        <w:t>I avsnitt HE 1 avsnitt 3 Kvantifiering av kravet, avsnitt 3.11. Transmittansen av klimatskalen, termen ”kompakthet” i tabellerna 3.1.1 b-HE1 och tabell 3.1.1 c-HE1, ska vara kursiv.</w:t>
      </w:r>
    </w:p>
    <w:p w14:paraId="25EC06BF" w14:textId="5171D538" w:rsidR="00861802" w:rsidRDefault="009A285F" w:rsidP="00861802">
      <w:pPr>
        <w:pStyle w:val="ListParagraph"/>
        <w:numPr>
          <w:ilvl w:val="0"/>
          <w:numId w:val="15"/>
        </w:numPr>
        <w:contextualSpacing w:val="0"/>
        <w:jc w:val="both"/>
        <w:rPr>
          <w:rFonts w:eastAsia="Arial" w:cstheme="minorHAnsi"/>
          <w:kern w:val="2"/>
        </w:rPr>
      </w:pPr>
      <w:r>
        <w:t>I avsnitt HE 1 avsnitt 3 Kvantifiering av kravet, avsnitt 3.11. Den termiska inneslutningens genomsläpplighet, termen ”kompakthet” i tabellens fotnoter 3.1.1 b-HE1 och tabellerna 3.1.1 c-HE1, och termen ”kompakthet” i tabellen fotnot i tabell 3.1.1 c-HE1 bör vara kursiv.</w:t>
      </w:r>
    </w:p>
    <w:p w14:paraId="170DB451" w14:textId="250D994A" w:rsidR="00AB7DDB" w:rsidRDefault="00AB7DDB" w:rsidP="00861802">
      <w:pPr>
        <w:pStyle w:val="ListParagraph"/>
        <w:numPr>
          <w:ilvl w:val="0"/>
          <w:numId w:val="15"/>
        </w:numPr>
        <w:contextualSpacing w:val="0"/>
        <w:jc w:val="both"/>
        <w:rPr>
          <w:rFonts w:eastAsia="Arial" w:cstheme="minorHAnsi"/>
          <w:kern w:val="2"/>
        </w:rPr>
      </w:pPr>
      <w:r>
        <w:t>I avsnitt HE 1 avsnitt 3 Kvantifiering av kravet, avsnitt 3.1.1. Den termiska inneslutningens genomsläpplighet, avsnitt 3, bör termen ”</w:t>
      </w:r>
      <w:r>
        <w:rPr>
          <w:i/>
        </w:rPr>
        <w:t>privat bruk i bostäder</w:t>
      </w:r>
      <w:r>
        <w:t>” kursiveras både i paragraf 3 och i tabell 3.1.1 b-HE1.</w:t>
      </w:r>
    </w:p>
    <w:p w14:paraId="2D388CBC" w14:textId="0E99E67B" w:rsidR="00D3439E" w:rsidRPr="00D3439E" w:rsidRDefault="00D3439E" w:rsidP="00D3439E">
      <w:pPr>
        <w:pStyle w:val="ListParagraph"/>
        <w:numPr>
          <w:ilvl w:val="0"/>
          <w:numId w:val="15"/>
        </w:numPr>
        <w:contextualSpacing w:val="0"/>
        <w:jc w:val="both"/>
        <w:rPr>
          <w:rFonts w:eastAsia="Arial" w:cstheme="minorHAnsi"/>
          <w:kern w:val="2"/>
        </w:rPr>
      </w:pPr>
      <w:r>
        <w:t>I avsnitt HE 1 avsnitt 3 Kvantifiering av kravet, avsnitt 3.1.1. Den termiska inneslutningens genomsläpplighet, bör termen ”klimatskal” i tabell 3.1.1.c-HE1, vara kursiv.</w:t>
      </w:r>
    </w:p>
    <w:p w14:paraId="73A3DBC7" w14:textId="3265FAE2" w:rsidR="00840E76" w:rsidRDefault="009A285F" w:rsidP="00C06D5A">
      <w:pPr>
        <w:pStyle w:val="ListParagraph"/>
        <w:numPr>
          <w:ilvl w:val="0"/>
          <w:numId w:val="15"/>
        </w:numPr>
        <w:ind w:left="714" w:hanging="357"/>
        <w:contextualSpacing w:val="0"/>
        <w:jc w:val="both"/>
        <w:rPr>
          <w:rFonts w:eastAsia="Arial" w:cstheme="minorHAnsi"/>
          <w:kern w:val="2"/>
        </w:rPr>
      </w:pPr>
      <w:r>
        <w:t>I avsnitt HE 1, avsnitt 3, Kvantifiering av kravet, avsnitt 3.1.2 Solreglering av termisk genomsläpplighet, där följande anges: ”Tabell 3.1.2-HE1 Gränsvärde för solskyddsparametern QSOL;jul,lim [KWh/m</w:t>
      </w:r>
      <w:r>
        <w:rPr>
          <w:vertAlign w:val="superscript"/>
        </w:rPr>
        <w:t>2</w:t>
      </w:r>
      <w:r>
        <w:t>·mes]” ska lyda med ”sun;jul,lim” som undertext: ”Tabell 3.1.2-HE1 Gränsvärde för solskyddsparametern q</w:t>
      </w:r>
      <w:r>
        <w:rPr>
          <w:vertAlign w:val="subscript"/>
        </w:rPr>
        <w:t>sol;jul,lim</w:t>
      </w:r>
      <w:r>
        <w:t xml:space="preserve"> [KWh/m</w:t>
      </w:r>
      <w:r>
        <w:rPr>
          <w:vertAlign w:val="superscript"/>
        </w:rPr>
        <w:t>2</w:t>
      </w:r>
      <w:r>
        <w:t>·mes]».</w:t>
      </w:r>
    </w:p>
    <w:p w14:paraId="0D568F6A" w14:textId="54EC4798" w:rsidR="00080851" w:rsidRDefault="00080851" w:rsidP="00080851">
      <w:pPr>
        <w:pStyle w:val="ListParagraph"/>
        <w:numPr>
          <w:ilvl w:val="0"/>
          <w:numId w:val="15"/>
        </w:numPr>
        <w:contextualSpacing w:val="0"/>
        <w:jc w:val="both"/>
        <w:rPr>
          <w:rFonts w:eastAsia="Arial" w:cstheme="minorHAnsi"/>
          <w:kern w:val="2"/>
        </w:rPr>
      </w:pPr>
      <w:r>
        <w:t>I avsnitt HE 1, avsnitt 3 Kvantifiering av kravet, avsnitt 3.1.3 Luftgenomsläpplighet för klimatskalet, ska termen ”klimatskalet” anges med kursiv stil.</w:t>
      </w:r>
    </w:p>
    <w:p w14:paraId="6C69F09F" w14:textId="174D853F" w:rsidR="00C06D5A" w:rsidRDefault="003E1EAB" w:rsidP="003F6E54">
      <w:pPr>
        <w:pStyle w:val="ListParagraph"/>
        <w:numPr>
          <w:ilvl w:val="0"/>
          <w:numId w:val="15"/>
        </w:numPr>
        <w:contextualSpacing w:val="0"/>
        <w:jc w:val="both"/>
        <w:rPr>
          <w:rFonts w:eastAsia="Arial" w:cstheme="minorHAnsi"/>
          <w:kern w:val="2"/>
        </w:rPr>
      </w:pPr>
      <w:r>
        <w:t>I avsnitt HE 1, avsnitt 3 Kvantifiering av kravet, avsnitt 3.1.3 Luftgenomsläpplighet för klimatskal, bör termen ”kompakthet” i tabell 3.1.3 b-HE1, termen ”kompakthet” i tabellen i tabell 3.1.3.b-HE1 och termen ”privat användning i bostäder” i paragraf 3 vara kursiv.</w:t>
      </w:r>
    </w:p>
    <w:p w14:paraId="6B53827F" w14:textId="3E4A46B4" w:rsidR="001C0414" w:rsidRPr="001C0414" w:rsidRDefault="003E1EAB" w:rsidP="003F6E54">
      <w:pPr>
        <w:pStyle w:val="ListParagraph"/>
        <w:numPr>
          <w:ilvl w:val="0"/>
          <w:numId w:val="15"/>
        </w:numPr>
        <w:contextualSpacing w:val="0"/>
        <w:jc w:val="both"/>
        <w:rPr>
          <w:rFonts w:eastAsia="Arial" w:cstheme="minorHAnsi"/>
          <w:kern w:val="2"/>
        </w:rPr>
      </w:pPr>
      <w:r>
        <w:t>I avsnitt HE 1, avsnitt 4 Motivering av kravet bör termen ”kompakhet” i avsnitt 4.1.b) och termen ”privat bruk” i avsnitt 4.1.g) anges med kursiv stil.</w:t>
      </w:r>
    </w:p>
    <w:p w14:paraId="32DB053F" w14:textId="46389233" w:rsidR="005074AB" w:rsidRPr="003934E5" w:rsidRDefault="005074AB" w:rsidP="005074AB">
      <w:pPr>
        <w:numPr>
          <w:ilvl w:val="0"/>
          <w:numId w:val="15"/>
        </w:numPr>
        <w:spacing w:before="200" w:after="100" w:line="240" w:lineRule="auto"/>
        <w:jc w:val="both"/>
        <w:rPr>
          <w:rFonts w:eastAsia="Arial" w:cstheme="minorHAnsi"/>
          <w:kern w:val="2"/>
        </w:rPr>
      </w:pPr>
      <w:r>
        <w:t>I avsnitt HE 4, avsnitt 3, Kvantifiering av kravet, avsnitt 3.1 Minsta bidrag från förnybara energikällor för uppvärmning av DHW och/eller pool, paragraf 4, där följande anges: ”... mer än 2,5 när de aktiveras elektriskt och större än 1,15 när de drivs med värmeenergi...” ska lyda ”... lika med eller större än 2,5 när de drivs med el och är lika med eller större än 1,15 när de drivs med värmeenergi...”.</w:t>
      </w:r>
    </w:p>
    <w:p w14:paraId="17650553" w14:textId="65DABA62" w:rsidR="005074AB" w:rsidRPr="003934E5" w:rsidRDefault="003E1EAB" w:rsidP="005074AB">
      <w:pPr>
        <w:numPr>
          <w:ilvl w:val="0"/>
          <w:numId w:val="15"/>
        </w:numPr>
        <w:spacing w:before="200" w:after="100" w:line="240" w:lineRule="auto"/>
        <w:jc w:val="both"/>
        <w:rPr>
          <w:rFonts w:eastAsia="Arial" w:cstheme="minorHAnsi"/>
          <w:kern w:val="2"/>
        </w:rPr>
      </w:pPr>
      <w:r>
        <w:t>I avsnitt HE 4, avsnitt 3, Kvantifiering av kravet, avsnitt 3.1 Minsta bidrag från förnybara energikällor för uppvärmning av DHW och/eller pool, paragraf 5, där följande anges: ”... bostadshus...” bör det stå ”... byggnader för privat bruk...”</w:t>
      </w:r>
    </w:p>
    <w:p w14:paraId="198A06EA" w14:textId="307304FC" w:rsidR="005074AB" w:rsidRPr="009064BC" w:rsidRDefault="003E1EAB" w:rsidP="00547307">
      <w:pPr>
        <w:numPr>
          <w:ilvl w:val="0"/>
          <w:numId w:val="15"/>
        </w:numPr>
        <w:ind w:left="714" w:hanging="357"/>
        <w:jc w:val="both"/>
        <w:rPr>
          <w:rFonts w:cstheme="minorHAnsi"/>
        </w:rPr>
      </w:pPr>
      <w:r>
        <w:t xml:space="preserve">I avsnitt HE 4 före avsnitt ”5.1. ”Genomförande” ska följande införas: «5. Konstruktion, upprätthållande och underhåll” som titel. </w:t>
      </w:r>
    </w:p>
    <w:p w14:paraId="5F37F69A" w14:textId="6CD803CA" w:rsidR="005074AB" w:rsidRPr="00840E76" w:rsidRDefault="005074AB" w:rsidP="00547307">
      <w:pPr>
        <w:numPr>
          <w:ilvl w:val="0"/>
          <w:numId w:val="15"/>
        </w:numPr>
        <w:spacing w:before="200" w:after="100" w:line="240" w:lineRule="auto"/>
        <w:ind w:left="714" w:hanging="357"/>
        <w:jc w:val="both"/>
        <w:rPr>
          <w:rFonts w:eastAsia="Arial" w:cstheme="minorHAnsi"/>
          <w:kern w:val="2"/>
        </w:rPr>
      </w:pPr>
      <w:r>
        <w:lastRenderedPageBreak/>
        <w:t>På sidan 140553, bilaga A Terminologi, ska det i definitionen av ”Total värmeöverföringskoefficient (genom byggnadens klimatskal) (K)” ersättas med följande: ”... K = X Hx/Aint...” ska lyda med ”x”, ”x” och ”int” som undertext: ”... K = и</w:t>
      </w:r>
      <w:r>
        <w:rPr>
          <w:vertAlign w:val="subscript"/>
        </w:rPr>
        <w:t>x</w:t>
      </w:r>
      <w:r>
        <w:t xml:space="preserve"> H</w:t>
      </w:r>
      <w:r>
        <w:rPr>
          <w:vertAlign w:val="subscript"/>
        </w:rPr>
        <w:t>x</w:t>
      </w:r>
      <w:r>
        <w:t xml:space="preserve"> /A</w:t>
      </w:r>
      <w:r>
        <w:rPr>
          <w:vertAlign w:val="subscript"/>
        </w:rPr>
        <w:t>int</w:t>
      </w:r>
      <w:r>
        <w:t>...”.</w:t>
      </w:r>
    </w:p>
    <w:p w14:paraId="36164C8D" w14:textId="457C8028" w:rsidR="00840E76" w:rsidRDefault="003E1EAB" w:rsidP="00840E76">
      <w:pPr>
        <w:numPr>
          <w:ilvl w:val="0"/>
          <w:numId w:val="15"/>
        </w:numPr>
        <w:spacing w:before="200" w:after="100" w:line="240" w:lineRule="auto"/>
        <w:jc w:val="both"/>
        <w:rPr>
          <w:rFonts w:eastAsia="Arial" w:cstheme="minorHAnsi"/>
          <w:kern w:val="2"/>
        </w:rPr>
      </w:pPr>
      <w:r>
        <w:t>I bilaga A Terminologi bör ordet ”kompakthet” i andra paragrafen vara kursivt i definitionen av ”kompakthet”.</w:t>
      </w:r>
    </w:p>
    <w:p w14:paraId="544D530D" w14:textId="09FE0403" w:rsidR="003F6E54" w:rsidRPr="003934E5" w:rsidRDefault="003F6E54" w:rsidP="003F6E54">
      <w:pPr>
        <w:numPr>
          <w:ilvl w:val="0"/>
          <w:numId w:val="15"/>
        </w:numPr>
        <w:spacing w:before="200" w:after="100" w:line="240" w:lineRule="auto"/>
        <w:jc w:val="both"/>
        <w:rPr>
          <w:rFonts w:eastAsia="Arial" w:cstheme="minorHAnsi"/>
          <w:kern w:val="2"/>
        </w:rPr>
      </w:pPr>
      <w:r>
        <w:t>I bilaga A Terminologi bör termen ”privat bruk” i definitionen av ”driftsförhållanden” vara kursiv.</w:t>
      </w:r>
    </w:p>
    <w:p w14:paraId="00FC699C" w14:textId="7DE692E3" w:rsidR="005074AB" w:rsidRPr="003934E5" w:rsidRDefault="003E1EAB" w:rsidP="005074AB">
      <w:pPr>
        <w:numPr>
          <w:ilvl w:val="0"/>
          <w:numId w:val="15"/>
        </w:numPr>
        <w:spacing w:before="200" w:after="100" w:line="240" w:lineRule="auto"/>
        <w:jc w:val="both"/>
        <w:rPr>
          <w:rFonts w:eastAsia="Arial" w:cstheme="minorHAnsi"/>
          <w:kern w:val="2"/>
        </w:rPr>
      </w:pPr>
      <w:r>
        <w:t>I bilaga A Terminologi, i definitionen av icke-förnybar primärenergianvändning, där den har följande lydelse: ”... Icke-förnybar primärenergianvändning...” ska lyda, med ”ep,nren” i nedsänkt text: ”... Icke-förnybar primärenergianvändning (C</w:t>
      </w:r>
      <w:r>
        <w:rPr>
          <w:vertAlign w:val="subscript"/>
        </w:rPr>
        <w:t>ep,nren</w:t>
      </w:r>
      <w:r>
        <w:t>)...”.</w:t>
      </w:r>
    </w:p>
    <w:p w14:paraId="6E6C3C38" w14:textId="5B03794E" w:rsidR="005074AB" w:rsidRPr="003934E5" w:rsidRDefault="003E1EAB" w:rsidP="005074AB">
      <w:pPr>
        <w:numPr>
          <w:ilvl w:val="0"/>
          <w:numId w:val="15"/>
        </w:numPr>
        <w:spacing w:before="200" w:after="100" w:line="240" w:lineRule="auto"/>
        <w:jc w:val="both"/>
        <w:rPr>
          <w:rFonts w:eastAsia="Arial" w:cstheme="minorHAnsi"/>
          <w:kern w:val="2"/>
        </w:rPr>
      </w:pPr>
      <w:r>
        <w:t>I bilaga A Terminologi, i definitionen av ”total primärenergianvändning”, där det står: ”... Total primärenergianvändning...” bör det stå med ”ep,tot” i nedsänkt text: ”... Total primärenergianvändning (C</w:t>
      </w:r>
      <w:r>
        <w:rPr>
          <w:vertAlign w:val="subscript"/>
        </w:rPr>
        <w:t>ep,tot</w:t>
      </w:r>
      <w:r>
        <w:t>)...”.</w:t>
      </w:r>
    </w:p>
    <w:p w14:paraId="7D78A910" w14:textId="4F934047" w:rsidR="00171BC6" w:rsidRPr="003F6E54" w:rsidRDefault="003E1EAB" w:rsidP="00FB3F17">
      <w:pPr>
        <w:numPr>
          <w:ilvl w:val="0"/>
          <w:numId w:val="15"/>
        </w:numPr>
        <w:spacing w:before="200" w:after="100" w:line="240" w:lineRule="auto"/>
        <w:jc w:val="both"/>
        <w:rPr>
          <w:rFonts w:eastAsia="Arial" w:cstheme="minorHAnsi"/>
          <w:kern w:val="2"/>
        </w:rPr>
      </w:pPr>
      <w:r>
        <w:t>I bilaga A Terminologi, i definitionen av ”solreglering (q</w:t>
      </w:r>
      <w:r>
        <w:rPr>
          <w:vertAlign w:val="subscript"/>
        </w:rPr>
        <w:t>sol;ju</w:t>
      </w:r>
      <w:r>
        <w:t>)”, där den lyder: ”... den användbara ytan av utrymmena...” bör den ha följande lydelse: ”... den användbara ytan av bostadsutrymmena...”</w:t>
      </w:r>
    </w:p>
    <w:p w14:paraId="5F15C0C7" w14:textId="0371978A" w:rsidR="003F6E54" w:rsidRDefault="003F6E54" w:rsidP="003F6E54">
      <w:pPr>
        <w:numPr>
          <w:ilvl w:val="0"/>
          <w:numId w:val="15"/>
        </w:numPr>
        <w:spacing w:before="200" w:after="100" w:line="240" w:lineRule="auto"/>
        <w:jc w:val="both"/>
        <w:rPr>
          <w:rFonts w:eastAsia="Arial" w:cstheme="minorHAnsi"/>
          <w:kern w:val="2"/>
        </w:rPr>
      </w:pPr>
      <w:r>
        <w:t>I bilaga A Terminologi bör termen ”privat bruk” i definitionen av ”konditionerat bostadsutrymme” vara kursiv.</w:t>
      </w:r>
    </w:p>
    <w:p w14:paraId="37CF326B" w14:textId="7A62E78A" w:rsidR="003F6E54" w:rsidRDefault="003F6E54" w:rsidP="003F6E54">
      <w:pPr>
        <w:numPr>
          <w:ilvl w:val="0"/>
          <w:numId w:val="15"/>
        </w:numPr>
        <w:spacing w:before="200" w:after="100" w:line="240" w:lineRule="auto"/>
        <w:jc w:val="both"/>
        <w:rPr>
          <w:rFonts w:eastAsia="Arial" w:cstheme="minorHAnsi"/>
          <w:kern w:val="2"/>
        </w:rPr>
      </w:pPr>
      <w:r>
        <w:t>I bilaga A Terminologi bör termen ”privat bruk” i andra paragrafen i definitionen av användningssätt anges med kursiv stil.</w:t>
      </w:r>
    </w:p>
    <w:p w14:paraId="3F599B22" w14:textId="2380EDD2" w:rsidR="003F6E54" w:rsidRDefault="003F6E54" w:rsidP="003F6E54">
      <w:pPr>
        <w:numPr>
          <w:ilvl w:val="0"/>
          <w:numId w:val="15"/>
        </w:numPr>
        <w:spacing w:before="200" w:after="100" w:line="240" w:lineRule="auto"/>
        <w:jc w:val="both"/>
        <w:rPr>
          <w:rFonts w:eastAsia="Arial" w:cstheme="minorHAnsi"/>
          <w:kern w:val="2"/>
        </w:rPr>
      </w:pPr>
      <w:r>
        <w:t>I bilaga A Terminologi bör termen ”privat bruk” i definitionen av anläggningens energieffektivitetsvärde (VEEI) vara kursiv.</w:t>
      </w:r>
    </w:p>
    <w:p w14:paraId="24304584" w14:textId="5B24531B" w:rsidR="003F6E54" w:rsidRPr="00840E76" w:rsidRDefault="003F6E54" w:rsidP="003F6E54">
      <w:pPr>
        <w:numPr>
          <w:ilvl w:val="0"/>
          <w:numId w:val="15"/>
        </w:numPr>
        <w:spacing w:before="200" w:after="100" w:line="240" w:lineRule="auto"/>
        <w:jc w:val="both"/>
        <w:rPr>
          <w:rFonts w:eastAsia="Arial" w:cstheme="minorHAnsi"/>
          <w:kern w:val="2"/>
        </w:rPr>
      </w:pPr>
      <w:r>
        <w:t>I bilaga C bör termen ”klimatskal” anges med kursiv stil vid definitionen av klimatskal.</w:t>
      </w:r>
    </w:p>
    <w:p w14:paraId="6DC93123" w14:textId="1B19CD34" w:rsidR="00840E76" w:rsidRDefault="003E1EAB" w:rsidP="007075D9">
      <w:pPr>
        <w:numPr>
          <w:ilvl w:val="0"/>
          <w:numId w:val="15"/>
        </w:numPr>
        <w:spacing w:before="200" w:after="100" w:line="240" w:lineRule="auto"/>
        <w:jc w:val="both"/>
        <w:rPr>
          <w:rFonts w:eastAsia="Arial" w:cstheme="minorHAnsi"/>
          <w:kern w:val="2"/>
        </w:rPr>
      </w:pPr>
      <w:r>
        <w:t>I bilaga D Operativa villkor och användningsprofiler ska begreppen ”driftsförhållanden” och ”Användningsprofiler” i rubriken, paragraf 2 och tabellerna a-bilaga D, tabell b-bilaga D och tabell c-bilaga D kursiveras i rubriken.</w:t>
      </w:r>
    </w:p>
    <w:p w14:paraId="47E1F5F1" w14:textId="3014A77D" w:rsidR="007075D9" w:rsidRDefault="007075D9" w:rsidP="007075D9">
      <w:pPr>
        <w:numPr>
          <w:ilvl w:val="0"/>
          <w:numId w:val="15"/>
        </w:numPr>
        <w:spacing w:before="200" w:after="100" w:line="240" w:lineRule="auto"/>
        <w:jc w:val="both"/>
        <w:rPr>
          <w:rFonts w:eastAsia="Arial" w:cstheme="minorHAnsi"/>
          <w:kern w:val="2"/>
        </w:rPr>
      </w:pPr>
      <w:r>
        <w:t>I bilaga E Indikativa värden för transmittans ska termen ”privat bruk i bostäder” i avsnitt 1 vara kursiv.</w:t>
      </w:r>
    </w:p>
    <w:p w14:paraId="236A2713" w14:textId="24851D32" w:rsidR="007075D9" w:rsidRDefault="007075D9" w:rsidP="007075D9">
      <w:pPr>
        <w:numPr>
          <w:ilvl w:val="0"/>
          <w:numId w:val="15"/>
        </w:numPr>
        <w:spacing w:before="200" w:after="100" w:line="240" w:lineRule="auto"/>
        <w:jc w:val="both"/>
        <w:rPr>
          <w:rFonts w:eastAsia="Arial" w:cstheme="minorHAnsi"/>
          <w:kern w:val="2"/>
        </w:rPr>
      </w:pPr>
      <w:r>
        <w:t>I bilaga F ACS referensefterfrågan bör termen ”privat bruk i bostäder” anges med kursiv stil både i avsnitt 1 och i tabell a-bilaga F.</w:t>
      </w:r>
    </w:p>
    <w:p w14:paraId="799F7AD6" w14:textId="746A1CEA" w:rsidR="005074AB" w:rsidRPr="007075D9" w:rsidRDefault="003E1EAB" w:rsidP="00847CB0">
      <w:pPr>
        <w:numPr>
          <w:ilvl w:val="0"/>
          <w:numId w:val="15"/>
        </w:numPr>
        <w:spacing w:before="200" w:after="100" w:line="240" w:lineRule="auto"/>
        <w:jc w:val="both"/>
        <w:rPr>
          <w:rFonts w:eastAsia="Arial" w:cstheme="minorHAnsi"/>
          <w:kern w:val="2"/>
        </w:rPr>
      </w:pPr>
      <w:r>
        <w:t>I bilaga H Fastställande av byggnadens luftgenomsläpplighet, i avsnitt 2 Fastställande av referensvärden, där följande anges: ”... 2. Värdet på förhållandet mellan luftväxlingen vid 50 Pa, n50, kan beräknas med hjälp av följande ekvation:” där den ska lyda: ”... 1. Värdet för förhållandet mellan luftförändringen vid 50 Pa, n50 med referensvärden ska erhållas från följande uttryck: ’n</w:t>
      </w:r>
      <w:r>
        <w:rPr>
          <w:vertAlign w:val="subscript"/>
        </w:rPr>
        <w:t>50</w:t>
      </w:r>
      <w:r>
        <w:t xml:space="preserve"> = 0,629· (C</w:t>
      </w:r>
      <w:r>
        <w:rPr>
          <w:vertAlign w:val="subscript"/>
        </w:rPr>
        <w:t>o</w:t>
      </w:r>
      <w:r>
        <w:t>· A</w:t>
      </w:r>
      <w:r>
        <w:rPr>
          <w:vertAlign w:val="subscript"/>
        </w:rPr>
        <w:t>o</w:t>
      </w:r>
      <w:r>
        <w:t xml:space="preserve"> + C</w:t>
      </w:r>
      <w:r>
        <w:rPr>
          <w:vertAlign w:val="subscript"/>
        </w:rPr>
        <w:t>h</w:t>
      </w:r>
      <w:r>
        <w:t xml:space="preserve"> · A</w:t>
      </w:r>
      <w:r>
        <w:rPr>
          <w:vertAlign w:val="subscript"/>
        </w:rPr>
        <w:t>h</w:t>
      </w:r>
      <w:r>
        <w:t>)/V” ska ha följande lydelse: ”n</w:t>
      </w:r>
      <w:r>
        <w:rPr>
          <w:vertAlign w:val="subscript"/>
        </w:rPr>
        <w:t>50</w:t>
      </w:r>
      <w:r>
        <w:t xml:space="preserve"> = 0,629· (C</w:t>
      </w:r>
      <w:r>
        <w:rPr>
          <w:vertAlign w:val="subscript"/>
        </w:rPr>
        <w:t>o</w:t>
      </w:r>
      <w:r>
        <w:t xml:space="preserve"> · A</w:t>
      </w:r>
      <w:r>
        <w:rPr>
          <w:vertAlign w:val="subscript"/>
        </w:rPr>
        <w:t>o</w:t>
      </w:r>
      <w:r>
        <w:t xml:space="preserve"> + C</w:t>
      </w:r>
      <w:r>
        <w:rPr>
          <w:vertAlign w:val="subscript"/>
        </w:rPr>
        <w:t>h</w:t>
      </w:r>
      <w:r>
        <w:t xml:space="preserve"> · A)/V</w:t>
      </w:r>
      <w:r>
        <w:rPr>
          <w:vertAlign w:val="subscript"/>
        </w:rPr>
        <w:t xml:space="preserve"> i</w:t>
      </w:r>
      <w:r>
        <w:t>”, där den lyder: ”V är klimatskalets inre volym i [m</w:t>
      </w:r>
      <w:r>
        <w:rPr>
          <w:vertAlign w:val="superscript"/>
        </w:rPr>
        <w:t>3</w:t>
      </w:r>
      <w:r>
        <w:t>]” ska den ha följande lydelse: ”V</w:t>
      </w:r>
      <w:r>
        <w:rPr>
          <w:vertAlign w:val="subscript"/>
        </w:rPr>
        <w:t>int</w:t>
      </w:r>
      <w:r>
        <w:t xml:space="preserve"> är den inre luftvolymen i </w:t>
      </w:r>
      <w:r>
        <w:rPr>
          <w:i/>
        </w:rPr>
        <w:t>klimatskalet</w:t>
      </w:r>
      <w:r>
        <w:t>, i [m</w:t>
      </w:r>
      <w:r>
        <w:rPr>
          <w:vertAlign w:val="superscript"/>
        </w:rPr>
        <w:t>3</w:t>
      </w:r>
      <w:r>
        <w:t>]”, och där den lyder: ”A</w:t>
      </w:r>
      <w:r>
        <w:rPr>
          <w:vertAlign w:val="subscript"/>
        </w:rPr>
        <w:t>o</w:t>
      </w:r>
      <w:r>
        <w:t xml:space="preserve"> är ytan på den ogenomskinliga delen av klimatskalet, i [m</w:t>
      </w:r>
      <w:r>
        <w:rPr>
          <w:vertAlign w:val="superscript"/>
        </w:rPr>
        <w:t>2</w:t>
      </w:r>
      <w:r>
        <w:t>]” där den ska ha följande lydelse: ”A</w:t>
      </w:r>
      <w:r>
        <w:rPr>
          <w:vertAlign w:val="subscript"/>
        </w:rPr>
        <w:t>o</w:t>
      </w:r>
      <w:r>
        <w:t xml:space="preserve"> är ytan på den ogenomskinliga delen av </w:t>
      </w:r>
      <w:r>
        <w:rPr>
          <w:i/>
        </w:rPr>
        <w:t>klimatskalet</w:t>
      </w:r>
      <w:r>
        <w:t xml:space="preserve"> i kontakt med utomhusluft, vid [m</w:t>
      </w:r>
      <w:r>
        <w:rPr>
          <w:vertAlign w:val="superscript"/>
        </w:rPr>
        <w:t>2</w:t>
      </w:r>
      <w:r>
        <w:t>]”.</w:t>
      </w:r>
    </w:p>
    <w:p w14:paraId="25E43F9C" w14:textId="79111767" w:rsidR="007075D9" w:rsidRPr="003934E5" w:rsidRDefault="007075D9" w:rsidP="007075D9">
      <w:pPr>
        <w:numPr>
          <w:ilvl w:val="0"/>
          <w:numId w:val="15"/>
        </w:numPr>
        <w:spacing w:before="200" w:after="100" w:line="240" w:lineRule="auto"/>
        <w:jc w:val="both"/>
        <w:rPr>
          <w:rFonts w:eastAsia="Arial" w:cstheme="minorHAnsi"/>
          <w:kern w:val="2"/>
        </w:rPr>
      </w:pPr>
      <w:r>
        <w:lastRenderedPageBreak/>
        <w:t>I bilaga H Bestämning av byggnadens luftgenomsläpplighet bör termen ”klimatskal” anges med kursiv stil i beskrivningen av termerna V</w:t>
      </w:r>
      <w:r>
        <w:rPr>
          <w:vertAlign w:val="subscript"/>
        </w:rPr>
        <w:t>int</w:t>
      </w:r>
      <w:r>
        <w:t>, C</w:t>
      </w:r>
      <w:r>
        <w:rPr>
          <w:vertAlign w:val="subscript"/>
        </w:rPr>
        <w:t>o</w:t>
      </w:r>
      <w:r>
        <w:t>, C</w:t>
      </w:r>
      <w:r>
        <w:rPr>
          <w:vertAlign w:val="subscript"/>
        </w:rPr>
        <w:t>h</w:t>
      </w:r>
      <w:r>
        <w:t>, A och i tabell a-bilaga H</w:t>
      </w:r>
    </w:p>
    <w:p w14:paraId="7A548AE7" w14:textId="77777777" w:rsidR="0024794E" w:rsidRDefault="002F25C7" w:rsidP="0024794E">
      <w:pPr>
        <w:spacing w:before="200" w:after="100" w:line="240" w:lineRule="auto"/>
        <w:jc w:val="both"/>
        <w:rPr>
          <w:rFonts w:eastAsia="Arial" w:cstheme="minorHAnsi"/>
          <w:kern w:val="2"/>
          <w:szCs w:val="24"/>
        </w:rPr>
      </w:pPr>
      <w:r>
        <w:t xml:space="preserve">Sex. Rättelser av de fel och felskrivningar som noterats görs på följande sätt: Grundläggande dokument DB-HS ”Sanering” som ingår i del II i den tekniska byggkoden: </w:t>
      </w:r>
    </w:p>
    <w:p w14:paraId="169CA6E1" w14:textId="77777777"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I HS-avsnitt 4 ”Vattenförsörjning” i avsnitt 6.2 ska bokstaven ”e) polyvinylkloridklorerade (PVC-C)-rör enligt UNE-EN ISO 15874–1:2013, UNE-EN ISO 15874–2:2013 och UNE-EN ISO 15874–3:2013” ersättas med bokstaven ”e) rör av polyklorerad vinylklorid (PVC-C), i enlighet med UNE-EN ISO 15877–1:2009 (+UNE-EN ISO 15877–1:2009/A1): 2011), UNE-EN ISO 15877-2:2009 (+UNE-EN ISO 15877-2:2009/A1: 2011) och UNE-EN ISO 15877–3:2009 (+UNE-EN ISO 15877–3:2009/A1: 2011);”.</w:t>
      </w:r>
    </w:p>
    <w:p w14:paraId="3C70C58A" w14:textId="2B44818E"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I avsnitt HS 4 ”Vattenförsörjning”, i avsnitt 6.2, bokstaven ”h) polybutylenrör (PB) enligt UNE-EN ISO 15876–1:2017, UNE-EN ISO 15876–2:2017 och UNE-EN ISO 15876–3:2017,” ska ersättas med bokstaven ”h) polybutylenrör (PB) enligt UNE-EN ISO 15876–1:2017, UNE-EN ISO 15876–2:2017 och UNE-EN ISO 15876–3:2017;”.</w:t>
      </w:r>
    </w:p>
    <w:p w14:paraId="48BF6FE7" w14:textId="7ED23651"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I bilaga C. Referensstandarder, där den har följande lydelse: Plaströrsystem för varm- och kallvatteninstallationer. Polybutylen (PB). Del 1: Allmänt” ska den ha följande lydelse: Plaströrsystem för varm- och kallvatteninstallationer. Polybuten (PB). Del 1: Allmänt</w:t>
      </w:r>
    </w:p>
    <w:p w14:paraId="35A52A28" w14:textId="2205E891"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I bilaga C. Referensstandarder, där den har följande lydelse: Plaströrsystem för varm- och kallvatteninstallationer. Polybutylen (PB). Del 2: Rör” ska den ha följande lydelse: Plaströrsystem för varm- och kallvatteninstallationer. Polybuten (PB). Del 2: Rör.</w:t>
      </w:r>
    </w:p>
    <w:p w14:paraId="31E52182" w14:textId="7D5C8545"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I bilaga C. Referensstandarder, där den har följande lydelse: Plaströrsystem för varm- och kallvatteninstallationer. Polybutylen (PB). Del 3: Tillbehör” ska den ha följande lydelse: Plaströrsystem för varm- och kallvatteninstallationer. Polybuten (PB). Del 3: Rördelar.</w:t>
      </w:r>
    </w:p>
    <w:p w14:paraId="7B4F5591" w14:textId="1AFCAEDB" w:rsidR="00AB00C9" w:rsidRPr="0024794E" w:rsidRDefault="0024794E" w:rsidP="0024794E">
      <w:pPr>
        <w:pStyle w:val="ListParagraph"/>
        <w:numPr>
          <w:ilvl w:val="0"/>
          <w:numId w:val="26"/>
        </w:numPr>
        <w:spacing w:before="200" w:after="100" w:line="240" w:lineRule="auto"/>
        <w:jc w:val="both"/>
        <w:rPr>
          <w:rFonts w:eastAsia="Arial" w:cstheme="minorHAnsi"/>
          <w:kern w:val="2"/>
          <w:szCs w:val="24"/>
        </w:rPr>
      </w:pPr>
      <w:r>
        <w:t>I bilaga C. Referensstandarder ska följande införas efter hänvisningen till standarden ”UNE-EN ISO 15876–3: 2017</w:t>
      </w:r>
      <w:r>
        <w:tab/>
        <w:t>Plaströrsystem för varm- och kallvatteninstallationer. Polybuten (PB). Del 3: Rördelar” följande standarder:</w:t>
      </w:r>
    </w:p>
    <w:p w14:paraId="5A496CEC" w14:textId="6500843E" w:rsidR="00AD074F" w:rsidRDefault="00AD074F" w:rsidP="0024794E">
      <w:pPr>
        <w:pStyle w:val="ListParagraph"/>
        <w:spacing w:after="120"/>
        <w:ind w:left="709"/>
        <w:jc w:val="both"/>
      </w:pPr>
      <w:r>
        <w:t xml:space="preserve">”UNE-EN ISO 15877–1:2009 Plaströrsystem för varm- och kallvatteninstallationer. Klorerad poly (vinylklorid) (PVC-C). Del 1: Allmänna bestämmelser (+UNE-EN ISO 15877–1:2009/A1:2011) </w:t>
      </w:r>
    </w:p>
    <w:p w14:paraId="2A3E9EAB" w14:textId="77777777" w:rsidR="00AD074F" w:rsidRDefault="00AD074F" w:rsidP="0024794E">
      <w:pPr>
        <w:pStyle w:val="ListParagraph"/>
        <w:spacing w:after="120"/>
        <w:ind w:left="709"/>
        <w:jc w:val="both"/>
      </w:pPr>
    </w:p>
    <w:p w14:paraId="13BBCC1D" w14:textId="5E8C5E6F" w:rsidR="00AD074F" w:rsidRDefault="00AD074F" w:rsidP="0024794E">
      <w:pPr>
        <w:pStyle w:val="ListParagraph"/>
        <w:spacing w:after="120"/>
        <w:ind w:left="709"/>
        <w:jc w:val="both"/>
      </w:pPr>
      <w:r>
        <w:t xml:space="preserve">Une-EN ISO 15877–2:2009 Plaströrsystem för varm- och kallvatteninstallationer. Klorerad poly (vinylklorid) (PVC-C). Del 2: Rör. (+UNE-EN ISO 15877–2:2009/A1:2011) </w:t>
      </w:r>
    </w:p>
    <w:p w14:paraId="68B6455D" w14:textId="77777777" w:rsidR="00AD074F" w:rsidRDefault="00AD074F" w:rsidP="0024794E">
      <w:pPr>
        <w:pStyle w:val="ListParagraph"/>
        <w:spacing w:after="120"/>
        <w:ind w:left="709"/>
        <w:jc w:val="both"/>
      </w:pPr>
    </w:p>
    <w:p w14:paraId="52605DFD" w14:textId="76152F49" w:rsidR="00AD074F" w:rsidRDefault="00802B87" w:rsidP="0024794E">
      <w:pPr>
        <w:pStyle w:val="ListParagraph"/>
        <w:spacing w:after="120"/>
        <w:ind w:left="709"/>
        <w:jc w:val="both"/>
      </w:pPr>
      <w:r>
        <w:t>Une-EN ISO 15877–3:2009 Plaströrsystem för varm- och kallvatteninstallationer. Klorerad poly (vinylklorid) (PVC-C). Del 3: Rördelar. (+UNE-EN ISO 15877–3:2009/A1:2011)</w:t>
      </w:r>
    </w:p>
    <w:p w14:paraId="30F2E766" w14:textId="038A7758" w:rsidR="005074AB" w:rsidRPr="00431D05" w:rsidRDefault="005074AB" w:rsidP="005074AB">
      <w:pPr>
        <w:jc w:val="both"/>
        <w:rPr>
          <w:rFonts w:cstheme="minorHAnsi"/>
          <w:bCs/>
          <w:i/>
          <w:iCs/>
        </w:rPr>
      </w:pPr>
      <w:r>
        <w:t xml:space="preserve">Första övergångsbestämmelsen. </w:t>
      </w:r>
      <w:r>
        <w:rPr>
          <w:i/>
        </w:rPr>
        <w:t>Byggnader som är undantagna från bestämmelserna i denna kungliga förordning.</w:t>
      </w:r>
    </w:p>
    <w:p w14:paraId="71A41130" w14:textId="7184244B" w:rsidR="005074AB" w:rsidRPr="009064BC" w:rsidRDefault="005074AB" w:rsidP="005074AB">
      <w:pPr>
        <w:jc w:val="both"/>
        <w:rPr>
          <w:rFonts w:cstheme="minorHAnsi"/>
        </w:rPr>
      </w:pPr>
      <w:r>
        <w:t xml:space="preserve">De ändringar av de tekniska byggreglerna (CTE) som antas genom detta kungliga dekret ska inte tillämpas på nya byggnader eller på befintliga byggnader som i båda fallen redan har ansökt om tillstånd för kommunalt arbete vid den tidpunkt då detta kungliga dekret träder i kraft. </w:t>
      </w:r>
    </w:p>
    <w:p w14:paraId="6E353956" w14:textId="262DE845" w:rsidR="007B11B1" w:rsidRDefault="005074AB" w:rsidP="005074AB">
      <w:pPr>
        <w:jc w:val="both"/>
        <w:rPr>
          <w:rFonts w:cstheme="minorHAnsi"/>
        </w:rPr>
      </w:pPr>
      <w:r>
        <w:lastRenderedPageBreak/>
        <w:t>Sådana arbeten ska påbörjas inom den maximala effektivitetsperioden för nämnda tillstånd, i enlighet med dess föreskrifter eller, om detta inte är möjligt, inom sex månader efter det att tillståndet beviljats. Om så inte är fallet ska projekten anpassas till de ändringar i den gemensamma tekniska kommittén som godkänts genom denna kungliga förordning.</w:t>
      </w:r>
    </w:p>
    <w:p w14:paraId="78DABA03" w14:textId="77777777" w:rsidR="005074AB" w:rsidRPr="00D47CC2" w:rsidRDefault="005074AB" w:rsidP="005074AB">
      <w:pPr>
        <w:jc w:val="both"/>
        <w:rPr>
          <w:rFonts w:cstheme="minorHAnsi"/>
          <w:bCs/>
          <w:i/>
          <w:iCs/>
        </w:rPr>
      </w:pPr>
      <w:r>
        <w:t xml:space="preserve">Andra övergångsbestämmelsen. </w:t>
      </w:r>
      <w:r>
        <w:rPr>
          <w:i/>
        </w:rPr>
        <w:t>Byggnader för vilka det är frivilligt att tillämpa bestämmelserna i detta kungliga dekret.</w:t>
      </w:r>
    </w:p>
    <w:p w14:paraId="047CBC16" w14:textId="1E288EF7" w:rsidR="00CA5D2D" w:rsidRPr="00B24946" w:rsidRDefault="005074AB" w:rsidP="005074AB">
      <w:pPr>
        <w:jc w:val="both"/>
        <w:rPr>
          <w:rFonts w:cstheme="minorHAnsi"/>
        </w:rPr>
      </w:pPr>
      <w:r>
        <w:t xml:space="preserve">De ändringar i de tekniska byggreglerna som godkänns genom denna kungliga förordning gäller frivilligt för nya byggnadsverk och för arbeten på befintliga byggnader för vilka tillstånd för kommunalt arbete i båda fallen begärs inom sex månader efter det att denna kungliga förordning har trätt i kraft. </w:t>
      </w:r>
    </w:p>
    <w:p w14:paraId="0F321A96" w14:textId="5FE37BEE" w:rsidR="00CA5D2D" w:rsidRDefault="00CA5D2D" w:rsidP="00CA5D2D">
      <w:pPr>
        <w:jc w:val="both"/>
        <w:rPr>
          <w:rFonts w:cstheme="minorHAnsi"/>
        </w:rPr>
      </w:pPr>
      <w:r>
        <w:t>Sådana arbeten ska påbörjas inom den maximala effektivitetsperioden för nämnda tillstånd, i enlighet med dess föreskrifter eller, om detta inte är möjligt, inom sex månader efter det att tillståndet beviljats. Om så inte är fallet ska projekten anpassas till de ändringar i den gemensamma tekniska kommittén som godkänts genom denna kungliga förordning.</w:t>
      </w:r>
    </w:p>
    <w:p w14:paraId="1B48DE1E" w14:textId="77777777" w:rsidR="005074AB" w:rsidRPr="00D47CC2" w:rsidRDefault="005074AB" w:rsidP="005074AB">
      <w:pPr>
        <w:jc w:val="both"/>
        <w:rPr>
          <w:rFonts w:cstheme="minorHAnsi"/>
          <w:bCs/>
          <w:i/>
          <w:iCs/>
        </w:rPr>
      </w:pPr>
      <w:r>
        <w:t xml:space="preserve">Tredje övergångsbestämmelsen. </w:t>
      </w:r>
      <w:r>
        <w:rPr>
          <w:i/>
        </w:rPr>
        <w:t>Byggnader för vilka det är obligatoriskt att tillämpa bestämmelserna i detta kungliga dekret.</w:t>
      </w:r>
    </w:p>
    <w:p w14:paraId="557DDCCB" w14:textId="624E2145" w:rsidR="005074AB" w:rsidRDefault="005074AB" w:rsidP="005074AB">
      <w:pPr>
        <w:jc w:val="both"/>
        <w:rPr>
          <w:rFonts w:cstheme="minorHAnsi"/>
        </w:rPr>
      </w:pPr>
      <w:r>
        <w:t>Tillämpningen av ändringarna i de tekniska byggreglerna (CTE) som antagits genom detta kungliga dekret ska vara obligatorisk för nya byggnader eller arbeten på befintliga byggnader som ansöker om kommunalt arbetstillstånd senare än nio månader efter att denna bestämmelse träder i kraft.</w:t>
      </w:r>
    </w:p>
    <w:p w14:paraId="588C44EA" w14:textId="52803F33" w:rsidR="005074AB" w:rsidRPr="00D47CC2" w:rsidRDefault="005074AB" w:rsidP="005074AB">
      <w:pPr>
        <w:jc w:val="both"/>
        <w:rPr>
          <w:rFonts w:cstheme="minorHAnsi"/>
          <w:bCs/>
          <w:i/>
          <w:iCs/>
        </w:rPr>
      </w:pPr>
      <w:r>
        <w:t xml:space="preserve">Första slutbestämmelsen. </w:t>
      </w:r>
      <w:r>
        <w:rPr>
          <w:i/>
        </w:rPr>
        <w:t>Ändring av kungligt dekret 1053/2014 av den 12 december om godkännande av en ny kompletterande teknisk instruktion (ITC) BT 52 ”Speciella installationer. Infrastruktur för laddning av elfordon”, i de elektrotekniska föreskrifterna för lågspänning, godkända genom kungligt dekret 842/2002 av den 2 augusti, och andra kompletterande tekniska anvisningar ändras.</w:t>
      </w:r>
    </w:p>
    <w:p w14:paraId="183CB7CD" w14:textId="78A1B469" w:rsidR="005074AB" w:rsidRPr="009064BC" w:rsidRDefault="005074AB" w:rsidP="005074AB">
      <w:pPr>
        <w:jc w:val="both"/>
        <w:rPr>
          <w:rFonts w:cstheme="minorHAnsi"/>
        </w:rPr>
      </w:pPr>
      <w:r>
        <w:t>Ett. Den första tilläggsbestämmelsen i kungligt dekret 1053/2014 av den 12 december om godkännande av en ny kompletterande teknisk instruktion (ITC) BT 52 ändras och ska ha följande lydelse:</w:t>
      </w:r>
    </w:p>
    <w:p w14:paraId="6C63F170" w14:textId="77777777" w:rsidR="005074AB" w:rsidRPr="009064BC" w:rsidRDefault="005074AB" w:rsidP="005074AB">
      <w:pPr>
        <w:ind w:left="567"/>
        <w:jc w:val="both"/>
        <w:rPr>
          <w:rFonts w:cstheme="minorHAnsi"/>
        </w:rPr>
      </w:pPr>
      <w:r>
        <w:t>”Första tilläggsbestämmelsen. Minimikonstruktioner för laddning av elfordon på parkeringsplatser som inte är avsedda för byggnader, nybyggda eller som genomgår större renoveringar, och på allmänna vägar.</w:t>
      </w:r>
    </w:p>
    <w:p w14:paraId="0E953183" w14:textId="4FD205B4" w:rsidR="005074AB" w:rsidRPr="00EB58A5" w:rsidRDefault="005074AB" w:rsidP="00B2615A">
      <w:pPr>
        <w:numPr>
          <w:ilvl w:val="0"/>
          <w:numId w:val="11"/>
        </w:numPr>
        <w:ind w:left="1418" w:hanging="284"/>
        <w:contextualSpacing/>
        <w:jc w:val="both"/>
        <w:rPr>
          <w:rFonts w:cstheme="minorHAnsi"/>
        </w:rPr>
      </w:pPr>
      <w:r>
        <w:t xml:space="preserve">På nybyggda parkeringsplatser eller de som genomgår större renoveringar som inte är belägna i eller gränsar till en byggnad, och därför inte omfattas av det grundläggande dokumentet om energisparande (DB HE) i de tekniska byggreglerna, ska minst en laddningsstation för varje 40 parkeringsplatser installeras. En parkeringsplats anses vara nybyggd när byggprojektet läggs fram för behörig offentlig förvaltning för behandling efter det att detta kungliga dekret har trätt i kraft. </w:t>
      </w:r>
    </w:p>
    <w:p w14:paraId="0C99327A" w14:textId="0AD5DDFE" w:rsidR="005074AB" w:rsidRPr="009064BC" w:rsidRDefault="005074AB" w:rsidP="002F659F">
      <w:pPr>
        <w:numPr>
          <w:ilvl w:val="0"/>
          <w:numId w:val="11"/>
        </w:numPr>
        <w:ind w:left="1418" w:hanging="284"/>
        <w:contextualSpacing/>
        <w:jc w:val="both"/>
        <w:rPr>
          <w:rFonts w:cstheme="minorHAnsi"/>
        </w:rPr>
      </w:pPr>
      <w:r>
        <w:t>De installationer som är nödvändiga för att leverera laddningsstationer i de utrymmen för elfordon på allmänna vägar som föreskrivs i de över-kommunala eller kommunala planerna för hållbar rörlighet ska garanteras.”</w:t>
      </w:r>
    </w:p>
    <w:p w14:paraId="6C323B86" w14:textId="77777777" w:rsidR="005074AB" w:rsidRPr="009064BC" w:rsidRDefault="005074AB" w:rsidP="005074AB">
      <w:pPr>
        <w:ind w:left="1494"/>
        <w:contextualSpacing/>
        <w:jc w:val="both"/>
        <w:rPr>
          <w:rFonts w:cstheme="minorHAnsi"/>
        </w:rPr>
      </w:pPr>
    </w:p>
    <w:p w14:paraId="5E226F46" w14:textId="77777777" w:rsidR="005074AB" w:rsidRPr="009064BC" w:rsidRDefault="005074AB" w:rsidP="005074AB">
      <w:pPr>
        <w:jc w:val="both"/>
        <w:rPr>
          <w:rFonts w:cstheme="minorHAnsi"/>
        </w:rPr>
      </w:pPr>
      <w:r>
        <w:t>Två. Avsnitt 3.2 i INSTRUCCIÓN TÉCNICA COMPLEMENTARIA (ITC) BT-52 ska ändras på följande sätt:</w:t>
      </w:r>
    </w:p>
    <w:p w14:paraId="6A13CA56" w14:textId="2BC47FB2" w:rsidR="005074AB" w:rsidRPr="009064BC" w:rsidRDefault="005074AB" w:rsidP="005074AB">
      <w:pPr>
        <w:ind w:left="567"/>
        <w:jc w:val="both"/>
        <w:rPr>
          <w:rFonts w:cstheme="minorHAnsi"/>
        </w:rPr>
      </w:pPr>
      <w:r>
        <w:t xml:space="preserve">”3.2 Installation i parkeringar eller kollektiva parkeringsplatser som gränsar till byggnader eller byggnadskomplex. </w:t>
      </w:r>
    </w:p>
    <w:p w14:paraId="14463364" w14:textId="6F4941EA" w:rsidR="005074AB" w:rsidRPr="003934E5" w:rsidRDefault="005074AB" w:rsidP="005074AB">
      <w:pPr>
        <w:ind w:left="567"/>
        <w:jc w:val="both"/>
        <w:rPr>
          <w:rFonts w:cstheme="minorHAnsi"/>
        </w:rPr>
      </w:pPr>
      <w:r>
        <w:t xml:space="preserve">Elinstallationer för laddning av </w:t>
      </w:r>
      <w:r>
        <w:rPr>
          <w:i/>
        </w:rPr>
        <w:t>elfordon</w:t>
      </w:r>
      <w:r>
        <w:t xml:space="preserve"> belägna på parkeringsplatser eller parkeringsplatser inne i eller anslutna till byggnader eller bostäder ska följa något av de system som beskrivs ovan.</w:t>
      </w:r>
      <w:r>
        <w:rPr>
          <w:color w:val="000000" w:themeColor="text1"/>
        </w:rPr>
        <w:t xml:space="preserve"> </w:t>
      </w:r>
      <w:r>
        <w:t>Olika diagram får användas i samma byggnad under förutsättning att alla krav i denna (ITC) BT-52 är uppfyllda.</w:t>
      </w:r>
    </w:p>
    <w:p w14:paraId="642E3740" w14:textId="7634F88A" w:rsidR="005074AB" w:rsidRPr="009064BC" w:rsidRDefault="005074AB" w:rsidP="005074AB">
      <w:pPr>
        <w:ind w:left="567"/>
        <w:jc w:val="both"/>
        <w:rPr>
          <w:rFonts w:cstheme="minorHAnsi"/>
        </w:rPr>
      </w:pPr>
      <w:r>
        <w:t>I system 4a ska laddningskretsen följa de installationsvillkor som beskrivs i (ITC) BT-15, med hjälp av kablar och ledningssystem av samma typ och egenskaper som för en enskild förbikoppling, och kabelavsnittet ska beräknas i enlighet med de allmänna kraven i avsnitt 5 i denna ITC. Det är inte nödvändigt att förutse en utvidgning av kabelsektionen för att bestämma diametern eller tvärmåtten hos det ledningssystem som ska användas.</w:t>
      </w:r>
    </w:p>
    <w:p w14:paraId="5C0A8DBB" w14:textId="77777777" w:rsidR="005074AB" w:rsidRPr="009064BC" w:rsidRDefault="005074AB" w:rsidP="005074AB">
      <w:pPr>
        <w:ind w:left="567"/>
        <w:jc w:val="both"/>
        <w:rPr>
          <w:rFonts w:cstheme="minorHAnsi"/>
        </w:rPr>
      </w:pPr>
      <w:r>
        <w:t>System 4b ska användas när leveransen av laddningsstationerna är konstruerad som en integrerad del eller utvidgning till den elektriska anläggning som betjänar garagets allmänna tjänster.</w:t>
      </w:r>
    </w:p>
    <w:p w14:paraId="1BEC25F6" w14:textId="7E6AD67A" w:rsidR="005074AB" w:rsidRPr="009064BC" w:rsidRDefault="00D676D8" w:rsidP="005074AB">
      <w:pPr>
        <w:ind w:left="567"/>
        <w:jc w:val="both"/>
        <w:rPr>
          <w:rFonts w:cstheme="minorHAnsi"/>
        </w:rPr>
      </w:pPr>
      <w:r>
        <w:t>Både i befintliga anläggningar och i nya anläggningar, och för att underlätta användningen av det valda elsystemet, får boenden med allmänna skydd och andra anordningar för laddning av elfordon placeras i de utrymmen som är avsedda för detta ändamål eller i gemensamma utrymmen.</w:t>
      </w:r>
    </w:p>
    <w:p w14:paraId="3AA0FB18" w14:textId="5CA8F82A" w:rsidR="005074AB" w:rsidRPr="009064BC" w:rsidRDefault="005074AB" w:rsidP="00904550">
      <w:pPr>
        <w:ind w:left="567"/>
        <w:jc w:val="both"/>
        <w:rPr>
          <w:rFonts w:cstheme="minorHAnsi"/>
        </w:rPr>
      </w:pPr>
      <w:r>
        <w:t xml:space="preserve">Elektrisk förinstallation för laddning av elfordon på parkeringsplatser som ligger i eller gränsar till byggnader eller byggnadskomplex ska underlätta den efterföljande användningen av något av de möjliga installationssystemen. Detta ska omfatta följande: </w:t>
      </w:r>
    </w:p>
    <w:p w14:paraId="4CCD8B27" w14:textId="732EDA20" w:rsidR="005074AB" w:rsidRPr="009064BC" w:rsidRDefault="005074AB" w:rsidP="005074AB">
      <w:pPr>
        <w:numPr>
          <w:ilvl w:val="0"/>
          <w:numId w:val="12"/>
        </w:numPr>
        <w:ind w:left="1418" w:hanging="284"/>
        <w:jc w:val="both"/>
        <w:rPr>
          <w:rFonts w:cstheme="minorHAnsi"/>
        </w:rPr>
      </w:pPr>
      <w:r>
        <w:t>Installation av kabelledningssystem från centraliseringen av mätare och av huvudvägarna i parkeringarna för att senare kunna driva de laddningsstationer som kan placeras på de enskilda parkeringsplatserna eller parkeringarna. Om förinstallationen planeras för 100 % av utrymmena ska kabelledningssystemen nå vart och ett av utrymmena. Om förinstallationen inte planeras för 100 % av utrymmena ska de utrymmen som anses uppfylla kraven i bestämmelserna om kabelledningssystem definieras och dessa system ska nå vart och ett av dessa utrymmen.</w:t>
      </w:r>
    </w:p>
    <w:p w14:paraId="0460434B" w14:textId="6073EA36" w:rsidR="005074AB" w:rsidRPr="009064BC" w:rsidRDefault="005074AB" w:rsidP="00281B93">
      <w:pPr>
        <w:numPr>
          <w:ilvl w:val="0"/>
          <w:numId w:val="12"/>
        </w:numPr>
        <w:jc w:val="both"/>
        <w:rPr>
          <w:rFonts w:cstheme="minorHAnsi"/>
        </w:rPr>
      </w:pPr>
      <w:r>
        <w:t>Centraliseringen av mätare ska vara dimensionerad enligt det elektriska system som valts för laddning av elfordonet och som anges i (ITC) BT-16. Backupmoduler ska installeras i minst 20 % av de garageutrymmen som inte är kopplade till en bostad och även om alla utrymmen är kopplade till bostäder ska minst en reservmodul installeras. Dessa reservmoduler ska ha kapacitet att hysa huvudmätaren och de överströmsskydd som är kopplade till mätaren, antingen med säkringar eller strömbrytare.</w:t>
      </w:r>
    </w:p>
    <w:p w14:paraId="7C024BD7" w14:textId="5A6D76AB" w:rsidR="005074AB" w:rsidRPr="009064BC" w:rsidRDefault="005074AB" w:rsidP="005074AB">
      <w:pPr>
        <w:ind w:left="1416"/>
        <w:jc w:val="both"/>
        <w:rPr>
          <w:rFonts w:cstheme="minorHAnsi"/>
        </w:rPr>
      </w:pPr>
      <w:r>
        <w:lastRenderedPageBreak/>
        <w:t>Uttagen eller anslutningsdonen som är installerade i laddningsstationen och dess automatiska skyddsbrytare ska uppfylla ett av de alternativ som anges i avsnitt 5.4.»</w:t>
      </w:r>
    </w:p>
    <w:p w14:paraId="3C2EF0D1" w14:textId="7C25EDED" w:rsidR="00324D93" w:rsidRPr="009064BC" w:rsidRDefault="00441D3E" w:rsidP="00CA5D2D">
      <w:pPr>
        <w:jc w:val="both"/>
        <w:rPr>
          <w:rFonts w:cstheme="minorHAnsi"/>
        </w:rPr>
      </w:pPr>
      <w:r>
        <w:t>Tre. Första underparagrafen i avsnitt 5.4 i YTTERLIGARE TEKNISK INSTRUKTION (ITC) BT-52 ska ändras på följande sätt:</w:t>
      </w:r>
    </w:p>
    <w:p w14:paraId="1D0AA4C9" w14:textId="6013C719" w:rsidR="00527DF1" w:rsidRDefault="00324D93" w:rsidP="00CA5D2D">
      <w:pPr>
        <w:jc w:val="both"/>
        <w:rPr>
          <w:color w:val="FF0000"/>
        </w:rPr>
      </w:pPr>
      <w:r>
        <w:t xml:space="preserve">«5.4 Anslutningspunkt. </w:t>
      </w:r>
      <w:bookmarkStart w:id="1" w:name="_Hlk81468651"/>
      <w:r>
        <w:t xml:space="preserve">Anslutningspunkten ska placeras intill den ruta som ska levereras och ska installeras permanent i en inneslutning. </w:t>
      </w:r>
    </w:p>
    <w:bookmarkEnd w:id="1"/>
    <w:p w14:paraId="346E72DC" w14:textId="2F609E5D" w:rsidR="00441D3E" w:rsidRPr="00527DF1" w:rsidRDefault="00527DF1" w:rsidP="00CA5D2D">
      <w:pPr>
        <w:jc w:val="both"/>
        <w:rPr>
          <w:color w:val="FF0000"/>
        </w:rPr>
      </w:pPr>
      <w:r>
        <w:t xml:space="preserve">Den minsta installationshöjden för uttag och anslutningsdon ska vara 60 cm över marknivån. </w:t>
      </w:r>
      <w:bookmarkStart w:id="2" w:name="_Hlk81468224"/>
      <w:r>
        <w:t>Om laddstationen är avsedd för allmänt bruk ska den högsta höjden vara 120 cm. I tillgängliga parkeringsplatser ska uttag och anslutningsdon ha en kromatisk kontrast till omgivningen, vara placerade på en höjd av 80–120 cm och avståndet till hörnkorsningarna ska vara minst 35 cm.”</w:t>
      </w:r>
      <w:bookmarkEnd w:id="2"/>
    </w:p>
    <w:p w14:paraId="33BA3231" w14:textId="6E4F1E78" w:rsidR="005074AB" w:rsidRPr="00D47CC2" w:rsidRDefault="005074AB" w:rsidP="00CA5D2D">
      <w:pPr>
        <w:jc w:val="both"/>
        <w:rPr>
          <w:rFonts w:cstheme="minorHAnsi"/>
          <w:bCs/>
          <w:i/>
          <w:iCs/>
        </w:rPr>
      </w:pPr>
      <w:r>
        <w:t xml:space="preserve">Andra slutbestämmelsen. </w:t>
      </w:r>
      <w:r>
        <w:rPr>
          <w:i/>
        </w:rPr>
        <w:t>Införlivande av EU-lagstiftningen.</w:t>
      </w:r>
    </w:p>
    <w:p w14:paraId="09244551" w14:textId="77777777" w:rsidR="005074AB" w:rsidRPr="009064BC" w:rsidRDefault="005074AB" w:rsidP="00CA5D2D">
      <w:pPr>
        <w:jc w:val="both"/>
        <w:rPr>
          <w:rFonts w:cstheme="minorHAnsi"/>
        </w:rPr>
      </w:pPr>
      <w:r>
        <w:t>Genom detta kungliga dekret införlivas artiklarna 8.2, 8.3 och 8.5 i Europaparlamentets och rådets direktiv (EU) 2018/844 av den 30 maj 2018 om ändring av direktiv 2010/31/EU om byggnaders energiprestanda och direktiv 2012/27/EU om energieffektivitet i spansk rätt.</w:t>
      </w:r>
    </w:p>
    <w:p w14:paraId="106D513A" w14:textId="7AD1ED46" w:rsidR="005074AB" w:rsidRPr="00C760C9" w:rsidRDefault="005074AB" w:rsidP="005074AB">
      <w:pPr>
        <w:jc w:val="both"/>
        <w:rPr>
          <w:rFonts w:cstheme="minorHAnsi"/>
          <w:bCs/>
          <w:i/>
          <w:iCs/>
        </w:rPr>
      </w:pPr>
      <w:r>
        <w:t xml:space="preserve">Tredje slutbestämmelsen. </w:t>
      </w:r>
      <w:r>
        <w:rPr>
          <w:i/>
        </w:rPr>
        <w:t>Ikraftträdande.</w:t>
      </w:r>
    </w:p>
    <w:p w14:paraId="74B6AB2B" w14:textId="74C92419" w:rsidR="001035FC" w:rsidRDefault="005074AB" w:rsidP="000A2592">
      <w:pPr>
        <w:jc w:val="both"/>
        <w:rPr>
          <w:rFonts w:cstheme="minorHAnsi"/>
          <w:color w:val="FF0000"/>
        </w:rPr>
      </w:pPr>
      <w:r>
        <w:t>Detta kungliga dekret träder i kraft samma dag som det offentliggörs i den officiella statstidningen.</w:t>
      </w:r>
    </w:p>
    <w:p w14:paraId="2DB25505" w14:textId="77777777" w:rsidR="004B5FCD" w:rsidRPr="00A5780E" w:rsidRDefault="004B5FCD" w:rsidP="000A2592">
      <w:pPr>
        <w:jc w:val="both"/>
        <w:rPr>
          <w:rFonts w:cstheme="minorHAnsi"/>
          <w:sz w:val="20"/>
          <w:szCs w:val="20"/>
        </w:rPr>
      </w:pPr>
    </w:p>
    <w:p w14:paraId="09FCE810" w14:textId="4EC16D11" w:rsidR="007F6E00" w:rsidRPr="00A5780E" w:rsidRDefault="00B718CD" w:rsidP="00726501">
      <w:pPr>
        <w:jc w:val="center"/>
        <w:rPr>
          <w:rFonts w:cstheme="minorHAnsi"/>
          <w:sz w:val="24"/>
          <w:szCs w:val="24"/>
        </w:rPr>
      </w:pPr>
      <w:r>
        <w:rPr>
          <w:sz w:val="24"/>
        </w:rPr>
        <w:t xml:space="preserve">Madrid av                          </w:t>
      </w:r>
    </w:p>
    <w:p w14:paraId="28C0A3AF" w14:textId="7E6F82AF" w:rsidR="007F6E00" w:rsidRPr="00243027" w:rsidRDefault="00D47CC2" w:rsidP="00726501">
      <w:pPr>
        <w:jc w:val="center"/>
        <w:rPr>
          <w:rFonts w:cstheme="minorHAnsi"/>
          <w:sz w:val="24"/>
          <w:szCs w:val="24"/>
        </w:rPr>
      </w:pPr>
      <w:r>
        <w:rPr>
          <w:sz w:val="24"/>
        </w:rPr>
        <w:t>MINISTER FÖR TRANSPORT, RÖRLIGHET OCH STADSPLANERING</w:t>
      </w:r>
    </w:p>
    <w:p w14:paraId="2E0E23B7" w14:textId="7629F143" w:rsidR="007F6E00" w:rsidRPr="00243027" w:rsidRDefault="00D47CC2" w:rsidP="007F6E00">
      <w:pPr>
        <w:jc w:val="center"/>
        <w:rPr>
          <w:rFonts w:cstheme="minorHAnsi"/>
          <w:sz w:val="24"/>
          <w:szCs w:val="24"/>
        </w:rPr>
      </w:pPr>
      <w:r>
        <w:rPr>
          <w:sz w:val="24"/>
        </w:rPr>
        <w:t>Raquel Sánchez Jiménez</w:t>
      </w:r>
    </w:p>
    <w:p w14:paraId="20EDBF72" w14:textId="356D76E7" w:rsidR="00C73E8C" w:rsidRPr="00243027" w:rsidRDefault="00C760C9" w:rsidP="007F6E00">
      <w:pPr>
        <w:jc w:val="center"/>
        <w:rPr>
          <w:rFonts w:cstheme="minorHAnsi"/>
          <w:sz w:val="24"/>
          <w:szCs w:val="24"/>
        </w:rPr>
      </w:pPr>
      <w:r>
        <w:rPr>
          <w:sz w:val="24"/>
        </w:rPr>
        <w:t>TREDJE VICE PREMIÄRMINISTERN OCH MINISTER FÖR DEN EKOLOGISKA OMSTÄLLNINGEN OCH DEN DEMOGRAFISKA UTMANINGEN</w:t>
      </w:r>
    </w:p>
    <w:p w14:paraId="023B4DFC" w14:textId="0D381527" w:rsidR="00C73E8C" w:rsidRPr="00A5780E" w:rsidRDefault="00C73E8C" w:rsidP="007F6E00">
      <w:pPr>
        <w:jc w:val="center"/>
        <w:rPr>
          <w:rFonts w:cstheme="minorHAnsi"/>
          <w:sz w:val="24"/>
          <w:szCs w:val="24"/>
        </w:rPr>
      </w:pPr>
      <w:r>
        <w:rPr>
          <w:sz w:val="24"/>
        </w:rPr>
        <w:t>Teresa Ribera Rodríguez</w:t>
      </w:r>
    </w:p>
    <w:sectPr w:rsidR="00C73E8C" w:rsidRPr="00A5780E" w:rsidSect="008231A4">
      <w:headerReference w:type="default" r:id="rId8"/>
      <w:footerReference w:type="default" r:id="rId9"/>
      <w:headerReference w:type="firs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F6121" w14:textId="77777777" w:rsidR="00E330EB" w:rsidRDefault="00E330EB" w:rsidP="003B5AE7">
      <w:pPr>
        <w:spacing w:after="0" w:line="240" w:lineRule="auto"/>
      </w:pPr>
      <w:r>
        <w:separator/>
      </w:r>
    </w:p>
  </w:endnote>
  <w:endnote w:type="continuationSeparator" w:id="0">
    <w:p w14:paraId="4A8B2379" w14:textId="77777777" w:rsidR="00E330EB" w:rsidRDefault="00E330EB" w:rsidP="003B5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1139" w14:textId="16F26D8C" w:rsidR="00251439" w:rsidRPr="00D214B0" w:rsidRDefault="00251439" w:rsidP="00D214B0">
    <w:pPr>
      <w:pStyle w:val="Footer"/>
      <w:rPr>
        <w:i/>
        <w:sz w:val="15"/>
        <w:szCs w:val="15"/>
      </w:rPr>
    </w:pPr>
    <w:r>
      <w:rPr>
        <w:i/>
        <w:sz w:val="15"/>
      </w:rPr>
      <w:t>Förslag till kungligt dekret om ändring av de tekniska byggreglerna, godkänt genom kungligt dekret 314/2006 av den 17 mars.</w:t>
    </w:r>
  </w:p>
  <w:p w14:paraId="53C3F409" w14:textId="5B87674E" w:rsidR="00251439" w:rsidRPr="00C864A9" w:rsidRDefault="00251439" w:rsidP="00D214B0">
    <w:pPr>
      <w:pStyle w:val="Footer"/>
      <w:rPr>
        <w:i/>
        <w:sz w:val="15"/>
        <w:szCs w:val="15"/>
      </w:rPr>
    </w:pPr>
    <w:r>
      <w:rPr>
        <w:i/>
        <w:sz w:val="15"/>
      </w:rPr>
      <w:t>Version för information till allmänheten i Europa. Oktober 2021</w:t>
    </w:r>
  </w:p>
  <w:p w14:paraId="5A7C5B16" w14:textId="50AC60C2" w:rsidR="00251439" w:rsidRPr="00724333" w:rsidRDefault="00251439" w:rsidP="00724333">
    <w:pPr>
      <w:pStyle w:val="Footer"/>
      <w:jc w:val="right"/>
      <w:rPr>
        <w:i/>
        <w:sz w:val="14"/>
        <w:szCs w:val="14"/>
      </w:rPr>
    </w:pPr>
    <w:r>
      <w:fldChar w:fldCharType="begin"/>
    </w:r>
    <w:r>
      <w:instrText>PAGE   \* MERGEFORMAT</w:instrText>
    </w:r>
    <w:r>
      <w:fldChar w:fldCharType="separate"/>
    </w:r>
    <w:r w:rsidR="001310AB">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84A85" w14:textId="77777777" w:rsidR="00E330EB" w:rsidRDefault="00E330EB" w:rsidP="003B5AE7">
      <w:pPr>
        <w:spacing w:after="0" w:line="240" w:lineRule="auto"/>
      </w:pPr>
      <w:r>
        <w:separator/>
      </w:r>
    </w:p>
  </w:footnote>
  <w:footnote w:type="continuationSeparator" w:id="0">
    <w:p w14:paraId="0D77733A" w14:textId="77777777" w:rsidR="00E330EB" w:rsidRDefault="00E330EB" w:rsidP="003B5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32625" w14:textId="4A8FE43D" w:rsidR="00251439" w:rsidRDefault="00251439">
    <w:pPr>
      <w:pStyle w:val="Header"/>
    </w:pPr>
    <w:r>
      <w:t xml:space="preserve">                                                                                                                                                       </w:t>
    </w:r>
    <w:r>
      <w:rPr>
        <w:noProof/>
      </w:rPr>
      <w:drawing>
        <wp:inline distT="0" distB="0" distL="0" distR="0" wp14:anchorId="20966383" wp14:editId="3C84ECB3">
          <wp:extent cx="619125" cy="64770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47700"/>
                  </a:xfrm>
                  <a:prstGeom prst="rect">
                    <a:avLst/>
                  </a:prstGeom>
                  <a:noFill/>
                </pic:spPr>
              </pic:pic>
            </a:graphicData>
          </a:graphic>
        </wp:inline>
      </w:drawing>
    </w:r>
  </w:p>
  <w:p w14:paraId="10BC8656" w14:textId="481F1BB0" w:rsidR="00251439" w:rsidRDefault="002514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C9EF0" w14:textId="114BE53B" w:rsidR="00251439" w:rsidRPr="007D01D1" w:rsidRDefault="00251439" w:rsidP="007D01D1">
    <w:pPr>
      <w:widowControl w:val="0"/>
      <w:pBdr>
        <w:top w:val="single" w:sz="6" w:space="0" w:color="FFFFFF"/>
        <w:left w:val="single" w:sz="6" w:space="0" w:color="FFFFFF"/>
        <w:bottom w:val="single" w:sz="6" w:space="0" w:color="FFFFFF"/>
        <w:right w:val="single" w:sz="6" w:space="0" w:color="FFFFFF"/>
      </w:pBdr>
      <w:jc w:val="both"/>
      <w:rPr>
        <w:rFonts w:ascii="Arial Narrow" w:eastAsia="Times New Roman" w:hAnsi="Arial Narrow" w:cs="Times New Roman"/>
        <w:b/>
        <w:sz w:val="16"/>
        <w:szCs w:val="24"/>
      </w:rPr>
    </w:pPr>
    <w:r>
      <w:rPr>
        <w:rFonts w:ascii="Arial" w:hAnsi="Arial"/>
        <w:b/>
        <w:sz w:val="18"/>
      </w:rPr>
      <w:t xml:space="preserve">   </w:t>
    </w:r>
    <w:r>
      <w:rPr>
        <w:rFonts w:ascii="Arial Narrow" w:hAnsi="Arial Narrow"/>
        <w:b/>
        <w:sz w:val="16"/>
      </w:rPr>
      <w:t xml:space="preserve"> </w:t>
    </w:r>
    <w:r>
      <w:rPr>
        <w:rFonts w:ascii="Arial Narrow" w:hAnsi="Arial Narrow"/>
        <w:b/>
        <w:sz w:val="16"/>
      </w:rPr>
      <w:tab/>
    </w:r>
    <w:r>
      <w:rPr>
        <w:rFonts w:ascii="Arial Narrow" w:hAnsi="Arial Narrow"/>
        <w:b/>
        <w:sz w:val="16"/>
      </w:rPr>
      <w:tab/>
    </w:r>
  </w:p>
  <w:p w14:paraId="79A3B465" w14:textId="13E7A8FD" w:rsidR="00251439" w:rsidRDefault="00251439" w:rsidP="007D01D1">
    <w:pPr>
      <w:widowControl w:val="0"/>
      <w:pBdr>
        <w:top w:val="single" w:sz="6" w:space="0" w:color="FFFFFF"/>
        <w:left w:val="single" w:sz="6" w:space="0" w:color="FFFFFF"/>
        <w:bottom w:val="single" w:sz="6" w:space="0" w:color="FFFFFF"/>
        <w:right w:val="single" w:sz="6" w:space="0" w:color="FFFFFF"/>
      </w:pBdr>
      <w:spacing w:after="0" w:line="240" w:lineRule="auto"/>
      <w:ind w:left="708" w:firstLine="708"/>
      <w:jc w:val="both"/>
      <w:rPr>
        <w:rFonts w:ascii="Arial" w:eastAsia="Times New Roman" w:hAnsi="Arial" w:cs="Arial"/>
        <w:b/>
        <w:sz w:val="18"/>
        <w:szCs w:val="18"/>
      </w:rPr>
    </w:pPr>
    <w:r>
      <w:rPr>
        <w:rFonts w:ascii="Arial Narrow" w:hAnsi="Arial Narrow"/>
        <w:b/>
        <w:noProof/>
        <w:sz w:val="16"/>
      </w:rPr>
      <w:drawing>
        <wp:anchor distT="0" distB="0" distL="114300" distR="114300" simplePos="0" relativeHeight="251659264" behindDoc="0" locked="0" layoutInCell="1" allowOverlap="1" wp14:anchorId="40951893" wp14:editId="22CFAD9A">
          <wp:simplePos x="0" y="0"/>
          <wp:positionH relativeFrom="margin">
            <wp:align>left</wp:align>
          </wp:positionH>
          <wp:positionV relativeFrom="paragraph">
            <wp:posOffset>15875</wp:posOffset>
          </wp:positionV>
          <wp:extent cx="607060" cy="640080"/>
          <wp:effectExtent l="0" t="0" r="2540" b="7620"/>
          <wp:wrapNone/>
          <wp:docPr id="8" name="Imagen 8" descr="EScudo de España">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de España">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7060" cy="6400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b/>
        <w:sz w:val="18"/>
      </w:rPr>
      <w:t xml:space="preserve">MINISTERIET FÖR </w:t>
    </w:r>
  </w:p>
  <w:p w14:paraId="54CA275E" w14:textId="4F0B2553" w:rsidR="00251439" w:rsidRPr="007D01D1" w:rsidRDefault="00251439" w:rsidP="007D01D1">
    <w:pPr>
      <w:widowControl w:val="0"/>
      <w:pBdr>
        <w:top w:val="single" w:sz="6" w:space="0" w:color="FFFFFF"/>
        <w:left w:val="single" w:sz="6" w:space="0" w:color="FFFFFF"/>
        <w:bottom w:val="single" w:sz="6" w:space="0" w:color="FFFFFF"/>
        <w:right w:val="single" w:sz="6" w:space="0" w:color="FFFFFF"/>
      </w:pBdr>
      <w:spacing w:after="0" w:line="240" w:lineRule="auto"/>
      <w:ind w:left="708" w:firstLine="708"/>
      <w:jc w:val="both"/>
      <w:rPr>
        <w:rFonts w:ascii="Arial" w:eastAsia="Times New Roman" w:hAnsi="Arial" w:cs="Arial"/>
        <w:b/>
        <w:sz w:val="18"/>
        <w:szCs w:val="18"/>
      </w:rPr>
    </w:pPr>
    <w:r>
      <w:rPr>
        <w:rFonts w:ascii="Arial" w:hAnsi="Arial"/>
        <w:b/>
        <w:sz w:val="18"/>
      </w:rPr>
      <w:t xml:space="preserve">UTVECKLING </w:t>
    </w:r>
  </w:p>
  <w:p w14:paraId="76954C5B" w14:textId="1EEE839A" w:rsidR="00251439" w:rsidRPr="007D01D1" w:rsidRDefault="00251439" w:rsidP="007D01D1">
    <w:pPr>
      <w:widowControl w:val="0"/>
      <w:pBdr>
        <w:top w:val="single" w:sz="6" w:space="0" w:color="FFFFFF"/>
        <w:left w:val="single" w:sz="6" w:space="0" w:color="FFFFFF"/>
        <w:bottom w:val="single" w:sz="6" w:space="0" w:color="FFFFFF"/>
        <w:right w:val="single" w:sz="6" w:space="0" w:color="FFFFFF"/>
      </w:pBdr>
      <w:spacing w:after="0" w:line="240" w:lineRule="auto"/>
      <w:jc w:val="both"/>
      <w:rPr>
        <w:rFonts w:ascii="Times New Roman" w:eastAsia="Times New Roman" w:hAnsi="Times New Roman" w:cs="Times New Roman"/>
        <w:sz w:val="20"/>
        <w:szCs w:val="20"/>
      </w:rPr>
    </w:pPr>
    <w:r>
      <w:rPr>
        <w:rFonts w:ascii="Arial" w:hAnsi="Arial"/>
        <w:b/>
        <w:sz w:val="16"/>
      </w:rPr>
      <w:tab/>
    </w:r>
    <w:r>
      <w:rPr>
        <w:rFonts w:ascii="Arial" w:hAnsi="Arial"/>
        <w:b/>
        <w:sz w:val="16"/>
      </w:rPr>
      <w:tab/>
    </w:r>
  </w:p>
  <w:p w14:paraId="79D490F3" w14:textId="7D0527DA" w:rsidR="00251439" w:rsidRDefault="00251439">
    <w:pPr>
      <w:pStyle w:val="Header"/>
      <w:rPr>
        <w:rFonts w:ascii="Arial" w:eastAsia="Times New Roman" w:hAnsi="Arial" w:cs="Arial"/>
        <w:b/>
        <w:sz w:val="24"/>
        <w:szCs w:val="24"/>
        <w:lang w:eastAsia="es-ES"/>
      </w:rPr>
    </w:pPr>
  </w:p>
  <w:p w14:paraId="49D6D679" w14:textId="64072241" w:rsidR="00251439" w:rsidRDefault="00251439">
    <w:pPr>
      <w:pStyle w:val="Header"/>
    </w:pPr>
  </w:p>
  <w:p w14:paraId="00BA0649" w14:textId="52EEC367" w:rsidR="00251439" w:rsidRDefault="00251439">
    <w:pPr>
      <w:pStyle w:val="Header"/>
    </w:pPr>
  </w:p>
  <w:p w14:paraId="2CCB3AC8" w14:textId="77777777" w:rsidR="00251439" w:rsidRDefault="002514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B14"/>
    <w:multiLevelType w:val="hybridMultilevel"/>
    <w:tmpl w:val="542C774E"/>
    <w:lvl w:ilvl="0" w:tplc="B2BAFBE0">
      <w:start w:val="1"/>
      <w:numFmt w:val="decimal"/>
      <w:lvlText w:val="%1"/>
      <w:lvlJc w:val="left"/>
      <w:pPr>
        <w:ind w:left="1407" w:hanging="84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 w15:restartNumberingAfterBreak="0">
    <w:nsid w:val="037E37B5"/>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2128D4"/>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106A9D"/>
    <w:multiLevelType w:val="hybridMultilevel"/>
    <w:tmpl w:val="60C833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1261454"/>
    <w:multiLevelType w:val="hybridMultilevel"/>
    <w:tmpl w:val="131C936C"/>
    <w:lvl w:ilvl="0" w:tplc="2EB8C15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B832F5F"/>
    <w:multiLevelType w:val="hybridMultilevel"/>
    <w:tmpl w:val="C7525166"/>
    <w:lvl w:ilvl="0" w:tplc="9264891E">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6" w15:restartNumberingAfterBreak="0">
    <w:nsid w:val="1DCD7FAC"/>
    <w:multiLevelType w:val="multilevel"/>
    <w:tmpl w:val="768EBD0A"/>
    <w:lvl w:ilvl="0">
      <w:start w:val="15"/>
      <w:numFmt w:val="decimal"/>
      <w:lvlText w:val="%1"/>
      <w:lvlJc w:val="left"/>
      <w:pPr>
        <w:ind w:left="375" w:hanging="375"/>
      </w:pPr>
      <w:rPr>
        <w:rFonts w:hint="default"/>
      </w:rPr>
    </w:lvl>
    <w:lvl w:ilvl="1">
      <w:start w:val="6"/>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1FBB6F6B"/>
    <w:multiLevelType w:val="hybridMultilevel"/>
    <w:tmpl w:val="BDDE631E"/>
    <w:lvl w:ilvl="0" w:tplc="0C0A0017">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3F2211B"/>
    <w:multiLevelType w:val="multilevel"/>
    <w:tmpl w:val="614C401A"/>
    <w:styleLink w:val="WWNum3"/>
    <w:lvl w:ilvl="0">
      <w:start w:val="1"/>
      <w:numFmt w:val="decimal"/>
      <w:lvlText w:val="%1."/>
      <w:lvlJc w:val="left"/>
      <w:pPr>
        <w:ind w:left="36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9" w15:restartNumberingAfterBreak="0">
    <w:nsid w:val="2D7A4F97"/>
    <w:multiLevelType w:val="hybridMultilevel"/>
    <w:tmpl w:val="CCE87788"/>
    <w:lvl w:ilvl="0" w:tplc="3C366EA8">
      <w:start w:val="1"/>
      <w:numFmt w:val="lowerLetter"/>
      <w:lvlText w:val="%1)"/>
      <w:lvlJc w:val="left"/>
      <w:pPr>
        <w:ind w:left="373" w:hanging="360"/>
      </w:pPr>
      <w:rPr>
        <w:rFonts w:hint="default"/>
      </w:rPr>
    </w:lvl>
    <w:lvl w:ilvl="1" w:tplc="0C0A0019" w:tentative="1">
      <w:start w:val="1"/>
      <w:numFmt w:val="lowerLetter"/>
      <w:lvlText w:val="%2."/>
      <w:lvlJc w:val="left"/>
      <w:pPr>
        <w:ind w:left="1093" w:hanging="360"/>
      </w:pPr>
    </w:lvl>
    <w:lvl w:ilvl="2" w:tplc="0C0A001B" w:tentative="1">
      <w:start w:val="1"/>
      <w:numFmt w:val="lowerRoman"/>
      <w:lvlText w:val="%3."/>
      <w:lvlJc w:val="right"/>
      <w:pPr>
        <w:ind w:left="1813" w:hanging="180"/>
      </w:pPr>
    </w:lvl>
    <w:lvl w:ilvl="3" w:tplc="0C0A000F" w:tentative="1">
      <w:start w:val="1"/>
      <w:numFmt w:val="decimal"/>
      <w:lvlText w:val="%4."/>
      <w:lvlJc w:val="left"/>
      <w:pPr>
        <w:ind w:left="2533" w:hanging="360"/>
      </w:pPr>
    </w:lvl>
    <w:lvl w:ilvl="4" w:tplc="0C0A0019" w:tentative="1">
      <w:start w:val="1"/>
      <w:numFmt w:val="lowerLetter"/>
      <w:lvlText w:val="%5."/>
      <w:lvlJc w:val="left"/>
      <w:pPr>
        <w:ind w:left="3253" w:hanging="360"/>
      </w:pPr>
    </w:lvl>
    <w:lvl w:ilvl="5" w:tplc="0C0A001B" w:tentative="1">
      <w:start w:val="1"/>
      <w:numFmt w:val="lowerRoman"/>
      <w:lvlText w:val="%6."/>
      <w:lvlJc w:val="right"/>
      <w:pPr>
        <w:ind w:left="3973" w:hanging="180"/>
      </w:pPr>
    </w:lvl>
    <w:lvl w:ilvl="6" w:tplc="0C0A000F" w:tentative="1">
      <w:start w:val="1"/>
      <w:numFmt w:val="decimal"/>
      <w:lvlText w:val="%7."/>
      <w:lvlJc w:val="left"/>
      <w:pPr>
        <w:ind w:left="4693" w:hanging="360"/>
      </w:pPr>
    </w:lvl>
    <w:lvl w:ilvl="7" w:tplc="0C0A0019" w:tentative="1">
      <w:start w:val="1"/>
      <w:numFmt w:val="lowerLetter"/>
      <w:lvlText w:val="%8."/>
      <w:lvlJc w:val="left"/>
      <w:pPr>
        <w:ind w:left="5413" w:hanging="360"/>
      </w:pPr>
    </w:lvl>
    <w:lvl w:ilvl="8" w:tplc="0C0A001B" w:tentative="1">
      <w:start w:val="1"/>
      <w:numFmt w:val="lowerRoman"/>
      <w:lvlText w:val="%9."/>
      <w:lvlJc w:val="right"/>
      <w:pPr>
        <w:ind w:left="6133" w:hanging="180"/>
      </w:pPr>
    </w:lvl>
  </w:abstractNum>
  <w:abstractNum w:abstractNumId="10" w15:restartNumberingAfterBreak="0">
    <w:nsid w:val="33EA6229"/>
    <w:multiLevelType w:val="hybridMultilevel"/>
    <w:tmpl w:val="14BCE4D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15:restartNumberingAfterBreak="0">
    <w:nsid w:val="38E60D7E"/>
    <w:multiLevelType w:val="hybridMultilevel"/>
    <w:tmpl w:val="7400A8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DD4218E"/>
    <w:multiLevelType w:val="hybridMultilevel"/>
    <w:tmpl w:val="B40A7106"/>
    <w:lvl w:ilvl="0" w:tplc="1EEEEE46">
      <w:start w:val="4"/>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44DF5CF3"/>
    <w:multiLevelType w:val="hybridMultilevel"/>
    <w:tmpl w:val="836675F0"/>
    <w:lvl w:ilvl="0" w:tplc="74E61344">
      <w:start w:val="2"/>
      <w:numFmt w:val="bullet"/>
      <w:lvlText w:val="-"/>
      <w:lvlJc w:val="left"/>
      <w:pPr>
        <w:ind w:left="6456"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5324F99"/>
    <w:multiLevelType w:val="hybridMultilevel"/>
    <w:tmpl w:val="0EB6E110"/>
    <w:lvl w:ilvl="0" w:tplc="10388CB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48BD3646"/>
    <w:multiLevelType w:val="hybridMultilevel"/>
    <w:tmpl w:val="EB6644F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B276012"/>
    <w:multiLevelType w:val="hybridMultilevel"/>
    <w:tmpl w:val="264A6ABA"/>
    <w:lvl w:ilvl="0" w:tplc="99B8C12C">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7" w15:restartNumberingAfterBreak="0">
    <w:nsid w:val="68A1395B"/>
    <w:multiLevelType w:val="hybridMultilevel"/>
    <w:tmpl w:val="670A68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975788C"/>
    <w:multiLevelType w:val="hybridMultilevel"/>
    <w:tmpl w:val="CAACE7F4"/>
    <w:lvl w:ilvl="0" w:tplc="4CEAFD42">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19" w15:restartNumberingAfterBreak="0">
    <w:nsid w:val="69C14C67"/>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E93567D"/>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32804DE"/>
    <w:multiLevelType w:val="hybridMultilevel"/>
    <w:tmpl w:val="043CBBB6"/>
    <w:lvl w:ilvl="0" w:tplc="DD4072F8">
      <w:start w:val="7"/>
      <w:numFmt w:val="bullet"/>
      <w:lvlText w:val="-"/>
      <w:lvlJc w:val="left"/>
      <w:pPr>
        <w:ind w:left="927" w:hanging="360"/>
      </w:pPr>
      <w:rPr>
        <w:rFonts w:ascii="Arial" w:eastAsiaTheme="minorHAnsi"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2" w15:restartNumberingAfterBreak="0">
    <w:nsid w:val="74CD22FD"/>
    <w:multiLevelType w:val="multilevel"/>
    <w:tmpl w:val="DFA8C284"/>
    <w:lvl w:ilvl="0">
      <w:start w:val="15"/>
      <w:numFmt w:val="decimal"/>
      <w:lvlText w:val="%1"/>
      <w:lvlJc w:val="left"/>
      <w:pPr>
        <w:ind w:left="375" w:hanging="375"/>
      </w:pPr>
      <w:rPr>
        <w:rFonts w:hint="default"/>
      </w:rPr>
    </w:lvl>
    <w:lvl w:ilvl="1">
      <w:start w:val="6"/>
      <w:numFmt w:val="decimal"/>
      <w:lvlText w:val="%1.%2"/>
      <w:lvlJc w:val="left"/>
      <w:pPr>
        <w:ind w:left="1317" w:hanging="37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546" w:hanging="72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5790" w:hanging="108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034" w:hanging="1440"/>
      </w:pPr>
      <w:rPr>
        <w:rFonts w:hint="default"/>
      </w:rPr>
    </w:lvl>
    <w:lvl w:ilvl="8">
      <w:start w:val="1"/>
      <w:numFmt w:val="decimal"/>
      <w:lvlText w:val="%1.%2.%3.%4.%5.%6.%7.%8.%9"/>
      <w:lvlJc w:val="left"/>
      <w:pPr>
        <w:ind w:left="8976" w:hanging="1440"/>
      </w:pPr>
      <w:rPr>
        <w:rFonts w:hint="default"/>
      </w:rPr>
    </w:lvl>
  </w:abstractNum>
  <w:num w:numId="1">
    <w:abstractNumId w:val="18"/>
  </w:num>
  <w:num w:numId="2">
    <w:abstractNumId w:val="21"/>
  </w:num>
  <w:num w:numId="3">
    <w:abstractNumId w:val="8"/>
  </w:num>
  <w:num w:numId="4">
    <w:abstractNumId w:val="8"/>
    <w:lvlOverride w:ilvl="0">
      <w:startOverride w:val="1"/>
    </w:lvlOverride>
  </w:num>
  <w:num w:numId="5">
    <w:abstractNumId w:val="1"/>
  </w:num>
  <w:num w:numId="6">
    <w:abstractNumId w:val="19"/>
  </w:num>
  <w:num w:numId="7">
    <w:abstractNumId w:val="3"/>
  </w:num>
  <w:num w:numId="8">
    <w:abstractNumId w:val="14"/>
  </w:num>
  <w:num w:numId="9">
    <w:abstractNumId w:val="13"/>
  </w:num>
  <w:num w:numId="10">
    <w:abstractNumId w:val="0"/>
  </w:num>
  <w:num w:numId="11">
    <w:abstractNumId w:val="16"/>
  </w:num>
  <w:num w:numId="12">
    <w:abstractNumId w:val="5"/>
  </w:num>
  <w:num w:numId="13">
    <w:abstractNumId w:val="7"/>
  </w:num>
  <w:num w:numId="14">
    <w:abstractNumId w:val="9"/>
  </w:num>
  <w:num w:numId="15">
    <w:abstractNumId w:val="11"/>
  </w:num>
  <w:num w:numId="16">
    <w:abstractNumId w:val="15"/>
  </w:num>
  <w:num w:numId="17">
    <w:abstractNumId w:val="10"/>
  </w:num>
  <w:num w:numId="18">
    <w:abstractNumId w:val="6"/>
  </w:num>
  <w:num w:numId="19">
    <w:abstractNumId w:val="22"/>
  </w:num>
  <w:num w:numId="20">
    <w:abstractNumId w:val="7"/>
  </w:num>
  <w:num w:numId="21">
    <w:abstractNumId w:val="4"/>
  </w:num>
  <w:num w:numId="22">
    <w:abstractNumId w:val="2"/>
  </w:num>
  <w:num w:numId="23">
    <w:abstractNumId w:val="12"/>
  </w:num>
  <w:num w:numId="24">
    <w:abstractNumId w:val="12"/>
  </w:num>
  <w:num w:numId="25">
    <w:abstractNumId w:val="20"/>
  </w:num>
  <w:num w:numId="26">
    <w:abstractNumId w:val="17"/>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D0B"/>
    <w:rsid w:val="00000058"/>
    <w:rsid w:val="000046C4"/>
    <w:rsid w:val="00006AA4"/>
    <w:rsid w:val="00016C0D"/>
    <w:rsid w:val="0002077F"/>
    <w:rsid w:val="0002652E"/>
    <w:rsid w:val="00032DFF"/>
    <w:rsid w:val="00033444"/>
    <w:rsid w:val="00033600"/>
    <w:rsid w:val="0005593E"/>
    <w:rsid w:val="0006038F"/>
    <w:rsid w:val="000616BC"/>
    <w:rsid w:val="0006744F"/>
    <w:rsid w:val="0007292F"/>
    <w:rsid w:val="00080851"/>
    <w:rsid w:val="00085400"/>
    <w:rsid w:val="00086A13"/>
    <w:rsid w:val="00093490"/>
    <w:rsid w:val="00095644"/>
    <w:rsid w:val="000A2592"/>
    <w:rsid w:val="000A5EC7"/>
    <w:rsid w:val="000A7580"/>
    <w:rsid w:val="000B7AFC"/>
    <w:rsid w:val="000B7F32"/>
    <w:rsid w:val="000C3B4D"/>
    <w:rsid w:val="000D0D60"/>
    <w:rsid w:val="000D2B8F"/>
    <w:rsid w:val="000D3991"/>
    <w:rsid w:val="000D3A71"/>
    <w:rsid w:val="000E4AF3"/>
    <w:rsid w:val="000E4F56"/>
    <w:rsid w:val="000F2A2B"/>
    <w:rsid w:val="000F3571"/>
    <w:rsid w:val="000F63EE"/>
    <w:rsid w:val="000F64D2"/>
    <w:rsid w:val="001027EF"/>
    <w:rsid w:val="00102A9F"/>
    <w:rsid w:val="001035FC"/>
    <w:rsid w:val="00110498"/>
    <w:rsid w:val="00111A60"/>
    <w:rsid w:val="00115C6B"/>
    <w:rsid w:val="00125FF0"/>
    <w:rsid w:val="001310AB"/>
    <w:rsid w:val="00154A68"/>
    <w:rsid w:val="00164A38"/>
    <w:rsid w:val="001710E9"/>
    <w:rsid w:val="00171BC6"/>
    <w:rsid w:val="00177AFA"/>
    <w:rsid w:val="00182065"/>
    <w:rsid w:val="0018403E"/>
    <w:rsid w:val="001942D6"/>
    <w:rsid w:val="001A4A03"/>
    <w:rsid w:val="001B0467"/>
    <w:rsid w:val="001B10E7"/>
    <w:rsid w:val="001B6C79"/>
    <w:rsid w:val="001C0414"/>
    <w:rsid w:val="001C3441"/>
    <w:rsid w:val="001C3958"/>
    <w:rsid w:val="001C3F11"/>
    <w:rsid w:val="001C78CB"/>
    <w:rsid w:val="001D6633"/>
    <w:rsid w:val="001D6759"/>
    <w:rsid w:val="001D7BA9"/>
    <w:rsid w:val="001E0B70"/>
    <w:rsid w:val="001E31F3"/>
    <w:rsid w:val="001F5EE6"/>
    <w:rsid w:val="001F6F43"/>
    <w:rsid w:val="002074C0"/>
    <w:rsid w:val="00210EA2"/>
    <w:rsid w:val="0021457A"/>
    <w:rsid w:val="00216F0F"/>
    <w:rsid w:val="00221EB9"/>
    <w:rsid w:val="0022470C"/>
    <w:rsid w:val="00234353"/>
    <w:rsid w:val="00241F86"/>
    <w:rsid w:val="00243027"/>
    <w:rsid w:val="0024794E"/>
    <w:rsid w:val="00251439"/>
    <w:rsid w:val="0025354C"/>
    <w:rsid w:val="00262992"/>
    <w:rsid w:val="0026457E"/>
    <w:rsid w:val="00281B93"/>
    <w:rsid w:val="00293928"/>
    <w:rsid w:val="002A5A94"/>
    <w:rsid w:val="002A5D7C"/>
    <w:rsid w:val="002C30D6"/>
    <w:rsid w:val="002D0113"/>
    <w:rsid w:val="002D7D1C"/>
    <w:rsid w:val="002E2C72"/>
    <w:rsid w:val="002E7342"/>
    <w:rsid w:val="002F03DF"/>
    <w:rsid w:val="002F25C7"/>
    <w:rsid w:val="002F2BD0"/>
    <w:rsid w:val="002F659F"/>
    <w:rsid w:val="00310A8D"/>
    <w:rsid w:val="00317A77"/>
    <w:rsid w:val="00317BE2"/>
    <w:rsid w:val="00324D93"/>
    <w:rsid w:val="00326CA0"/>
    <w:rsid w:val="0033081E"/>
    <w:rsid w:val="00336E42"/>
    <w:rsid w:val="003442DE"/>
    <w:rsid w:val="003444BA"/>
    <w:rsid w:val="00352537"/>
    <w:rsid w:val="00375290"/>
    <w:rsid w:val="00377681"/>
    <w:rsid w:val="00377FE2"/>
    <w:rsid w:val="003817E2"/>
    <w:rsid w:val="00382FCD"/>
    <w:rsid w:val="003934E5"/>
    <w:rsid w:val="00396131"/>
    <w:rsid w:val="003968DF"/>
    <w:rsid w:val="003B2168"/>
    <w:rsid w:val="003B5AE7"/>
    <w:rsid w:val="003B70CD"/>
    <w:rsid w:val="003C546E"/>
    <w:rsid w:val="003C6C30"/>
    <w:rsid w:val="003E1EAB"/>
    <w:rsid w:val="003E7B36"/>
    <w:rsid w:val="003F44CA"/>
    <w:rsid w:val="003F6E54"/>
    <w:rsid w:val="003F7C25"/>
    <w:rsid w:val="00402FD4"/>
    <w:rsid w:val="00421ADC"/>
    <w:rsid w:val="00431D05"/>
    <w:rsid w:val="00441D3E"/>
    <w:rsid w:val="00452BAA"/>
    <w:rsid w:val="00452C31"/>
    <w:rsid w:val="00455B6D"/>
    <w:rsid w:val="00462063"/>
    <w:rsid w:val="004701A9"/>
    <w:rsid w:val="00480D71"/>
    <w:rsid w:val="00491CEA"/>
    <w:rsid w:val="004A10E7"/>
    <w:rsid w:val="004A442C"/>
    <w:rsid w:val="004B45D1"/>
    <w:rsid w:val="004B5FCD"/>
    <w:rsid w:val="004D10CA"/>
    <w:rsid w:val="004D3BD7"/>
    <w:rsid w:val="004E4176"/>
    <w:rsid w:val="004E508B"/>
    <w:rsid w:val="004F1A17"/>
    <w:rsid w:val="004F2B25"/>
    <w:rsid w:val="004F3383"/>
    <w:rsid w:val="005074AB"/>
    <w:rsid w:val="005105C6"/>
    <w:rsid w:val="0051117E"/>
    <w:rsid w:val="00520863"/>
    <w:rsid w:val="00524DE3"/>
    <w:rsid w:val="00527DF1"/>
    <w:rsid w:val="0053798E"/>
    <w:rsid w:val="00537B01"/>
    <w:rsid w:val="005433BB"/>
    <w:rsid w:val="005437FF"/>
    <w:rsid w:val="00547307"/>
    <w:rsid w:val="0054795D"/>
    <w:rsid w:val="00554EE5"/>
    <w:rsid w:val="005712DA"/>
    <w:rsid w:val="00586671"/>
    <w:rsid w:val="00586E69"/>
    <w:rsid w:val="00591233"/>
    <w:rsid w:val="005A107B"/>
    <w:rsid w:val="005A374C"/>
    <w:rsid w:val="005A6E61"/>
    <w:rsid w:val="005B0B9B"/>
    <w:rsid w:val="005B52A2"/>
    <w:rsid w:val="005D7D8A"/>
    <w:rsid w:val="005F57F5"/>
    <w:rsid w:val="00602DC7"/>
    <w:rsid w:val="006156E2"/>
    <w:rsid w:val="0062182D"/>
    <w:rsid w:val="00621F3C"/>
    <w:rsid w:val="006374D4"/>
    <w:rsid w:val="006424FF"/>
    <w:rsid w:val="00646DF9"/>
    <w:rsid w:val="00656C4A"/>
    <w:rsid w:val="006705CB"/>
    <w:rsid w:val="0067270E"/>
    <w:rsid w:val="0067340E"/>
    <w:rsid w:val="00675931"/>
    <w:rsid w:val="00675D0E"/>
    <w:rsid w:val="006960DA"/>
    <w:rsid w:val="006A0AAE"/>
    <w:rsid w:val="006A7F44"/>
    <w:rsid w:val="006B0CA4"/>
    <w:rsid w:val="006B41B9"/>
    <w:rsid w:val="006B44D8"/>
    <w:rsid w:val="006C16B4"/>
    <w:rsid w:val="006C222B"/>
    <w:rsid w:val="006D270F"/>
    <w:rsid w:val="006D63EB"/>
    <w:rsid w:val="006F5E38"/>
    <w:rsid w:val="007075D9"/>
    <w:rsid w:val="007104CA"/>
    <w:rsid w:val="00714745"/>
    <w:rsid w:val="00724333"/>
    <w:rsid w:val="00726501"/>
    <w:rsid w:val="00745C42"/>
    <w:rsid w:val="00750391"/>
    <w:rsid w:val="00760689"/>
    <w:rsid w:val="00760DFC"/>
    <w:rsid w:val="00761C8F"/>
    <w:rsid w:val="00762E62"/>
    <w:rsid w:val="0076421A"/>
    <w:rsid w:val="007769F1"/>
    <w:rsid w:val="007835B3"/>
    <w:rsid w:val="0078611E"/>
    <w:rsid w:val="007902B8"/>
    <w:rsid w:val="007943D1"/>
    <w:rsid w:val="007A6B25"/>
    <w:rsid w:val="007A6FD5"/>
    <w:rsid w:val="007B11B1"/>
    <w:rsid w:val="007B2844"/>
    <w:rsid w:val="007B745B"/>
    <w:rsid w:val="007C43B8"/>
    <w:rsid w:val="007C7A29"/>
    <w:rsid w:val="007D01D1"/>
    <w:rsid w:val="007E461E"/>
    <w:rsid w:val="007E7916"/>
    <w:rsid w:val="007F1589"/>
    <w:rsid w:val="007F27CB"/>
    <w:rsid w:val="007F6E00"/>
    <w:rsid w:val="00802B87"/>
    <w:rsid w:val="00822D0E"/>
    <w:rsid w:val="008231A4"/>
    <w:rsid w:val="00832A7B"/>
    <w:rsid w:val="00836E07"/>
    <w:rsid w:val="008409FA"/>
    <w:rsid w:val="00840E76"/>
    <w:rsid w:val="008411DF"/>
    <w:rsid w:val="00844FC7"/>
    <w:rsid w:val="00847CB0"/>
    <w:rsid w:val="0085697E"/>
    <w:rsid w:val="00861802"/>
    <w:rsid w:val="00893B19"/>
    <w:rsid w:val="0089545C"/>
    <w:rsid w:val="008A2754"/>
    <w:rsid w:val="008B44F1"/>
    <w:rsid w:val="008B6E85"/>
    <w:rsid w:val="008D0228"/>
    <w:rsid w:val="008E4C35"/>
    <w:rsid w:val="008E57F3"/>
    <w:rsid w:val="008E713D"/>
    <w:rsid w:val="008F4D49"/>
    <w:rsid w:val="009038AF"/>
    <w:rsid w:val="00904550"/>
    <w:rsid w:val="009064BC"/>
    <w:rsid w:val="0091543E"/>
    <w:rsid w:val="00921020"/>
    <w:rsid w:val="00922BA1"/>
    <w:rsid w:val="009277B6"/>
    <w:rsid w:val="00930637"/>
    <w:rsid w:val="00932D4B"/>
    <w:rsid w:val="00941763"/>
    <w:rsid w:val="0094331D"/>
    <w:rsid w:val="00982E58"/>
    <w:rsid w:val="00983E8A"/>
    <w:rsid w:val="00993E06"/>
    <w:rsid w:val="00995550"/>
    <w:rsid w:val="00997C7B"/>
    <w:rsid w:val="009A285F"/>
    <w:rsid w:val="009A76D6"/>
    <w:rsid w:val="009B455D"/>
    <w:rsid w:val="009C27C1"/>
    <w:rsid w:val="009D07FB"/>
    <w:rsid w:val="009D2D65"/>
    <w:rsid w:val="009D4D72"/>
    <w:rsid w:val="009E6521"/>
    <w:rsid w:val="009F3C32"/>
    <w:rsid w:val="009F5D1D"/>
    <w:rsid w:val="00A00D67"/>
    <w:rsid w:val="00A06D23"/>
    <w:rsid w:val="00A11949"/>
    <w:rsid w:val="00A1231F"/>
    <w:rsid w:val="00A15B8F"/>
    <w:rsid w:val="00A22E8C"/>
    <w:rsid w:val="00A231A5"/>
    <w:rsid w:val="00A314E0"/>
    <w:rsid w:val="00A31E16"/>
    <w:rsid w:val="00A37E8A"/>
    <w:rsid w:val="00A421E3"/>
    <w:rsid w:val="00A5056B"/>
    <w:rsid w:val="00A515D1"/>
    <w:rsid w:val="00A5780E"/>
    <w:rsid w:val="00A64E23"/>
    <w:rsid w:val="00A66C84"/>
    <w:rsid w:val="00A7353A"/>
    <w:rsid w:val="00A736D2"/>
    <w:rsid w:val="00A75681"/>
    <w:rsid w:val="00A83B79"/>
    <w:rsid w:val="00A84EDD"/>
    <w:rsid w:val="00A879E1"/>
    <w:rsid w:val="00A929A6"/>
    <w:rsid w:val="00A94A66"/>
    <w:rsid w:val="00A95EFB"/>
    <w:rsid w:val="00AA1645"/>
    <w:rsid w:val="00AB00C9"/>
    <w:rsid w:val="00AB01BA"/>
    <w:rsid w:val="00AB13E8"/>
    <w:rsid w:val="00AB1410"/>
    <w:rsid w:val="00AB398E"/>
    <w:rsid w:val="00AB39AB"/>
    <w:rsid w:val="00AB3E33"/>
    <w:rsid w:val="00AB4061"/>
    <w:rsid w:val="00AB7DDB"/>
    <w:rsid w:val="00AC2883"/>
    <w:rsid w:val="00AC6B49"/>
    <w:rsid w:val="00AD074F"/>
    <w:rsid w:val="00AD196A"/>
    <w:rsid w:val="00AE13F1"/>
    <w:rsid w:val="00AE5C9E"/>
    <w:rsid w:val="00AF5007"/>
    <w:rsid w:val="00AF5F8F"/>
    <w:rsid w:val="00B11927"/>
    <w:rsid w:val="00B233D0"/>
    <w:rsid w:val="00B23F9A"/>
    <w:rsid w:val="00B24946"/>
    <w:rsid w:val="00B2615A"/>
    <w:rsid w:val="00B2710C"/>
    <w:rsid w:val="00B27B56"/>
    <w:rsid w:val="00B33280"/>
    <w:rsid w:val="00B36793"/>
    <w:rsid w:val="00B46FDD"/>
    <w:rsid w:val="00B5187B"/>
    <w:rsid w:val="00B5455B"/>
    <w:rsid w:val="00B65F28"/>
    <w:rsid w:val="00B718CD"/>
    <w:rsid w:val="00B771BB"/>
    <w:rsid w:val="00B93550"/>
    <w:rsid w:val="00BA4C0D"/>
    <w:rsid w:val="00BA5813"/>
    <w:rsid w:val="00BB2E11"/>
    <w:rsid w:val="00BC1DD1"/>
    <w:rsid w:val="00BC5667"/>
    <w:rsid w:val="00BC7571"/>
    <w:rsid w:val="00BD43CA"/>
    <w:rsid w:val="00BF3C0E"/>
    <w:rsid w:val="00C06110"/>
    <w:rsid w:val="00C06D5A"/>
    <w:rsid w:val="00C101D1"/>
    <w:rsid w:val="00C101D9"/>
    <w:rsid w:val="00C11A71"/>
    <w:rsid w:val="00C249FB"/>
    <w:rsid w:val="00C2799B"/>
    <w:rsid w:val="00C33374"/>
    <w:rsid w:val="00C40409"/>
    <w:rsid w:val="00C454DB"/>
    <w:rsid w:val="00C536C9"/>
    <w:rsid w:val="00C56AFE"/>
    <w:rsid w:val="00C629FF"/>
    <w:rsid w:val="00C73E8C"/>
    <w:rsid w:val="00C760C9"/>
    <w:rsid w:val="00C828D4"/>
    <w:rsid w:val="00C864A9"/>
    <w:rsid w:val="00CA5D2D"/>
    <w:rsid w:val="00CA6776"/>
    <w:rsid w:val="00CA7BF5"/>
    <w:rsid w:val="00CB0CC2"/>
    <w:rsid w:val="00CB41FB"/>
    <w:rsid w:val="00CB78B4"/>
    <w:rsid w:val="00CC005A"/>
    <w:rsid w:val="00CC24B2"/>
    <w:rsid w:val="00CD7447"/>
    <w:rsid w:val="00CE7BEE"/>
    <w:rsid w:val="00D06F11"/>
    <w:rsid w:val="00D11FA7"/>
    <w:rsid w:val="00D214B0"/>
    <w:rsid w:val="00D32919"/>
    <w:rsid w:val="00D3439E"/>
    <w:rsid w:val="00D347BD"/>
    <w:rsid w:val="00D372F4"/>
    <w:rsid w:val="00D44383"/>
    <w:rsid w:val="00D45636"/>
    <w:rsid w:val="00D47CC2"/>
    <w:rsid w:val="00D5553D"/>
    <w:rsid w:val="00D55D29"/>
    <w:rsid w:val="00D56840"/>
    <w:rsid w:val="00D612CE"/>
    <w:rsid w:val="00D676D8"/>
    <w:rsid w:val="00D722CA"/>
    <w:rsid w:val="00D76296"/>
    <w:rsid w:val="00D85FB9"/>
    <w:rsid w:val="00D87872"/>
    <w:rsid w:val="00DA1748"/>
    <w:rsid w:val="00DA2B8F"/>
    <w:rsid w:val="00DB22B5"/>
    <w:rsid w:val="00DC3EE9"/>
    <w:rsid w:val="00DC6A97"/>
    <w:rsid w:val="00DD1CC9"/>
    <w:rsid w:val="00DE093A"/>
    <w:rsid w:val="00DE2988"/>
    <w:rsid w:val="00DE4292"/>
    <w:rsid w:val="00DE7274"/>
    <w:rsid w:val="00DF08A3"/>
    <w:rsid w:val="00DF380E"/>
    <w:rsid w:val="00DF5914"/>
    <w:rsid w:val="00DF5A31"/>
    <w:rsid w:val="00E047E3"/>
    <w:rsid w:val="00E104C8"/>
    <w:rsid w:val="00E26B23"/>
    <w:rsid w:val="00E330EB"/>
    <w:rsid w:val="00E35F60"/>
    <w:rsid w:val="00E44DB1"/>
    <w:rsid w:val="00E50D07"/>
    <w:rsid w:val="00E534C0"/>
    <w:rsid w:val="00E57D62"/>
    <w:rsid w:val="00E72CE6"/>
    <w:rsid w:val="00E87B89"/>
    <w:rsid w:val="00E90358"/>
    <w:rsid w:val="00E940EE"/>
    <w:rsid w:val="00E953CE"/>
    <w:rsid w:val="00EA32C0"/>
    <w:rsid w:val="00EB524D"/>
    <w:rsid w:val="00EB58A5"/>
    <w:rsid w:val="00EC16EA"/>
    <w:rsid w:val="00EC5D8C"/>
    <w:rsid w:val="00ED040A"/>
    <w:rsid w:val="00ED2920"/>
    <w:rsid w:val="00ED2FAD"/>
    <w:rsid w:val="00EE2146"/>
    <w:rsid w:val="00EE3728"/>
    <w:rsid w:val="00EF534F"/>
    <w:rsid w:val="00F0074D"/>
    <w:rsid w:val="00F017E3"/>
    <w:rsid w:val="00F11565"/>
    <w:rsid w:val="00F12AD6"/>
    <w:rsid w:val="00F279C2"/>
    <w:rsid w:val="00F342EB"/>
    <w:rsid w:val="00F357D9"/>
    <w:rsid w:val="00F400B0"/>
    <w:rsid w:val="00F60185"/>
    <w:rsid w:val="00F616E3"/>
    <w:rsid w:val="00F63E14"/>
    <w:rsid w:val="00F63FAE"/>
    <w:rsid w:val="00F672D7"/>
    <w:rsid w:val="00F75228"/>
    <w:rsid w:val="00F7778D"/>
    <w:rsid w:val="00F83DB3"/>
    <w:rsid w:val="00F90C96"/>
    <w:rsid w:val="00F95D0B"/>
    <w:rsid w:val="00FA7CE9"/>
    <w:rsid w:val="00FB308E"/>
    <w:rsid w:val="00FB3F17"/>
    <w:rsid w:val="00FC3764"/>
    <w:rsid w:val="00FD4F9C"/>
    <w:rsid w:val="00FF037E"/>
    <w:rsid w:val="00FF25EB"/>
    <w:rsid w:val="00FF30D9"/>
    <w:rsid w:val="00FF35BA"/>
    <w:rsid w:val="00FF73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21F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29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unhideWhenUsed/>
    <w:qFormat/>
    <w:rsid w:val="000F3571"/>
    <w:pPr>
      <w:keepNext/>
      <w:suppressAutoHyphens/>
      <w:spacing w:before="240" w:after="60" w:line="240" w:lineRule="auto"/>
      <w:outlineLvl w:val="3"/>
    </w:pPr>
    <w:rPr>
      <w:rFonts w:ascii="Calibri" w:eastAsia="Times New Roman" w:hAnsi="Calibri" w:cs="Times New Roman"/>
      <w:b/>
      <w:b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E8A"/>
    <w:pPr>
      <w:ind w:left="720"/>
      <w:contextualSpacing/>
    </w:pPr>
  </w:style>
  <w:style w:type="character" w:styleId="CommentReference">
    <w:name w:val="annotation reference"/>
    <w:basedOn w:val="DefaultParagraphFont"/>
    <w:unhideWhenUsed/>
    <w:rsid w:val="00F12AD6"/>
    <w:rPr>
      <w:sz w:val="16"/>
      <w:szCs w:val="16"/>
    </w:rPr>
  </w:style>
  <w:style w:type="paragraph" w:styleId="CommentText">
    <w:name w:val="annotation text"/>
    <w:basedOn w:val="Normal"/>
    <w:link w:val="CommentTextChar"/>
    <w:unhideWhenUsed/>
    <w:qFormat/>
    <w:rsid w:val="00F12AD6"/>
    <w:pPr>
      <w:spacing w:line="240" w:lineRule="auto"/>
    </w:pPr>
    <w:rPr>
      <w:sz w:val="20"/>
      <w:szCs w:val="20"/>
    </w:rPr>
  </w:style>
  <w:style w:type="character" w:customStyle="1" w:styleId="CommentTextChar">
    <w:name w:val="Comment Text Char"/>
    <w:basedOn w:val="DefaultParagraphFont"/>
    <w:link w:val="CommentText"/>
    <w:uiPriority w:val="99"/>
    <w:semiHidden/>
    <w:rsid w:val="00F12AD6"/>
    <w:rPr>
      <w:sz w:val="20"/>
      <w:szCs w:val="20"/>
    </w:rPr>
  </w:style>
  <w:style w:type="paragraph" w:styleId="BalloonText">
    <w:name w:val="Balloon Text"/>
    <w:basedOn w:val="Normal"/>
    <w:link w:val="BalloonTextChar"/>
    <w:uiPriority w:val="99"/>
    <w:semiHidden/>
    <w:unhideWhenUsed/>
    <w:rsid w:val="00F12A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AD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5056B"/>
    <w:rPr>
      <w:b/>
      <w:bCs/>
    </w:rPr>
  </w:style>
  <w:style w:type="character" w:customStyle="1" w:styleId="CommentSubjectChar">
    <w:name w:val="Comment Subject Char"/>
    <w:basedOn w:val="CommentTextChar"/>
    <w:link w:val="CommentSubject"/>
    <w:uiPriority w:val="99"/>
    <w:semiHidden/>
    <w:rsid w:val="00A5056B"/>
    <w:rPr>
      <w:b/>
      <w:bCs/>
      <w:sz w:val="20"/>
      <w:szCs w:val="20"/>
    </w:rPr>
  </w:style>
  <w:style w:type="paragraph" w:styleId="Header">
    <w:name w:val="header"/>
    <w:basedOn w:val="Normal"/>
    <w:link w:val="HeaderChar"/>
    <w:uiPriority w:val="99"/>
    <w:unhideWhenUsed/>
    <w:rsid w:val="003B5AE7"/>
    <w:pPr>
      <w:tabs>
        <w:tab w:val="center" w:pos="4252"/>
        <w:tab w:val="right" w:pos="8504"/>
      </w:tabs>
      <w:spacing w:after="0" w:line="240" w:lineRule="auto"/>
    </w:pPr>
  </w:style>
  <w:style w:type="character" w:customStyle="1" w:styleId="HeaderChar">
    <w:name w:val="Header Char"/>
    <w:basedOn w:val="DefaultParagraphFont"/>
    <w:link w:val="Header"/>
    <w:uiPriority w:val="99"/>
    <w:rsid w:val="003B5AE7"/>
  </w:style>
  <w:style w:type="paragraph" w:styleId="Footer">
    <w:name w:val="footer"/>
    <w:basedOn w:val="Normal"/>
    <w:link w:val="FooterChar"/>
    <w:uiPriority w:val="99"/>
    <w:unhideWhenUsed/>
    <w:rsid w:val="003B5AE7"/>
    <w:pPr>
      <w:tabs>
        <w:tab w:val="center" w:pos="4252"/>
        <w:tab w:val="right" w:pos="8504"/>
      </w:tabs>
      <w:spacing w:after="0" w:line="240" w:lineRule="auto"/>
    </w:pPr>
  </w:style>
  <w:style w:type="character" w:customStyle="1" w:styleId="FooterChar">
    <w:name w:val="Footer Char"/>
    <w:basedOn w:val="DefaultParagraphFont"/>
    <w:link w:val="Footer"/>
    <w:uiPriority w:val="99"/>
    <w:rsid w:val="003B5AE7"/>
  </w:style>
  <w:style w:type="table" w:styleId="TableGrid">
    <w:name w:val="Table Grid"/>
    <w:basedOn w:val="TableNormal"/>
    <w:uiPriority w:val="39"/>
    <w:rsid w:val="00336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00B0"/>
    <w:pPr>
      <w:autoSpaceDE w:val="0"/>
      <w:autoSpaceDN w:val="0"/>
      <w:adjustRightInd w:val="0"/>
      <w:spacing w:after="0" w:line="240" w:lineRule="auto"/>
    </w:pPr>
    <w:rPr>
      <w:rFonts w:ascii="Arial" w:hAnsi="Arial" w:cs="Arial"/>
      <w:color w:val="000000"/>
      <w:sz w:val="24"/>
      <w:szCs w:val="24"/>
    </w:rPr>
  </w:style>
  <w:style w:type="character" w:customStyle="1" w:styleId="st1">
    <w:name w:val="st1"/>
    <w:basedOn w:val="DefaultParagraphFont"/>
    <w:rsid w:val="00CE7BEE"/>
  </w:style>
  <w:style w:type="paragraph" w:customStyle="1" w:styleId="CTENumeracion">
    <w:name w:val="CTE_Numeracion"/>
    <w:basedOn w:val="Normal"/>
    <w:rsid w:val="00016C0D"/>
    <w:pPr>
      <w:spacing w:before="60" w:after="60" w:line="240" w:lineRule="auto"/>
      <w:ind w:left="357" w:hanging="357"/>
      <w:jc w:val="both"/>
    </w:pPr>
    <w:rPr>
      <w:rFonts w:ascii="Arial" w:eastAsia="Times New Roman" w:hAnsi="Arial" w:cs="Times New Roman"/>
      <w:sz w:val="20"/>
      <w:szCs w:val="24"/>
      <w:lang w:eastAsia="es-ES"/>
    </w:rPr>
  </w:style>
  <w:style w:type="character" w:customStyle="1" w:styleId="CTEModTachaprob">
    <w:name w:val="CTE_Mod_Tach_aprob"/>
    <w:rsid w:val="00D06F11"/>
    <w:rPr>
      <w:strike w:val="0"/>
      <w:dstrike w:val="0"/>
      <w:shd w:val="clear" w:color="auto" w:fill="FFFF00"/>
    </w:rPr>
  </w:style>
  <w:style w:type="paragraph" w:styleId="BodyTextIndent2">
    <w:name w:val="Body Text Indent 2"/>
    <w:basedOn w:val="Normal"/>
    <w:link w:val="BodyTextIndent2Char"/>
    <w:uiPriority w:val="99"/>
    <w:semiHidden/>
    <w:unhideWhenUsed/>
    <w:rsid w:val="00D06F11"/>
    <w:pPr>
      <w:suppressAutoHyphens/>
      <w:spacing w:after="120" w:line="480" w:lineRule="auto"/>
      <w:ind w:left="283"/>
    </w:pPr>
    <w:rPr>
      <w:rFonts w:ascii="Times New Roman" w:eastAsia="Times New Roman" w:hAnsi="Times New Roman" w:cs="Times New Roman"/>
      <w:sz w:val="20"/>
      <w:szCs w:val="20"/>
      <w:lang w:eastAsia="zh-CN"/>
    </w:rPr>
  </w:style>
  <w:style w:type="character" w:customStyle="1" w:styleId="BodyTextIndent2Char">
    <w:name w:val="Body Text Indent 2 Char"/>
    <w:basedOn w:val="DefaultParagraphFont"/>
    <w:link w:val="BodyTextIndent2"/>
    <w:uiPriority w:val="99"/>
    <w:semiHidden/>
    <w:rsid w:val="00D06F11"/>
    <w:rPr>
      <w:rFonts w:ascii="Times New Roman" w:eastAsia="Times New Roman" w:hAnsi="Times New Roman" w:cs="Times New Roman"/>
      <w:sz w:val="20"/>
      <w:szCs w:val="20"/>
      <w:lang w:eastAsia="zh-CN"/>
    </w:rPr>
  </w:style>
  <w:style w:type="paragraph" w:customStyle="1" w:styleId="CteTtulo3">
    <w:name w:val="CteTítulo3"/>
    <w:basedOn w:val="Normal"/>
    <w:next w:val="Normal"/>
    <w:autoRedefine/>
    <w:rsid w:val="000F3571"/>
    <w:pPr>
      <w:keepNext/>
      <w:numPr>
        <w:ilvl w:val="2"/>
      </w:numPr>
      <w:spacing w:before="60" w:after="120" w:line="240" w:lineRule="auto"/>
      <w:ind w:left="851"/>
      <w:jc w:val="both"/>
      <w:outlineLvl w:val="3"/>
    </w:pPr>
    <w:rPr>
      <w:rFonts w:ascii="Arial" w:eastAsia="Times New Roman" w:hAnsi="Arial" w:cs="Times New Roman"/>
      <w:b/>
      <w:bCs/>
      <w:lang w:eastAsia="zh-CN"/>
    </w:rPr>
  </w:style>
  <w:style w:type="paragraph" w:customStyle="1" w:styleId="CteAnejo-TituloSeccion">
    <w:name w:val="CteAnejo-TituloSeccion"/>
    <w:basedOn w:val="Normal"/>
    <w:rsid w:val="00D06F11"/>
    <w:pPr>
      <w:keepNext/>
      <w:spacing w:before="480" w:line="240" w:lineRule="auto"/>
      <w:outlineLvl w:val="0"/>
    </w:pPr>
    <w:rPr>
      <w:rFonts w:ascii="Arial" w:eastAsia="Times New Roman" w:hAnsi="Arial" w:cs="Times New Roman"/>
      <w:b/>
      <w:bCs/>
      <w:sz w:val="32"/>
      <w:szCs w:val="24"/>
      <w:lang w:eastAsia="es-ES"/>
    </w:rPr>
  </w:style>
  <w:style w:type="character" w:customStyle="1" w:styleId="EstiloCTEModTachaprob16ptNegritaSinTachado">
    <w:name w:val="Estilo CTE_Mod_Tach_aprob + 16 pt Negrita Sin Tachado"/>
    <w:rsid w:val="00D06F11"/>
    <w:rPr>
      <w:rFonts w:ascii="Arial" w:hAnsi="Arial"/>
      <w:b/>
      <w:bCs/>
      <w:strike/>
      <w:dstrike w:val="0"/>
      <w:sz w:val="32"/>
      <w:bdr w:val="none" w:sz="0" w:space="0" w:color="auto"/>
      <w:shd w:val="clear" w:color="auto" w:fill="auto"/>
    </w:rPr>
  </w:style>
  <w:style w:type="character" w:customStyle="1" w:styleId="EstiloCTEModTachaprobSinTachado">
    <w:name w:val="Estilo CTE_Mod_Tach_aprob + Sin Tachado"/>
    <w:rsid w:val="00D06F11"/>
    <w:rPr>
      <w:strike/>
      <w:dstrike w:val="0"/>
      <w:bdr w:val="none" w:sz="0" w:space="0" w:color="auto"/>
      <w:shd w:val="clear" w:color="auto" w:fill="auto"/>
    </w:rPr>
  </w:style>
  <w:style w:type="paragraph" w:styleId="BodyText">
    <w:name w:val="Body Text"/>
    <w:basedOn w:val="Normal"/>
    <w:link w:val="BodyTextChar"/>
    <w:uiPriority w:val="99"/>
    <w:semiHidden/>
    <w:unhideWhenUsed/>
    <w:rsid w:val="000F3571"/>
    <w:pPr>
      <w:spacing w:after="120"/>
    </w:pPr>
  </w:style>
  <w:style w:type="character" w:customStyle="1" w:styleId="BodyTextChar">
    <w:name w:val="Body Text Char"/>
    <w:basedOn w:val="DefaultParagraphFont"/>
    <w:link w:val="BodyText"/>
    <w:uiPriority w:val="99"/>
    <w:semiHidden/>
    <w:rsid w:val="000F3571"/>
  </w:style>
  <w:style w:type="character" w:customStyle="1" w:styleId="Heading4Char">
    <w:name w:val="Heading 4 Char"/>
    <w:basedOn w:val="DefaultParagraphFont"/>
    <w:link w:val="Heading4"/>
    <w:uiPriority w:val="9"/>
    <w:rsid w:val="000F3571"/>
    <w:rPr>
      <w:rFonts w:ascii="Calibri" w:eastAsia="Times New Roman" w:hAnsi="Calibri" w:cs="Times New Roman"/>
      <w:b/>
      <w:bCs/>
      <w:sz w:val="28"/>
      <w:szCs w:val="28"/>
      <w:lang w:eastAsia="zh-CN"/>
    </w:rPr>
  </w:style>
  <w:style w:type="paragraph" w:customStyle="1" w:styleId="nota">
    <w:name w:val="nota"/>
    <w:basedOn w:val="Normal"/>
    <w:rsid w:val="000F3571"/>
    <w:pPr>
      <w:tabs>
        <w:tab w:val="left" w:pos="1122"/>
        <w:tab w:val="left" w:pos="1309"/>
      </w:tabs>
      <w:spacing w:after="0" w:line="240" w:lineRule="auto"/>
      <w:jc w:val="both"/>
    </w:pPr>
    <w:rPr>
      <w:rFonts w:ascii="Arial" w:eastAsia="Times New Roman" w:hAnsi="Arial" w:cs="Arial"/>
      <w:bCs/>
      <w:sz w:val="20"/>
      <w:szCs w:val="24"/>
      <w:lang w:eastAsia="es-ES"/>
    </w:rPr>
  </w:style>
  <w:style w:type="paragraph" w:customStyle="1" w:styleId="Ttulo1CTE">
    <w:name w:val="Título1CTE"/>
    <w:basedOn w:val="Heading1"/>
    <w:next w:val="Normal"/>
    <w:autoRedefine/>
    <w:rsid w:val="00ED2920"/>
    <w:pPr>
      <w:keepLines w:val="0"/>
      <w:spacing w:after="200" w:line="240" w:lineRule="auto"/>
      <w:jc w:val="both"/>
    </w:pPr>
    <w:rPr>
      <w:rFonts w:ascii="Arial" w:eastAsia="Times New Roman" w:hAnsi="Arial" w:cs="Arial"/>
      <w:b/>
      <w:bCs/>
      <w:color w:val="auto"/>
      <w:kern w:val="32"/>
      <w:sz w:val="28"/>
      <w:lang w:eastAsia="es-ES"/>
    </w:rPr>
  </w:style>
  <w:style w:type="character" w:customStyle="1" w:styleId="Heading1Char">
    <w:name w:val="Heading 1 Char"/>
    <w:basedOn w:val="DefaultParagraphFont"/>
    <w:link w:val="Heading1"/>
    <w:uiPriority w:val="9"/>
    <w:rsid w:val="00ED2920"/>
    <w:rPr>
      <w:rFonts w:asciiTheme="majorHAnsi" w:eastAsiaTheme="majorEastAsia" w:hAnsiTheme="majorHAnsi" w:cstheme="majorBidi"/>
      <w:color w:val="2E74B5" w:themeColor="accent1" w:themeShade="BF"/>
      <w:sz w:val="32"/>
      <w:szCs w:val="32"/>
    </w:rPr>
  </w:style>
  <w:style w:type="paragraph" w:customStyle="1" w:styleId="artculo-tex">
    <w:name w:val="artículo-tex"/>
    <w:basedOn w:val="Normal"/>
    <w:rsid w:val="007902B8"/>
    <w:pPr>
      <w:pBdr>
        <w:top w:val="single" w:sz="4" w:space="1" w:color="00000A"/>
        <w:left w:val="single" w:sz="4" w:space="4" w:color="00000A"/>
        <w:bottom w:val="single" w:sz="4" w:space="1" w:color="00000A"/>
        <w:right w:val="single" w:sz="4" w:space="4" w:color="00000A"/>
      </w:pBdr>
      <w:suppressAutoHyphens/>
      <w:autoSpaceDN w:val="0"/>
      <w:spacing w:before="60" w:after="60" w:line="240" w:lineRule="auto"/>
      <w:textAlignment w:val="baseline"/>
    </w:pPr>
    <w:rPr>
      <w:rFonts w:ascii="Arial" w:eastAsia="Arial" w:hAnsi="Arial" w:cs="Arial"/>
      <w:kern w:val="3"/>
      <w:szCs w:val="24"/>
      <w:lang w:eastAsia="es-ES" w:bidi="hi-IN"/>
    </w:rPr>
  </w:style>
  <w:style w:type="numbering" w:customStyle="1" w:styleId="WWNum3">
    <w:name w:val="WWNum3"/>
    <w:basedOn w:val="NoList"/>
    <w:rsid w:val="007902B8"/>
    <w:pPr>
      <w:numPr>
        <w:numId w:val="3"/>
      </w:numPr>
    </w:pPr>
  </w:style>
  <w:style w:type="paragraph" w:styleId="Revision">
    <w:name w:val="Revision"/>
    <w:hidden/>
    <w:uiPriority w:val="99"/>
    <w:semiHidden/>
    <w:rsid w:val="009064BC"/>
    <w:pPr>
      <w:spacing w:after="0" w:line="240" w:lineRule="auto"/>
    </w:pPr>
  </w:style>
  <w:style w:type="paragraph" w:styleId="NormalWeb">
    <w:name w:val="Normal (Web)"/>
    <w:basedOn w:val="Normal"/>
    <w:uiPriority w:val="99"/>
    <w:semiHidden/>
    <w:unhideWhenUsed/>
    <w:rsid w:val="004D10CA"/>
    <w:pPr>
      <w:spacing w:before="100" w:beforeAutospacing="1" w:after="100" w:afterAutospacing="1" w:line="240" w:lineRule="auto"/>
    </w:pPr>
    <w:rPr>
      <w:rFonts w:ascii="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7654">
      <w:bodyDiv w:val="1"/>
      <w:marLeft w:val="0"/>
      <w:marRight w:val="0"/>
      <w:marTop w:val="0"/>
      <w:marBottom w:val="0"/>
      <w:divBdr>
        <w:top w:val="none" w:sz="0" w:space="0" w:color="auto"/>
        <w:left w:val="none" w:sz="0" w:space="0" w:color="auto"/>
        <w:bottom w:val="none" w:sz="0" w:space="0" w:color="auto"/>
        <w:right w:val="none" w:sz="0" w:space="0" w:color="auto"/>
      </w:divBdr>
    </w:div>
    <w:div w:id="60955575">
      <w:bodyDiv w:val="1"/>
      <w:marLeft w:val="0"/>
      <w:marRight w:val="0"/>
      <w:marTop w:val="0"/>
      <w:marBottom w:val="0"/>
      <w:divBdr>
        <w:top w:val="none" w:sz="0" w:space="0" w:color="auto"/>
        <w:left w:val="none" w:sz="0" w:space="0" w:color="auto"/>
        <w:bottom w:val="none" w:sz="0" w:space="0" w:color="auto"/>
        <w:right w:val="none" w:sz="0" w:space="0" w:color="auto"/>
      </w:divBdr>
    </w:div>
    <w:div w:id="121000711">
      <w:bodyDiv w:val="1"/>
      <w:marLeft w:val="0"/>
      <w:marRight w:val="0"/>
      <w:marTop w:val="0"/>
      <w:marBottom w:val="0"/>
      <w:divBdr>
        <w:top w:val="none" w:sz="0" w:space="0" w:color="auto"/>
        <w:left w:val="none" w:sz="0" w:space="0" w:color="auto"/>
        <w:bottom w:val="none" w:sz="0" w:space="0" w:color="auto"/>
        <w:right w:val="none" w:sz="0" w:space="0" w:color="auto"/>
      </w:divBdr>
    </w:div>
    <w:div w:id="376441447">
      <w:bodyDiv w:val="1"/>
      <w:marLeft w:val="0"/>
      <w:marRight w:val="0"/>
      <w:marTop w:val="0"/>
      <w:marBottom w:val="0"/>
      <w:divBdr>
        <w:top w:val="none" w:sz="0" w:space="0" w:color="auto"/>
        <w:left w:val="none" w:sz="0" w:space="0" w:color="auto"/>
        <w:bottom w:val="none" w:sz="0" w:space="0" w:color="auto"/>
        <w:right w:val="none" w:sz="0" w:space="0" w:color="auto"/>
      </w:divBdr>
    </w:div>
    <w:div w:id="396248004">
      <w:bodyDiv w:val="1"/>
      <w:marLeft w:val="0"/>
      <w:marRight w:val="0"/>
      <w:marTop w:val="0"/>
      <w:marBottom w:val="0"/>
      <w:divBdr>
        <w:top w:val="none" w:sz="0" w:space="0" w:color="auto"/>
        <w:left w:val="none" w:sz="0" w:space="0" w:color="auto"/>
        <w:bottom w:val="none" w:sz="0" w:space="0" w:color="auto"/>
        <w:right w:val="none" w:sz="0" w:space="0" w:color="auto"/>
      </w:divBdr>
    </w:div>
    <w:div w:id="509684053">
      <w:bodyDiv w:val="1"/>
      <w:marLeft w:val="0"/>
      <w:marRight w:val="0"/>
      <w:marTop w:val="0"/>
      <w:marBottom w:val="0"/>
      <w:divBdr>
        <w:top w:val="none" w:sz="0" w:space="0" w:color="auto"/>
        <w:left w:val="none" w:sz="0" w:space="0" w:color="auto"/>
        <w:bottom w:val="none" w:sz="0" w:space="0" w:color="auto"/>
        <w:right w:val="none" w:sz="0" w:space="0" w:color="auto"/>
      </w:divBdr>
    </w:div>
    <w:div w:id="546919842">
      <w:bodyDiv w:val="1"/>
      <w:marLeft w:val="0"/>
      <w:marRight w:val="0"/>
      <w:marTop w:val="0"/>
      <w:marBottom w:val="0"/>
      <w:divBdr>
        <w:top w:val="none" w:sz="0" w:space="0" w:color="auto"/>
        <w:left w:val="none" w:sz="0" w:space="0" w:color="auto"/>
        <w:bottom w:val="none" w:sz="0" w:space="0" w:color="auto"/>
        <w:right w:val="none" w:sz="0" w:space="0" w:color="auto"/>
      </w:divBdr>
    </w:div>
    <w:div w:id="722481125">
      <w:bodyDiv w:val="1"/>
      <w:marLeft w:val="0"/>
      <w:marRight w:val="0"/>
      <w:marTop w:val="0"/>
      <w:marBottom w:val="0"/>
      <w:divBdr>
        <w:top w:val="none" w:sz="0" w:space="0" w:color="auto"/>
        <w:left w:val="none" w:sz="0" w:space="0" w:color="auto"/>
        <w:bottom w:val="none" w:sz="0" w:space="0" w:color="auto"/>
        <w:right w:val="none" w:sz="0" w:space="0" w:color="auto"/>
      </w:divBdr>
    </w:div>
    <w:div w:id="770051861">
      <w:bodyDiv w:val="1"/>
      <w:marLeft w:val="0"/>
      <w:marRight w:val="0"/>
      <w:marTop w:val="0"/>
      <w:marBottom w:val="0"/>
      <w:divBdr>
        <w:top w:val="none" w:sz="0" w:space="0" w:color="auto"/>
        <w:left w:val="none" w:sz="0" w:space="0" w:color="auto"/>
        <w:bottom w:val="none" w:sz="0" w:space="0" w:color="auto"/>
        <w:right w:val="none" w:sz="0" w:space="0" w:color="auto"/>
      </w:divBdr>
    </w:div>
    <w:div w:id="1072502409">
      <w:bodyDiv w:val="1"/>
      <w:marLeft w:val="0"/>
      <w:marRight w:val="0"/>
      <w:marTop w:val="0"/>
      <w:marBottom w:val="0"/>
      <w:divBdr>
        <w:top w:val="none" w:sz="0" w:space="0" w:color="auto"/>
        <w:left w:val="none" w:sz="0" w:space="0" w:color="auto"/>
        <w:bottom w:val="none" w:sz="0" w:space="0" w:color="auto"/>
        <w:right w:val="none" w:sz="0" w:space="0" w:color="auto"/>
      </w:divBdr>
    </w:div>
    <w:div w:id="1357737051">
      <w:bodyDiv w:val="1"/>
      <w:marLeft w:val="0"/>
      <w:marRight w:val="0"/>
      <w:marTop w:val="0"/>
      <w:marBottom w:val="0"/>
      <w:divBdr>
        <w:top w:val="none" w:sz="0" w:space="0" w:color="auto"/>
        <w:left w:val="none" w:sz="0" w:space="0" w:color="auto"/>
        <w:bottom w:val="none" w:sz="0" w:space="0" w:color="auto"/>
        <w:right w:val="none" w:sz="0" w:space="0" w:color="auto"/>
      </w:divBdr>
    </w:div>
    <w:div w:id="1387997225">
      <w:bodyDiv w:val="1"/>
      <w:marLeft w:val="0"/>
      <w:marRight w:val="0"/>
      <w:marTop w:val="0"/>
      <w:marBottom w:val="0"/>
      <w:divBdr>
        <w:top w:val="none" w:sz="0" w:space="0" w:color="auto"/>
        <w:left w:val="none" w:sz="0" w:space="0" w:color="auto"/>
        <w:bottom w:val="none" w:sz="0" w:space="0" w:color="auto"/>
        <w:right w:val="none" w:sz="0" w:space="0" w:color="auto"/>
      </w:divBdr>
    </w:div>
    <w:div w:id="1499466132">
      <w:bodyDiv w:val="1"/>
      <w:marLeft w:val="0"/>
      <w:marRight w:val="0"/>
      <w:marTop w:val="0"/>
      <w:marBottom w:val="0"/>
      <w:divBdr>
        <w:top w:val="none" w:sz="0" w:space="0" w:color="auto"/>
        <w:left w:val="none" w:sz="0" w:space="0" w:color="auto"/>
        <w:bottom w:val="none" w:sz="0" w:space="0" w:color="auto"/>
        <w:right w:val="none" w:sz="0" w:space="0" w:color="auto"/>
      </w:divBdr>
    </w:div>
    <w:div w:id="1542666667">
      <w:bodyDiv w:val="1"/>
      <w:marLeft w:val="0"/>
      <w:marRight w:val="0"/>
      <w:marTop w:val="0"/>
      <w:marBottom w:val="0"/>
      <w:divBdr>
        <w:top w:val="none" w:sz="0" w:space="0" w:color="auto"/>
        <w:left w:val="none" w:sz="0" w:space="0" w:color="auto"/>
        <w:bottom w:val="none" w:sz="0" w:space="0" w:color="auto"/>
        <w:right w:val="none" w:sz="0" w:space="0" w:color="auto"/>
      </w:divBdr>
    </w:div>
    <w:div w:id="1667325047">
      <w:bodyDiv w:val="1"/>
      <w:marLeft w:val="0"/>
      <w:marRight w:val="0"/>
      <w:marTop w:val="0"/>
      <w:marBottom w:val="0"/>
      <w:divBdr>
        <w:top w:val="none" w:sz="0" w:space="0" w:color="auto"/>
        <w:left w:val="none" w:sz="0" w:space="0" w:color="auto"/>
        <w:bottom w:val="none" w:sz="0" w:space="0" w:color="auto"/>
        <w:right w:val="none" w:sz="0" w:space="0" w:color="auto"/>
      </w:divBdr>
    </w:div>
    <w:div w:id="213393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334,55,Diapositiva 55"/></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FEA9B-792F-40C8-B620-4B433326B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6742</Words>
  <Characters>38430</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2021-10-05T06:19:00Z</dcterms:created>
  <dcterms:modified xsi:type="dcterms:W3CDTF">2021-11-10T13:32:00Z</dcterms:modified>
</cp:coreProperties>
</file>