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0" w:type="dxa"/>
        <w:jc w:val="center"/>
        <w:tblLayout w:type="fixed"/>
        <w:tblCellMar>
          <w:left w:w="70" w:type="dxa"/>
          <w:right w:w="70" w:type="dxa"/>
        </w:tblCellMar>
        <w:tblLook w:val="0000" w:firstRow="0" w:lastRow="0" w:firstColumn="0" w:lastColumn="0" w:noHBand="0" w:noVBand="0"/>
      </w:tblPr>
      <w:tblGrid>
        <w:gridCol w:w="10820"/>
      </w:tblGrid>
      <w:tr w:rsidR="00C93CCC" w14:paraId="38FF51DE" w14:textId="77777777" w:rsidTr="00546D77">
        <w:trPr>
          <w:trHeight w:hRule="exact" w:val="1884"/>
          <w:jc w:val="center"/>
        </w:trPr>
        <w:tc>
          <w:tcPr>
            <w:tcW w:w="10820" w:type="dxa"/>
            <w:vAlign w:val="center"/>
          </w:tcPr>
          <w:p w14:paraId="4EB9625C" w14:textId="77777777" w:rsidR="00C93CCC" w:rsidRDefault="00C93CCC">
            <w:pPr>
              <w:pStyle w:val="Header"/>
              <w:tabs>
                <w:tab w:val="clear" w:pos="4252"/>
                <w:tab w:val="clear" w:pos="8504"/>
              </w:tabs>
              <w:ind w:left="360" w:right="172"/>
              <w:jc w:val="center"/>
              <w:rPr>
                <w:rFonts w:ascii="Arial" w:hAnsi="Arial"/>
                <w:sz w:val="20"/>
              </w:rPr>
            </w:pPr>
            <w:r>
              <w:rPr>
                <w:rFonts w:ascii="Arial" w:hAnsi="Arial"/>
                <w:sz w:val="20"/>
              </w:rPr>
              <w:t>Det föreslås att ministerrådet godkänner följande utkast till bestämmelse:</w:t>
            </w:r>
          </w:p>
        </w:tc>
      </w:tr>
    </w:tbl>
    <w:p w14:paraId="35F48173" w14:textId="77777777" w:rsidR="00C93CCC" w:rsidRDefault="00C93CCC">
      <w:pPr>
        <w:pStyle w:val="Header"/>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Header"/>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Pr>
                <w:b/>
              </w:rPr>
              <w:t>Förslag till kungligt dekret om ändring av de tekniska byggreglerna, godkänt genom kungligt dekret 314/2006 av den 17 mars.</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Default="00C93CCC">
            <w:pPr>
              <w:tabs>
                <w:tab w:val="left" w:pos="1080"/>
              </w:tabs>
              <w:spacing w:line="360" w:lineRule="atLeast"/>
              <w:ind w:left="357" w:right="170"/>
              <w:jc w:val="both"/>
              <w:rPr>
                <w:rFonts w:ascii="Arial" w:hAnsi="Arial"/>
                <w:b/>
                <w:sz w:val="28"/>
                <w:lang w:val="es-ES_tradnl"/>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p w14:paraId="59E0450F" w14:textId="63AAAB00" w:rsidR="000760AB" w:rsidRPr="00CE0018" w:rsidRDefault="000760AB" w:rsidP="000760AB">
      <w:pPr>
        <w:spacing w:after="160" w:line="259" w:lineRule="auto"/>
        <w:jc w:val="both"/>
        <w:rPr>
          <w:rFonts w:ascii="Calibri" w:eastAsia="Calibri" w:hAnsi="Calibri" w:cs="Calibri"/>
          <w:sz w:val="22"/>
          <w:szCs w:val="22"/>
        </w:rPr>
      </w:pPr>
      <w:r>
        <w:rPr>
          <w:rFonts w:ascii="Calibri" w:hAnsi="Calibri"/>
          <w:sz w:val="22"/>
        </w:rPr>
        <w:t>I lag 38/1999 av den 5 november om byggnadsbestämmelser definieras tekniska byggregler (CTE) som ett regelverk som fastställer de grundläggande kvalitetskraven för byggnader och deras installationer och som gör det möjligt att uppfylla de grundläggande krav som fastställs i artikel 3. De tekniska byggreglerna (CTE) som föreskrivs i denna lag godkändes genom kungligt dekret 314/2006 av den 17 mars. De grundläggande dokument som ingår i del II i CTE anges och, i förekommande fall, kvantifiera de grundläggande krav som fastställs i del I genom fastställande av prestationsmålnivåer eller prestandagränser eller andra parametrar. Speciellt i det DB-HE grundläggande dokumentet ”Energisparande” specificeras och kvantifieras de energieffektivitetskrav som nybyggda byggnader ska uppfylla samt ingripanden i befintliga byggnader.</w:t>
      </w:r>
    </w:p>
    <w:p w14:paraId="0BC6392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Den 30 maj 2018 antogs Europaparlamentets och rådets direktiv (EU) 2018/844 om ändring av direktiv 2010/31/EU om byggnaders energiprestanda och direktiv 2012/27/EU om energieffektivitet.</w:t>
      </w:r>
    </w:p>
    <w:p w14:paraId="4E8A50F3"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I detta direktiv uppmanas införandet av särskilda krav för utbyggnad av laddningsinfrastruktur för elfordon på parkeringsplatser i byggnader. Både byggsektorn och rörlighetssektorn ska därför vara strategiska områden för den övergripande utfasningen av fossila bränslen i ekonomin, med ett regelverk som syftar till att främja innovation, hållbarhet och energieffektivitet inom dessa sektorer.</w:t>
      </w:r>
    </w:p>
    <w:p w14:paraId="2B504954"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Utvecklingen av infrastruktur för intelligent laddning av elfordon kommer i sin tur att bidra till energihushållning och flexibilitet, användning av förnybar energi och förbättring av luftkvaliteten, och dess energiprestanda kommer att optimeras genom att byggnader blir mer digitala och ny teknik införlivas på fältet.</w:t>
      </w:r>
    </w:p>
    <w:p w14:paraId="4219E732"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I den integrerade nationella energi- och klimatplan för 2021–2030 (PNIEC) som Spanien har lagt fram för Europeiska kommissionen planeras främjande av </w:t>
      </w:r>
      <w:proofErr w:type="spellStart"/>
      <w:r>
        <w:rPr>
          <w:rFonts w:ascii="Calibri" w:hAnsi="Calibri"/>
          <w:sz w:val="22"/>
        </w:rPr>
        <w:t>elmobilitet</w:t>
      </w:r>
      <w:proofErr w:type="spellEnd"/>
      <w:r>
        <w:rPr>
          <w:rFonts w:ascii="Calibri" w:hAnsi="Calibri"/>
          <w:sz w:val="22"/>
        </w:rPr>
        <w:t xml:space="preserve"> som en åtgärd för att minska energiförbrukningen och utsläppen från fordon genom anpassning av lagstiftningen och införlivande av EU-lagstiftning som möjliggör utbyggnad av laddningsinfrastruktur för elfordon i linje med utvecklingen av fordonsbeståndets elektrifiering, samt genom andra mekanismer för uppmuntran och stöd. </w:t>
      </w:r>
    </w:p>
    <w:p w14:paraId="76C72E2C"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För att uppnå dessa mål och för att delvis införliva direktivet i detta avseende införs genom detta kungliga dekret i de tekniska byggreglerna ett nytt grundläggande energisparkrav avseende minimitilldelningen för laddningsinfrastruktur </w:t>
      </w:r>
      <w:r>
        <w:rPr>
          <w:rFonts w:ascii="Calibri" w:hAnsi="Calibri"/>
          <w:sz w:val="22"/>
        </w:rPr>
        <w:lastRenderedPageBreak/>
        <w:t xml:space="preserve">för elfordon, som håller på att utvecklas i det nya avsnittet HE 6 ”Minimiinfrastruktur för laddning av elfordon” i det grundläggande dokumentet DB-HE ”Energisparande”. </w:t>
      </w:r>
    </w:p>
    <w:p w14:paraId="524332F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Det bör dock noteras att det i lag 7/2021 av den 20 maj om klimatförändringar och energiomställning, i artikel 15.10, hänvisas till de tekniska byggreglerna för denna förordning för att fastställa minimibestämmelser för laddningsinfrastruktur för elfordon i befintliga byggnader som inte är avsedda för privat boende och som har en parkering med fler än tjugo parkeringsplatser, antingen inomhus eller i ett anvisat område utomhus. Det är bestämmelser som bör införas före den 1 januari 2023. Dessa minimitilldelningar har dock slutligen fastställts genom kungligt lagdekret 29/2021 av den 21 december om brådskande åtgärder på energiområdet för att främja elektrisk mobilitet, egenförbrukning och utbyggnad av förnybar energi, vilket inbegriper detta krav i artikel 4. </w:t>
      </w:r>
    </w:p>
    <w:p w14:paraId="7707E80D"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För att komplettera regleringen av laddningsinfrastruktur för elfordon ändras även kungligt dekret 1053/2014 av den 12 december om godkännande av en ny kompletterande teknisk instruktion (ITC) BT 52 ”Speciella installationer. Infrastruktur för laddning av elfordon”, i den elektrotekniska föreskriften för lågspänning, godkänd genom kungligt dekret 842/2002 av den 2 augusti, och andra kompletterande tekniska anvisningar ändras.</w:t>
      </w:r>
    </w:p>
    <w:p w14:paraId="055E3A4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Som en åtgärd för att främja förnybar energi, förbättra de produktiva sektorernas konkurrenskraft och få konsumenterna att bli mer delaktiga i förvaltningen av sin energi förutser PNIEC dessutom en utveckling av egenförbrukning med förnybar energi och distribuerad produktion i bostads- och affärsområden. </w:t>
      </w:r>
    </w:p>
    <w:p w14:paraId="0AED8916"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I detta avseende har godkännandet av kungligt dekret 244/2019 av den 5 april, som reglerar de administrativa, tekniska och ekonomiska villkoren för egenförbrukning av el, bland annat möjliggjort kollektiv egenförbrukning och samtidigt minskat de administrativa förfarandena för genomförande av egenförbrukning. Det anses därför att den nuvarande rättsliga ramen gör det möjligt att utvidga tillämpningsområdet för det grundläggande kravet HE 5 avseende minimiproduktion av el från förnybara energikällor både genom att göra det tillämpligt i byggnader avsedda för privat boende och genom att sänka tröskeln för byggd yta i byggnader för alla användningsområden som kravet gäller. </w:t>
      </w:r>
    </w:p>
    <w:p w14:paraId="55B0D0A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Det anses dessutom vara nödvändigt att ändra vissa avsnitt i de grundläggande dokumenten DB-HE ”Energisparande”</w:t>
      </w:r>
      <w:bookmarkStart w:id="0" w:name="_Hlk92819359"/>
      <w:bookmarkEnd w:id="0"/>
      <w:r>
        <w:rPr>
          <w:rFonts w:ascii="Calibri" w:hAnsi="Calibri"/>
          <w:sz w:val="22"/>
        </w:rPr>
        <w:t xml:space="preserve"> och DB-HS ”Hälsa” för att underlätta deras tillämpning, och en skyndsam ändring av det grundläggande dokumentet DB-SUA ”Säkerhet vid användning och tillgänglighet” för att införliva tillgänglighetskriterier för laddningsstationer vid tillgängliga parkeringsplatser.  </w:t>
      </w:r>
    </w:p>
    <w:p w14:paraId="7B428C2F" w14:textId="1C0D714C"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Ändringen av de tekniska byggreglerna avseende införlivandet av det nya avsnittet HE 6 ”Minimibestämmelser för laddningsinfrastruktur för elfordon” i grunddokumentet DB-HE om energisparande, samt ändringen av kungligt dekret 1053/2014 av den 12 december, om godkännande av en ny kompletterande teknisk instruktion (ITC) BT 52 som ingår i den första slutbestämmelsen ingår i de rättsliga reformer som planeras i planen för återhämtning, omvandling och </w:t>
      </w:r>
      <w:proofErr w:type="spellStart"/>
      <w:r>
        <w:rPr>
          <w:rFonts w:ascii="Calibri" w:hAnsi="Calibri"/>
          <w:sz w:val="22"/>
        </w:rPr>
        <w:t>resiliens</w:t>
      </w:r>
      <w:proofErr w:type="spellEnd"/>
      <w:r>
        <w:rPr>
          <w:rFonts w:ascii="Calibri" w:hAnsi="Calibri"/>
          <w:sz w:val="22"/>
        </w:rPr>
        <w:t xml:space="preserve"> (PRTR). Särskilt del 1 i PRTR om ”Hållbar, säker och uppkopplad chockplan för rörlighet i stads- och storstadsmiljöer” avser godkännandet av denna kungliga förordning om genomförande av ovannämnda rättsliga reformer inom C1.R1-reformen, kallad ”Plan för utbyggnad av laddningsinfrastruktur och främjande av elfordon”.  C1.R1-reformen är utformad som en rättslig, reglering och strategisk ram för att underlätta utbyggnaden av laddningsinfrastruktur för att främja elfordon i Spanien och har två milstolpar. Den första utgörs av förordning TMA/178/2020 av den 19 februari om ändring av förordningen av den 16 december 1997, som reglerar tillträde till statliga vägar, servicevägar och uppförande av anläggningar för tjänster, och genom kungligt lagdekret 23/2020 av den 23 juni, som godkänner åtgärder på energiområdet och andra områden för ekonomisk reaktivering. Den andra milstolpen i C1.R1-reformen omfattar godkännandet av detta kungliga dekret om ändring av lagen om teknisk byggnad och kungligt dekret 1053/2014 av den 12 december om godkännande av en ny kompletterande teknisk instruktion (ITC) BT 52.  Milstolpen för tidsåtagandet för denna reform är att det kungliga dekretet om reglering av reformen ska träda i kraft före den 30 juni 2022. Reform C1.R1 är kopplad till investering C1.I2 ”Incitamentplan för installation av </w:t>
      </w:r>
      <w:r>
        <w:rPr>
          <w:rFonts w:ascii="Calibri" w:hAnsi="Calibri"/>
          <w:sz w:val="22"/>
        </w:rPr>
        <w:lastRenderedPageBreak/>
        <w:t xml:space="preserve">laddningsstationer, förvärv av el- och bränslecellsfordon och innovation inom elektromobilitet, laddning och grön vätgas.” Denna investering omfattar stöd till installation av laddningsstationer enligt kungligt dekret 266/2021 av den 13 april om godkännande av direkt beviljande av stöd till de autonoma regionerna och städerna Ceuta och Melilla för genomförande av stimulansprogram med koppling till </w:t>
      </w:r>
      <w:proofErr w:type="spellStart"/>
      <w:r>
        <w:rPr>
          <w:rFonts w:ascii="Calibri" w:hAnsi="Calibri"/>
          <w:sz w:val="22"/>
        </w:rPr>
        <w:t>elmobilitet</w:t>
      </w:r>
      <w:proofErr w:type="spellEnd"/>
      <w:r>
        <w:rPr>
          <w:rFonts w:ascii="Calibri" w:hAnsi="Calibri"/>
          <w:sz w:val="22"/>
        </w:rPr>
        <w:t xml:space="preserve"> (MOVES III) inom ramen för PRTR.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Detta kungliga dekret respekterar principen om att inte orsaka betydande skada (DNSH) och villkoren för klimatmärkning och digital märkning, i enlighet med bestämmelserna i registret, Europaparlamentets och rådets förordning (EU/2021/241 av den 12 februari 2021 om inrättande av en mekanism för </w:t>
      </w:r>
      <w:proofErr w:type="spellStart"/>
      <w:r>
        <w:rPr>
          <w:rFonts w:ascii="Calibri" w:hAnsi="Calibri"/>
          <w:sz w:val="22"/>
        </w:rPr>
        <w:t>resiliens</w:t>
      </w:r>
      <w:proofErr w:type="spellEnd"/>
      <w:r>
        <w:rPr>
          <w:rFonts w:ascii="Calibri" w:hAnsi="Calibri"/>
          <w:sz w:val="22"/>
        </w:rPr>
        <w:t xml:space="preserve"> och återhämtning) och dess genomförandelagstiftning, särskilt kommissionens meddelande om teknisk vägledning om tillämpningen av principen om att inte orsaka betydande skada enligt förordningen om en mekanism för </w:t>
      </w:r>
      <w:proofErr w:type="spellStart"/>
      <w:r>
        <w:rPr>
          <w:rFonts w:ascii="Calibri" w:hAnsi="Calibri"/>
          <w:sz w:val="22"/>
        </w:rPr>
        <w:t>resiliens</w:t>
      </w:r>
      <w:proofErr w:type="spellEnd"/>
      <w:r>
        <w:rPr>
          <w:rFonts w:ascii="Calibri" w:hAnsi="Calibri"/>
          <w:sz w:val="22"/>
        </w:rPr>
        <w:t xml:space="preserve"> och återhämtning, samt kraven i rådets genomförandebeslut om godkännande av utvärderingen av den spanska planen för återhämtning, omvandling och </w:t>
      </w:r>
      <w:proofErr w:type="spellStart"/>
      <w:r>
        <w:rPr>
          <w:rFonts w:ascii="Calibri" w:hAnsi="Calibri"/>
          <w:sz w:val="22"/>
        </w:rPr>
        <w:t>resiliens</w:t>
      </w:r>
      <w:proofErr w:type="spellEnd"/>
      <w:r>
        <w:rPr>
          <w:rFonts w:ascii="Calibri" w:hAnsi="Calibri"/>
          <w:sz w:val="22"/>
        </w:rPr>
        <w:t xml:space="preserve">. Detta inbegriper överensstämmelse med de särskilda villkor som anges i del 1 och i reform 1 som denna kungliga förordning är utformad i, både när det gäller principen om att inte orsaka betydande skada och klimatmärkning och digital märkning, särskilt de som anges i avsnitten 3, 6 och 8 i dokumentet om PRTR-komponenten. Investeringar i PRTR, C1.I2, i samband med reform C1.R1, respekterar också principen om att ingen betydande skada på miljön och villkoren för klimatmärkning och digital märkning.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Detta kungliga dekret är förenligt med principerna om nödvändighet, effektivitet, proportionalitet, rättssäkerhet, öppenhet och effektivitet som fastställs i artikel 129 i lag 39/2015 av den 1 oktober om det gemensamma administrativa förfarandet för offentliga förvaltningar. När det gäller principerna om nödvändighet och effektivitet svarar lagen mot skyldigheten att införliva EU-direktiv i nationell lagstiftning och är i linje med mål av allmänt intresse, såsom anpassning av byggnadsinfrastruktur för att främja hållbar rörlighet och användning av förnybar energi. Detta kommer att leda till välfärd i samhället och skydda miljön. Denna kungliga förordning är också förenlig med proportionalitetsprincipen, eftersom den tillhandahåller nödvändiga och tillräckliga medel för att genomföra det rättsliga mandat som föreskrivs i direktivet, men kräver inte någon innovation som kan vara onödig eller gå utöver rättsliga krav och inte heller medföra en inskränkning av medborgarnas rättigheter. Denna förordning uppfyller rättssäkerhetsprincipen, eftersom den har utarbetats i enlighet med de förfaranden som anges i regeringens lag nr 50/1997 av den 27 november 1997 och principen om öppenhet, eftersom den tydligt anger dess syfte och dess offentligt tillgängliga motivering förklarar dess innehåll fullt ut. Slutligen uppfyller den också effektivitetsprincipen eftersom den inte medför någon administrativ börda.</w:t>
      </w:r>
    </w:p>
    <w:p w14:paraId="781A1DCF"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Denna allmänna bestämmelse har varit föremål för förfarandena för offentligt samråd i tidigare skede, offentlig utfrågning och offentlig information som fastställs i artikel 26 i regeringens lag 50/1997 av den 27 november, och informationsförfarandet om tekniska föreskrifter och föreskrifter om informationssamhällets tjänster som föreskrivs i Europaparlamentets och rådets direktiv (EU) 2015/1535 av den 9 september 2015 och i kungligt dekret 1337/1999 av den 31 juli 1999.</w:t>
      </w:r>
    </w:p>
    <w:p w14:paraId="1CF691DA" w14:textId="0555DF60"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I enlighet med detta, på förslag av ministern för transport, rörlighet och stadsutveckling och ministern för ekologisk omställning och den demografiska utmaningen, i samförstånd med statsrådet och efter överläggningar i ministerrådet vid dess sammanträde</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rPr>
      </w:pPr>
      <w:r>
        <w:rPr>
          <w:rFonts w:ascii="Calibri" w:hAnsi="Calibri"/>
          <w:sz w:val="22"/>
        </w:rPr>
        <w:t>FÖRESKRIVS HÄRIGENOM FÖLJANDE:</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En artikel. </w:t>
      </w:r>
      <w:r>
        <w:rPr>
          <w:rFonts w:ascii="Calibri" w:hAnsi="Calibri"/>
          <w:i/>
          <w:sz w:val="22"/>
        </w:rPr>
        <w:t>Ändring av de tekniska byggnadsreglerna (CTE), godkänd genom kungligt dekret 314/2006 av den 17 mars 2006.</w:t>
      </w:r>
    </w:p>
    <w:p w14:paraId="557D04F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De tekniska byggreglerna (CTE), som godkänts genom kungligt dekret 314/2006 av den 17 mars, ska ändras på följande sätt:</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lastRenderedPageBreak/>
        <w:t>Ett. Indexet i del I ska ändras på följande sätt:</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Texten ”15.6. Grundläggande krav HE5: Minsta elproduktion” ska ha följande lydelse:</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Grundläggande krav HE 5: Minimiproduktion av el från förnybara energikällor”.</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En ytterligare punkt med följande text ska införas i hänvisningen till artikel 15:</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Grundläggande krav HE6: Minimiinfrastruktur för laddning av elfordon.</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Två. Artikel 15 i del I ska ändras på följande sätt:</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Punkt 15.6 ska ändras på följande sätt:</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Grundläggande krav HE 5: Minimiproduktion av el från förnybara energikällor.</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Byggnader ska ha system för elproduktion från förnybara källor för eget bruk eller för försörjning för nätet.”</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Ett nytt avsnitt 15.7 ska läggas till med följande innehåll:</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Grundkrav HE 6: Minimiinfrastruktur för laddning av elfordon.</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Byggnader ska ha en minimiinfrastruktur som möjliggör laddning av elfordon.”</w:t>
      </w:r>
    </w:p>
    <w:p w14:paraId="77CE8C8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Tre. Följande ändringar ska införas i grunddokumentet DB-HE ”Energisparande”, som ingår i del II:</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I första underparagrafen i avsnittet ”I Ämne” i ”Inledning” i meningen ”Avsnitten i detta budgetförslag motsvarar de grundläggande kraven HE 0 a till HE 5” i stället för ”HE 5” ska ”HE 6” anges.</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 xml:space="preserve">I avsnitt I ”Syfte” i ”Inledning” ska hänvisningen till artikel 15.6 i del I </w:t>
      </w:r>
      <w:proofErr w:type="spellStart"/>
      <w:r>
        <w:rPr>
          <w:rFonts w:ascii="Calibri" w:hAnsi="Calibri"/>
          <w:sz w:val="22"/>
        </w:rPr>
        <w:t>i</w:t>
      </w:r>
      <w:proofErr w:type="spellEnd"/>
      <w:r>
        <w:rPr>
          <w:rFonts w:ascii="Calibri" w:hAnsi="Calibri"/>
          <w:sz w:val="22"/>
        </w:rPr>
        <w:t xml:space="preserve"> kommittén ändras till följande:</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Grundkrav HE 5: Minimiproduktion av el från förnybara energikällor.</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rPr>
      </w:pPr>
      <w:r>
        <w:rPr>
          <w:rFonts w:ascii="Calibri" w:hAnsi="Calibri"/>
          <w:sz w:val="22"/>
        </w:rPr>
        <w:t>Byggnader ska ha system för elproduktion från förnybara källor för eget bruk eller för försörjning för nätet.”</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 xml:space="preserve">I avsnitt I ”Syfte” i ”Inledningen” ska en ytterligare punkt införas i hänvisningen till artikel 15 i del I </w:t>
      </w:r>
      <w:proofErr w:type="spellStart"/>
      <w:r>
        <w:rPr>
          <w:rFonts w:ascii="Calibri" w:hAnsi="Calibri"/>
          <w:sz w:val="22"/>
        </w:rPr>
        <w:t>i</w:t>
      </w:r>
      <w:proofErr w:type="spellEnd"/>
      <w:r>
        <w:rPr>
          <w:rFonts w:ascii="Calibri" w:hAnsi="Calibri"/>
          <w:sz w:val="22"/>
        </w:rPr>
        <w:t xml:space="preserve"> den gemensamma tekniska kommittén i slutet av den gemensamma utvärderingsenheten, med följande text:</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Grundläggande krav HE 6: Minimiinfrastruktur för laddning av elfordon.</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Byggnader ska ha en minimiinfrastruktur som möjliggör laddning av </w:t>
      </w:r>
      <w:r>
        <w:rPr>
          <w:rFonts w:ascii="Calibri" w:hAnsi="Calibri"/>
          <w:i/>
          <w:sz w:val="22"/>
        </w:rPr>
        <w:t>elfordon</w:t>
      </w:r>
      <w:r>
        <w:rPr>
          <w:rFonts w:ascii="Calibri" w:hAnsi="Calibri"/>
          <w:sz w:val="22"/>
        </w:rPr>
        <w:t>.”</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I innehållsförteckningen ska rubriken på avsnitt HE 5 ändras på följande sätt:</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”Avsnitt HE 5 Minimiproduktion av elektrisk energi från förnybara energikällor.”</w:t>
      </w:r>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En ytterligare punkt med följande text ska införas i hänvisningen till artikel 15 i indexet:</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rPr>
      </w:pPr>
      <w:r>
        <w:rPr>
          <w:rFonts w:ascii="Calibri" w:hAnsi="Calibri"/>
          <w:sz w:val="22"/>
        </w:rPr>
        <w:t>”Avsnitt HE 6 ’Minimiinfrastruktur för laddning av elfordon’</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Tillämpningsområde</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Beskrivning av kravet</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Kvantifiering av kravet</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Motivering för kravet</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Konstruktion, upprätthållande och underhåll</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5.1</w:t>
      </w:r>
      <w:r>
        <w:rPr>
          <w:rFonts w:ascii="Calibri" w:hAnsi="Calibri"/>
          <w:sz w:val="22"/>
        </w:rPr>
        <w:tab/>
        <w:t>Genomförande</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5.2</w:t>
      </w:r>
      <w:r>
        <w:rPr>
          <w:rFonts w:ascii="Calibri" w:hAnsi="Calibri"/>
          <w:sz w:val="22"/>
        </w:rPr>
        <w:tab/>
        <w:t>Övervakning av arbetets genomförande</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lastRenderedPageBreak/>
        <w:t>5.3</w:t>
      </w:r>
      <w:r>
        <w:rPr>
          <w:rFonts w:ascii="Calibri" w:hAnsi="Calibri"/>
          <w:sz w:val="22"/>
        </w:rPr>
        <w:tab/>
        <w:t>Kontroll av det utförda arbetet</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5.4</w:t>
      </w:r>
      <w:r>
        <w:rPr>
          <w:rFonts w:ascii="Calibri" w:hAnsi="Calibri"/>
          <w:sz w:val="22"/>
        </w:rPr>
        <w:tab/>
        <w:t>Upprätthållande och underhåll av byggnaden”</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 avsnitt HE 0, avsnitt 1 Tillämpningsområde, punkt 1, ska texten ”... där den totala utvidgade användbara ytan överstiger 50 m</w:t>
      </w:r>
      <w:r>
        <w:rPr>
          <w:rFonts w:ascii="Calibri" w:hAnsi="Calibri"/>
          <w:sz w:val="22"/>
          <w:vertAlign w:val="superscript"/>
        </w:rPr>
        <w:t>2</w:t>
      </w:r>
      <w:r>
        <w:rPr>
          <w:rFonts w:ascii="Calibri" w:hAnsi="Calibri"/>
          <w:sz w:val="22"/>
        </w:rPr>
        <w:t>;” ersättas med ”... där den utvidgade användbara ytan överstiger 50 m</w:t>
      </w:r>
      <w:r>
        <w:rPr>
          <w:rFonts w:ascii="Calibri" w:hAnsi="Calibri"/>
          <w:sz w:val="22"/>
          <w:vertAlign w:val="superscript"/>
        </w:rPr>
        <w:t>2</w:t>
      </w:r>
      <w:r>
        <w:rPr>
          <w:rFonts w:ascii="Calibri" w:hAnsi="Calibri"/>
          <w:sz w:val="22"/>
        </w:rPr>
        <w:t>;”</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 avsnitt HE 0, avsnitt 3 Kvantifiering av kravet, avsnitt 3.1 Icke-förnybar primärenergianvändning</w:t>
      </w:r>
      <w:bookmarkStart w:id="1" w:name="_Hlk96944651"/>
      <w:r>
        <w:rPr>
          <w:rFonts w:ascii="Calibri" w:hAnsi="Calibri"/>
          <w:sz w:val="22"/>
        </w:rPr>
        <w:t xml:space="preserve">, </w:t>
      </w:r>
      <w:bookmarkEnd w:id="1"/>
      <w:r>
        <w:rPr>
          <w:rFonts w:ascii="Calibri" w:hAnsi="Calibri"/>
          <w:sz w:val="22"/>
        </w:rPr>
        <w:t xml:space="preserve">punkt 1, </w:t>
      </w:r>
      <w:bookmarkStart w:id="2" w:name="_Hlk96943118"/>
      <w:r>
        <w:rPr>
          <w:rFonts w:ascii="Calibri" w:hAnsi="Calibri"/>
          <w:sz w:val="22"/>
        </w:rPr>
        <w:t>ska begreppet ”</w:t>
      </w:r>
      <w:proofErr w:type="spellStart"/>
      <w:proofErr w:type="gramStart"/>
      <w:r>
        <w:rPr>
          <w:rFonts w:ascii="Calibri" w:hAnsi="Calibri"/>
          <w:sz w:val="22"/>
        </w:rPr>
        <w:t>Cep,nren</w:t>
      </w:r>
      <w:proofErr w:type="spellEnd"/>
      <w:proofErr w:type="gramEnd"/>
      <w:r>
        <w:rPr>
          <w:rFonts w:ascii="Calibri" w:hAnsi="Calibri"/>
          <w:sz w:val="22"/>
        </w:rPr>
        <w:t>” ersättas med ”</w:t>
      </w:r>
      <w:proofErr w:type="spellStart"/>
      <w:r>
        <w:rPr>
          <w:rFonts w:ascii="Calibri" w:hAnsi="Calibri"/>
          <w:sz w:val="22"/>
        </w:rPr>
        <w:t>C</w:t>
      </w:r>
      <w:r>
        <w:rPr>
          <w:rFonts w:ascii="Calibri" w:hAnsi="Calibri"/>
          <w:sz w:val="22"/>
          <w:vertAlign w:val="subscript"/>
        </w:rPr>
        <w:t>ep,nren</w:t>
      </w:r>
      <w:proofErr w:type="spellEnd"/>
      <w:r>
        <w:rPr>
          <w:rFonts w:ascii="Calibri" w:hAnsi="Calibri"/>
          <w:sz w:val="22"/>
        </w:rPr>
        <w:t>” och begreppet ”</w:t>
      </w:r>
      <w:proofErr w:type="spellStart"/>
      <w:r>
        <w:rPr>
          <w:rFonts w:ascii="Calibri" w:hAnsi="Calibri"/>
          <w:sz w:val="22"/>
        </w:rPr>
        <w:t>Cep,nren,lim</w:t>
      </w:r>
      <w:proofErr w:type="spellEnd"/>
      <w:r>
        <w:rPr>
          <w:rFonts w:ascii="Calibri" w:hAnsi="Calibri"/>
          <w:sz w:val="22"/>
        </w:rPr>
        <w:t>” ska ersättas med ”</w:t>
      </w:r>
      <w:proofErr w:type="spellStart"/>
      <w:r>
        <w:rPr>
          <w:rFonts w:ascii="Calibri" w:hAnsi="Calibri"/>
          <w:sz w:val="22"/>
        </w:rPr>
        <w:t>C</w:t>
      </w:r>
      <w:r>
        <w:rPr>
          <w:rFonts w:ascii="Calibri" w:hAnsi="Calibri"/>
          <w:sz w:val="22"/>
          <w:vertAlign w:val="subscript"/>
        </w:rPr>
        <w:t>ep,nren,lim</w:t>
      </w:r>
      <w:proofErr w:type="spellEnd"/>
      <w:r>
        <w:rPr>
          <w:rFonts w:ascii="Calibri" w:hAnsi="Calibri"/>
          <w:sz w:val="22"/>
        </w:rPr>
        <w:t>”.</w:t>
      </w:r>
      <w:bookmarkEnd w:id="2"/>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 avsnitt HE 0, avsnitt 3 Kvantifiering av kravet, avsnitt 3.1 Icke-förnybar primärenergianvändning, punkt 2, ska begreppet ”</w:t>
      </w:r>
      <w:proofErr w:type="spellStart"/>
      <w:proofErr w:type="gramStart"/>
      <w:r>
        <w:rPr>
          <w:rFonts w:ascii="Calibri" w:hAnsi="Calibri"/>
          <w:sz w:val="22"/>
        </w:rPr>
        <w:t>Cep,nren</w:t>
      </w:r>
      <w:proofErr w:type="gramEnd"/>
      <w:r>
        <w:rPr>
          <w:rFonts w:ascii="Calibri" w:hAnsi="Calibri"/>
          <w:sz w:val="22"/>
        </w:rPr>
        <w:t>,lim</w:t>
      </w:r>
      <w:proofErr w:type="spellEnd"/>
      <w:r>
        <w:rPr>
          <w:rFonts w:ascii="Calibri" w:hAnsi="Calibri"/>
          <w:sz w:val="22"/>
        </w:rPr>
        <w:t>” ersättas med ”</w:t>
      </w:r>
      <w:proofErr w:type="spellStart"/>
      <w:r>
        <w:rPr>
          <w:rFonts w:ascii="Calibri" w:hAnsi="Calibri"/>
          <w:sz w:val="22"/>
        </w:rPr>
        <w:t>C</w:t>
      </w:r>
      <w:r>
        <w:rPr>
          <w:rFonts w:ascii="Calibri" w:hAnsi="Calibri"/>
          <w:sz w:val="22"/>
          <w:vertAlign w:val="subscript"/>
        </w:rPr>
        <w:t>ep,nren,lim</w:t>
      </w:r>
      <w:proofErr w:type="spellEnd"/>
      <w:r>
        <w:rPr>
          <w:rFonts w:ascii="Calibri" w:hAnsi="Calibri"/>
          <w:sz w:val="22"/>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 avsnitt HE 0, avsnitt 3 Kvantifiering av kravet, avsnitt 3.2 Total primärenergianvändning, punkt 1, ska begreppet ”</w:t>
      </w:r>
      <w:proofErr w:type="spellStart"/>
      <w:proofErr w:type="gramStart"/>
      <w:r>
        <w:rPr>
          <w:rFonts w:ascii="Calibri" w:hAnsi="Calibri"/>
          <w:sz w:val="22"/>
        </w:rPr>
        <w:t>Cep,tot</w:t>
      </w:r>
      <w:proofErr w:type="spellEnd"/>
      <w:proofErr w:type="gramEnd"/>
      <w:r>
        <w:rPr>
          <w:rFonts w:ascii="Calibri" w:hAnsi="Calibri"/>
          <w:sz w:val="22"/>
        </w:rPr>
        <w:t>” ersättas med ”</w:t>
      </w:r>
      <w:proofErr w:type="spellStart"/>
      <w:r>
        <w:rPr>
          <w:rFonts w:ascii="Calibri" w:hAnsi="Calibri"/>
          <w:sz w:val="22"/>
        </w:rPr>
        <w:t>C</w:t>
      </w:r>
      <w:r>
        <w:rPr>
          <w:rFonts w:ascii="Calibri" w:hAnsi="Calibri"/>
          <w:sz w:val="22"/>
          <w:vertAlign w:val="subscript"/>
        </w:rPr>
        <w:t>ep,tot</w:t>
      </w:r>
      <w:proofErr w:type="spellEnd"/>
      <w:r>
        <w:rPr>
          <w:rFonts w:ascii="Calibri" w:hAnsi="Calibri"/>
          <w:sz w:val="22"/>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 avsnitt HE 0, avsnitt 3 Kvantifiering av kravet, avsnitt 3.2 Total primärenergianvändning, punkt 2, ska begreppet ”</w:t>
      </w:r>
      <w:proofErr w:type="spellStart"/>
      <w:proofErr w:type="gramStart"/>
      <w:r>
        <w:rPr>
          <w:rFonts w:ascii="Calibri" w:hAnsi="Calibri"/>
          <w:sz w:val="22"/>
        </w:rPr>
        <w:t>Cep,tot</w:t>
      </w:r>
      <w:proofErr w:type="gramEnd"/>
      <w:r>
        <w:rPr>
          <w:rFonts w:ascii="Calibri" w:hAnsi="Calibri"/>
          <w:sz w:val="22"/>
        </w:rPr>
        <w:t>,lim</w:t>
      </w:r>
      <w:proofErr w:type="spellEnd"/>
      <w:r>
        <w:rPr>
          <w:rFonts w:ascii="Calibri" w:hAnsi="Calibri"/>
          <w:sz w:val="22"/>
        </w:rPr>
        <w:t>” ersättas med ”</w:t>
      </w:r>
      <w:proofErr w:type="spellStart"/>
      <w:r>
        <w:rPr>
          <w:rFonts w:ascii="Calibri" w:hAnsi="Calibri"/>
          <w:sz w:val="22"/>
        </w:rPr>
        <w:t>C</w:t>
      </w:r>
      <w:r>
        <w:rPr>
          <w:rFonts w:ascii="Calibri" w:hAnsi="Calibri"/>
          <w:sz w:val="22"/>
          <w:vertAlign w:val="subscript"/>
        </w:rPr>
        <w:t>ep,tot,lim</w:t>
      </w:r>
      <w:proofErr w:type="spellEnd"/>
      <w:r>
        <w:rPr>
          <w:rFonts w:ascii="Calibri" w:hAnsi="Calibri"/>
          <w:sz w:val="22"/>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 avsnitt HE 0, avsnitt 3 Kvantifiering av kravet, ska begreppet ”</w:t>
      </w:r>
      <w:r>
        <w:rPr>
          <w:rFonts w:ascii="Calibri" w:hAnsi="Calibri"/>
          <w:i/>
          <w:sz w:val="22"/>
        </w:rPr>
        <w:t>privat användning för bostäder</w:t>
      </w:r>
      <w:r>
        <w:rPr>
          <w:rFonts w:ascii="Calibri" w:hAnsi="Calibri"/>
          <w:sz w:val="22"/>
        </w:rPr>
        <w:t>” anges i kursiv stil.</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 avsnitt HE 0, i avsnitt 4.1 ”Beräkningsförfarande”, i punkt 9 ska texten ”erkända dokument” ersättas med ”erkända energicertifieringsdokument för byggnader”.</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rPr>
      </w:pPr>
      <w:r>
        <w:rPr>
          <w:rFonts w:ascii="Calibri" w:hAnsi="Calibri"/>
          <w:sz w:val="22"/>
        </w:rPr>
        <w:t>I avsnitt HE 0, i avsnitt 4.1 ”Beräkningsförfarande”, ska punkt 9 bli punkt 11 och följande led ska läggas till:</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”9</w:t>
      </w:r>
      <w:r>
        <w:rPr>
          <w:rFonts w:ascii="Calibri" w:hAnsi="Calibri"/>
          <w:sz w:val="22"/>
        </w:rPr>
        <w:tab/>
        <w:t xml:space="preserve">Beräkningen av den energibalans som krävs för verifiering av kraven i detta BD ska utföras i enlighet med UNE-EN ISO 52000–1:2019: </w:t>
      </w:r>
      <w:r>
        <w:rPr>
          <w:rFonts w:ascii="Calibri" w:hAnsi="Calibri"/>
          <w:i/>
          <w:sz w:val="22"/>
        </w:rPr>
        <w:t xml:space="preserve">Övergripande bedömning av byggnaders energiprestanda. </w:t>
      </w:r>
      <w:r>
        <w:rPr>
          <w:rFonts w:ascii="Calibri" w:hAnsi="Calibri"/>
          <w:i/>
          <w:iCs/>
          <w:sz w:val="22"/>
        </w:rPr>
        <w:t>Del 1: allmänt ramverk och förfaranden</w:t>
      </w:r>
      <w:r>
        <w:rPr>
          <w:rFonts w:ascii="Calibri" w:hAnsi="Calibri"/>
          <w:sz w:val="22"/>
        </w:rPr>
        <w:t xml:space="preserve">, med exportfaktor </w:t>
      </w:r>
      <w:proofErr w:type="spellStart"/>
      <w:r>
        <w:rPr>
          <w:rFonts w:ascii="Calibri" w:hAnsi="Calibri"/>
          <w:sz w:val="22"/>
        </w:rPr>
        <w:t>K</w:t>
      </w:r>
      <w:r>
        <w:rPr>
          <w:rFonts w:ascii="Calibri" w:hAnsi="Calibri"/>
          <w:sz w:val="22"/>
          <w:vertAlign w:val="subscript"/>
        </w:rPr>
        <w:t>exp</w:t>
      </w:r>
      <w:proofErr w:type="spellEnd"/>
      <w:r>
        <w:rPr>
          <w:rFonts w:ascii="Calibri" w:hAnsi="Calibri"/>
          <w:sz w:val="22"/>
        </w:rPr>
        <w:t xml:space="preserve">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”10</w:t>
      </w:r>
      <w:r>
        <w:rPr>
          <w:rFonts w:ascii="Calibri" w:hAnsi="Calibri"/>
          <w:sz w:val="22"/>
        </w:rPr>
        <w:tab/>
        <w:t>Vid fördelningen av de olika tjänsterna ska distributionen av den el som produceras på plats, inom varje tidsintervall, beräknas proportionellt i förhållande till den berörda förbrukningens elförbrukning (uppvärmning, kylning, ventilation, ACS och vid tertiär användning samt belysning).”</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 avsnitt HE 0, avsnitt 4.3 Interna förfrågningar och driftsvillkor, punkt 2, ska begreppet ”</w:t>
      </w:r>
      <w:r>
        <w:rPr>
          <w:rFonts w:ascii="Calibri" w:hAnsi="Calibri"/>
          <w:i/>
          <w:sz w:val="22"/>
        </w:rPr>
        <w:t>privat användning för bostäder</w:t>
      </w:r>
      <w:r>
        <w:rPr>
          <w:rFonts w:ascii="Calibri" w:hAnsi="Calibri"/>
          <w:sz w:val="22"/>
        </w:rPr>
        <w:t>” anges i kursiv stil.</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ñ) I avsnitt HE 0, avsnitt 4.5 Referenssystem för privat bruk i bostäder ska begreppet ”</w:t>
      </w:r>
      <w:r>
        <w:rPr>
          <w:rFonts w:ascii="Calibri" w:hAnsi="Calibri"/>
          <w:i/>
          <w:sz w:val="22"/>
        </w:rPr>
        <w:t>privat användning för bostäder</w:t>
      </w:r>
      <w:r>
        <w:rPr>
          <w:rFonts w:ascii="Calibri" w:hAnsi="Calibri"/>
          <w:sz w:val="22"/>
        </w:rPr>
        <w:t>” kursiveras både i rubriken och i punkt 1.</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 avsnitt HE 1 avsnitt 3 Kvantifiering av kravet, avsnitt 3.1.1. Transmittansen av </w:t>
      </w:r>
      <w:proofErr w:type="spellStart"/>
      <w:r>
        <w:rPr>
          <w:rFonts w:ascii="Calibri" w:hAnsi="Calibri"/>
          <w:i/>
          <w:sz w:val="22"/>
        </w:rPr>
        <w:t>klimatskalen</w:t>
      </w:r>
      <w:proofErr w:type="spellEnd"/>
      <w:r>
        <w:rPr>
          <w:rFonts w:ascii="Calibri" w:hAnsi="Calibri"/>
          <w:sz w:val="22"/>
        </w:rPr>
        <w:t>, ska begreppet ”kompakthet” i tabellerna 3.1.1 b-HE1 och 3.1.1 c-HE1, anges i kursiv stil.</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 avsnitt HE 1 avsnitt 3 Kvantifiering av kravet, avsnitt 3.1.1. Transmittansen av </w:t>
      </w:r>
      <w:proofErr w:type="spellStart"/>
      <w:r>
        <w:rPr>
          <w:rFonts w:ascii="Calibri" w:hAnsi="Calibri"/>
          <w:i/>
          <w:sz w:val="22"/>
        </w:rPr>
        <w:t>klimatskalen</w:t>
      </w:r>
      <w:proofErr w:type="spellEnd"/>
      <w:r>
        <w:rPr>
          <w:rFonts w:ascii="Calibri" w:hAnsi="Calibri"/>
          <w:sz w:val="22"/>
        </w:rPr>
        <w:t>, ska begreppet ”kompakthet” i fotnoterna till tabellerna 3.1.1 b-HE1 och 3.1.1 c-HE1, och begreppet ”kompakthet” i fotnoterna till tabell 3.1.1 c-HE1 anges i kursiv stil.</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 avsnitt HE 1 avsnitt 3 Kvantifiering av kravet, avsnitt 3.1.1. Transmittansen av </w:t>
      </w:r>
      <w:proofErr w:type="spellStart"/>
      <w:r>
        <w:rPr>
          <w:rFonts w:ascii="Calibri" w:hAnsi="Calibri"/>
          <w:i/>
          <w:sz w:val="22"/>
        </w:rPr>
        <w:t>klimatskalen</w:t>
      </w:r>
      <w:proofErr w:type="spellEnd"/>
      <w:r>
        <w:rPr>
          <w:rFonts w:ascii="Calibri" w:hAnsi="Calibri"/>
          <w:sz w:val="22"/>
        </w:rPr>
        <w:t>, avsnitt 3, ska begreppet ”</w:t>
      </w:r>
      <w:r>
        <w:rPr>
          <w:rFonts w:ascii="Calibri" w:hAnsi="Calibri"/>
          <w:i/>
          <w:sz w:val="22"/>
        </w:rPr>
        <w:t>privat användning för bostäder</w:t>
      </w:r>
      <w:r>
        <w:rPr>
          <w:rFonts w:ascii="Calibri" w:hAnsi="Calibri"/>
          <w:sz w:val="22"/>
        </w:rPr>
        <w:t>” kursiveras både i punkt 3 och i tabell 3.1.1 b-HE1.</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lastRenderedPageBreak/>
        <w:t xml:space="preserve">I avsnitt HE 1 avsnitt 3 Kvantifiering av kravet, avsnitt 3.1.1. Transmittansen av </w:t>
      </w:r>
      <w:proofErr w:type="spellStart"/>
      <w:r>
        <w:rPr>
          <w:rFonts w:ascii="Calibri" w:hAnsi="Calibri"/>
          <w:i/>
          <w:sz w:val="22"/>
        </w:rPr>
        <w:t>klimatskalen</w:t>
      </w:r>
      <w:proofErr w:type="spellEnd"/>
      <w:r>
        <w:rPr>
          <w:rFonts w:ascii="Calibri" w:hAnsi="Calibri"/>
          <w:sz w:val="22"/>
        </w:rPr>
        <w:t>, ska begreppet ”kompakthet” i tabellerna 3.1.1 b-HE1 och 3.1.1 c-HE1 anges i kursiv stil.</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I avsnitt HE 1, avsnitt 3 Kvantifiering av kravet ska följande led läggas till i avsnitt 3.1.1 ”</w:t>
      </w:r>
      <w:r>
        <w:rPr>
          <w:rFonts w:ascii="Calibri" w:hAnsi="Calibri"/>
          <w:i/>
          <w:sz w:val="22"/>
        </w:rPr>
        <w:t xml:space="preserve">Transmittansen av </w:t>
      </w:r>
      <w:proofErr w:type="spellStart"/>
      <w:r>
        <w:rPr>
          <w:rFonts w:ascii="Calibri" w:hAnsi="Calibri"/>
          <w:i/>
          <w:sz w:val="22"/>
        </w:rPr>
        <w:t>klimatskalen</w:t>
      </w:r>
      <w:proofErr w:type="spellEnd"/>
      <w:r>
        <w:rPr>
          <w:rFonts w:ascii="Calibri" w:hAnsi="Calibri"/>
          <w:sz w:val="22"/>
        </w:rPr>
        <w:t>”:</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”6 Alternativt kan byggnader eller, när det gäller partiella ingrepp i befintliga byggnader, delar av byggnader där ingrepp genomförs, vars uppvärmnings- och kylbehov i båda fallen är mindre än 15 kWh/m</w:t>
      </w:r>
      <w:r>
        <w:rPr>
          <w:rFonts w:ascii="Calibri" w:hAnsi="Calibri"/>
          <w:sz w:val="22"/>
          <w:vertAlign w:val="superscript"/>
        </w:rPr>
        <w:t>2</w:t>
      </w:r>
      <w:r>
        <w:rPr>
          <w:rFonts w:ascii="Calibri" w:hAnsi="Calibri"/>
          <w:sz w:val="22"/>
        </w:rPr>
        <w:t xml:space="preserve">, undantas från överensstämmelse med den </w:t>
      </w:r>
      <w:r>
        <w:rPr>
          <w:rFonts w:ascii="Calibri" w:hAnsi="Calibri"/>
          <w:i/>
          <w:sz w:val="22"/>
        </w:rPr>
        <w:t xml:space="preserve">totala värmeöverföringskoefficienten genom </w:t>
      </w:r>
      <w:proofErr w:type="spellStart"/>
      <w:r>
        <w:rPr>
          <w:rFonts w:ascii="Calibri" w:hAnsi="Calibri"/>
          <w:i/>
          <w:sz w:val="22"/>
        </w:rPr>
        <w:t>klimatskalet</w:t>
      </w:r>
      <w:proofErr w:type="spellEnd"/>
      <w:r>
        <w:rPr>
          <w:rFonts w:ascii="Calibri" w:hAnsi="Calibri"/>
          <w:sz w:val="22"/>
        </w:rPr>
        <w:t xml:space="preserve"> (K).”</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 avsnitt HE 1, avsnitt 3 Kvantifiering av kravet, avsnitt 3.1.2 Solreglering av termisk genomsläpplighet, ska texten ”Tabell 3.1.2-HE1 Gränsvärde för solskyddsparametern </w:t>
      </w:r>
      <w:proofErr w:type="spellStart"/>
      <w:proofErr w:type="gramStart"/>
      <w:r>
        <w:rPr>
          <w:rFonts w:ascii="Calibri" w:hAnsi="Calibri"/>
          <w:sz w:val="22"/>
        </w:rPr>
        <w:t>qsol;jul</w:t>
      </w:r>
      <w:proofErr w:type="gramEnd"/>
      <w:r>
        <w:rPr>
          <w:rFonts w:ascii="Calibri" w:hAnsi="Calibri"/>
          <w:sz w:val="22"/>
        </w:rPr>
        <w:t>,lim</w:t>
      </w:r>
      <w:proofErr w:type="spellEnd"/>
      <w:r>
        <w:rPr>
          <w:rFonts w:ascii="Calibri" w:hAnsi="Calibri"/>
          <w:sz w:val="22"/>
        </w:rPr>
        <w:t xml:space="preserve"> [kWh/m</w:t>
      </w:r>
      <w:r>
        <w:rPr>
          <w:rFonts w:ascii="Calibri" w:hAnsi="Calibri"/>
          <w:sz w:val="22"/>
          <w:vertAlign w:val="superscript"/>
        </w:rPr>
        <w:t>2</w:t>
      </w:r>
      <w:r>
        <w:rPr>
          <w:rFonts w:ascii="Calibri" w:hAnsi="Calibri"/>
          <w:sz w:val="22"/>
        </w:rPr>
        <w:t xml:space="preserve">·mes]” ersättas med ”Tabell 3.1.2-HE1 Gränsvärde för solskyddsparametern </w:t>
      </w:r>
      <w:proofErr w:type="spellStart"/>
      <w:r>
        <w:rPr>
          <w:rFonts w:ascii="Calibri" w:hAnsi="Calibri"/>
          <w:sz w:val="22"/>
        </w:rPr>
        <w:t>q</w:t>
      </w:r>
      <w:r>
        <w:rPr>
          <w:rFonts w:ascii="Calibri" w:hAnsi="Calibri"/>
          <w:sz w:val="22"/>
          <w:vertAlign w:val="subscript"/>
        </w:rPr>
        <w:t>sol;jul,lim</w:t>
      </w:r>
      <w:proofErr w:type="spellEnd"/>
      <w:r>
        <w:rPr>
          <w:rFonts w:ascii="Calibri" w:hAnsi="Calibri"/>
          <w:sz w:val="22"/>
        </w:rPr>
        <w:t xml:space="preserve"> [kWh/m</w:t>
      </w:r>
      <w:r>
        <w:rPr>
          <w:rFonts w:ascii="Calibri" w:hAnsi="Calibri"/>
          <w:sz w:val="22"/>
          <w:vertAlign w:val="superscript"/>
        </w:rPr>
        <w:t>2</w:t>
      </w:r>
      <w:r>
        <w:rPr>
          <w:rFonts w:ascii="Calibri" w:hAnsi="Calibri"/>
          <w:sz w:val="22"/>
        </w:rPr>
        <w:t>·mes]”.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 avsnitt HE 1, avsnitt 3 Kvantifiering av kravet, avsnitt 3.1.3 Luftgenomsläpplighet för </w:t>
      </w:r>
      <w:proofErr w:type="spellStart"/>
      <w:r>
        <w:rPr>
          <w:rFonts w:ascii="Calibri" w:hAnsi="Calibri"/>
          <w:sz w:val="22"/>
        </w:rPr>
        <w:t>klimatskalet</w:t>
      </w:r>
      <w:proofErr w:type="spellEnd"/>
      <w:r>
        <w:rPr>
          <w:rFonts w:ascii="Calibri" w:hAnsi="Calibri"/>
          <w:sz w:val="22"/>
        </w:rPr>
        <w:t>, ska begreppet ”</w:t>
      </w:r>
      <w:proofErr w:type="spellStart"/>
      <w:r>
        <w:rPr>
          <w:rFonts w:ascii="Calibri" w:hAnsi="Calibri"/>
          <w:sz w:val="22"/>
        </w:rPr>
        <w:t>klimatskal</w:t>
      </w:r>
      <w:proofErr w:type="spellEnd"/>
      <w:r>
        <w:rPr>
          <w:rFonts w:ascii="Calibri" w:hAnsi="Calibri"/>
          <w:sz w:val="22"/>
        </w:rPr>
        <w:t>” vara kursivt i både avsnittsrubriken och rubriken i tabell 3.1.3.a-HE1.</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I avsnitt HE 1, avsnitt 3 Kvantifiering av kravet, ska följande nya punkt 3 läggas till i avsnitt 3.1.3 ”Luftgenomsläpplighet för </w:t>
      </w:r>
      <w:proofErr w:type="spellStart"/>
      <w:r>
        <w:rPr>
          <w:rFonts w:ascii="Calibri" w:hAnsi="Calibri"/>
          <w:i/>
          <w:sz w:val="22"/>
        </w:rPr>
        <w:t>klimatskalet</w:t>
      </w:r>
      <w:proofErr w:type="spellEnd"/>
      <w:r>
        <w:rPr>
          <w:rFonts w:ascii="Calibri" w:hAnsi="Calibri"/>
          <w:sz w:val="22"/>
        </w:rPr>
        <w:t>”:</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”3 ’Vid ändringar ska tabell 3.1.3.a-HE1 ovan endast tillämpas på de delar av </w:t>
      </w:r>
      <w:proofErr w:type="spellStart"/>
      <w:r>
        <w:rPr>
          <w:rFonts w:ascii="Calibri" w:hAnsi="Calibri"/>
          <w:i/>
          <w:sz w:val="22"/>
        </w:rPr>
        <w:t>klimatskalet</w:t>
      </w:r>
      <w:proofErr w:type="spellEnd"/>
      <w:r>
        <w:rPr>
          <w:rFonts w:ascii="Calibri" w:hAnsi="Calibri"/>
          <w:sz w:val="22"/>
        </w:rPr>
        <w:t xml:space="preserve"> som har ersatts, införlivats eller ändrats väsentligt.”</w:t>
      </w:r>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Numreringen av de nuvarande punkterna 3 och 4 i avsnitt 3.1.3 ”Luftgenomsläpplighet för </w:t>
      </w:r>
      <w:proofErr w:type="spellStart"/>
      <w:r>
        <w:rPr>
          <w:rFonts w:ascii="Calibri" w:hAnsi="Calibri"/>
          <w:i/>
          <w:sz w:val="22"/>
        </w:rPr>
        <w:t>klimatskalet</w:t>
      </w:r>
      <w:proofErr w:type="spellEnd"/>
      <w:r>
        <w:rPr>
          <w:rFonts w:ascii="Calibri" w:hAnsi="Calibri"/>
          <w:sz w:val="22"/>
        </w:rPr>
        <w:t>” ska ersättas med 4 respektive 5.</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 avsnitt HE 1, avsnitt 3 Kvantifiering av kravet, avsnitt 3.1.3 Luftgenomsläpplighet för </w:t>
      </w:r>
      <w:proofErr w:type="spellStart"/>
      <w:r>
        <w:rPr>
          <w:rFonts w:ascii="Calibri" w:hAnsi="Calibri"/>
          <w:i/>
          <w:sz w:val="22"/>
        </w:rPr>
        <w:t>klimatskalet</w:t>
      </w:r>
      <w:proofErr w:type="spellEnd"/>
      <w:r>
        <w:rPr>
          <w:rFonts w:ascii="Calibri" w:hAnsi="Calibri"/>
          <w:sz w:val="22"/>
        </w:rPr>
        <w:t>, ska begreppet ”kompakthet” i tabell 3.1.3 b-HE1, begreppet ”kompakthet” i tabellen i tabell 3.1.3 b-HE1 och begreppet ”privat användning för bostäder” i punkt 3 anges i kursiv stil.</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 avsnitt HE 1, avsnitt 3 Kvantifiering av kravet, avsnitt 3.1.3 Luftgenomsläpplighet för </w:t>
      </w:r>
      <w:proofErr w:type="spellStart"/>
      <w:r>
        <w:rPr>
          <w:rFonts w:ascii="Calibri" w:hAnsi="Calibri"/>
          <w:i/>
          <w:sz w:val="22"/>
        </w:rPr>
        <w:t>klimatskalet</w:t>
      </w:r>
      <w:proofErr w:type="spellEnd"/>
      <w:r>
        <w:rPr>
          <w:rFonts w:ascii="Calibri" w:hAnsi="Calibri"/>
          <w:sz w:val="22"/>
        </w:rPr>
        <w:t>, tabell 3.1.3 b-HE1, ska ”m</w:t>
      </w:r>
      <w:r>
        <w:rPr>
          <w:rFonts w:ascii="Calibri" w:hAnsi="Calibri"/>
          <w:sz w:val="22"/>
          <w:vertAlign w:val="superscript"/>
        </w:rPr>
        <w:t>3</w:t>
      </w:r>
      <w:r>
        <w:rPr>
          <w:rFonts w:ascii="Calibri" w:hAnsi="Calibri"/>
          <w:sz w:val="22"/>
        </w:rPr>
        <w:t>/m2” ersättas med ”m</w:t>
      </w:r>
      <w:r>
        <w:rPr>
          <w:rFonts w:ascii="Calibri" w:hAnsi="Calibri"/>
          <w:sz w:val="22"/>
          <w:vertAlign w:val="superscript"/>
        </w:rPr>
        <w:t>3</w:t>
      </w:r>
      <w:r>
        <w:rPr>
          <w:rFonts w:ascii="Calibri" w:hAnsi="Calibri"/>
          <w:sz w:val="22"/>
        </w:rPr>
        <w:t>/m</w:t>
      </w:r>
      <w:r>
        <w:rPr>
          <w:rFonts w:ascii="Calibri" w:hAnsi="Calibri"/>
          <w:sz w:val="22"/>
          <w:vertAlign w:val="superscript"/>
        </w:rPr>
        <w:t>2</w:t>
      </w:r>
      <w:r>
        <w:rPr>
          <w:rFonts w:ascii="Calibri" w:hAnsi="Calibri"/>
          <w:sz w:val="22"/>
        </w:rPr>
        <w:t xml:space="preserve">” med 2 som upphöjt tecken.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I avsnitt HE 1, avsnitt 4 Motivering av kravet bör termen ”kompakthet” i avsnitt 4.1.b) och termen ”privat bruk” i avsnitt 4.1.g) anges med kursiv stil.</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rPr>
      </w:pPr>
      <w:r>
        <w:rPr>
          <w:rFonts w:ascii="Calibri" w:hAnsi="Calibri"/>
          <w:sz w:val="22"/>
        </w:rPr>
        <w:t>I avsnitt HE 3, i tabell 3.1-HE3 Gränsvärde för anläggningens verkningsgrad (</w:t>
      </w:r>
      <w:proofErr w:type="spellStart"/>
      <w:r>
        <w:rPr>
          <w:rFonts w:ascii="Calibri" w:hAnsi="Calibri"/>
          <w:sz w:val="22"/>
        </w:rPr>
        <w:t>VEEI</w:t>
      </w:r>
      <w:r>
        <w:rPr>
          <w:rFonts w:ascii="Calibri" w:hAnsi="Calibri"/>
          <w:sz w:val="22"/>
          <w:vertAlign w:val="subscript"/>
        </w:rPr>
        <w:t>lim</w:t>
      </w:r>
      <w:proofErr w:type="spellEnd"/>
      <w:r>
        <w:rPr>
          <w:rFonts w:ascii="Calibri" w:hAnsi="Calibri"/>
          <w:sz w:val="22"/>
        </w:rPr>
        <w:t xml:space="preserve">), ska orden ”Affärer och små butiker” ersättas med ”Affärer och små butiker </w:t>
      </w:r>
      <w:r>
        <w:rPr>
          <w:rFonts w:ascii="Calibri" w:hAnsi="Calibri"/>
          <w:sz w:val="22"/>
          <w:vertAlign w:val="superscript"/>
        </w:rPr>
        <w:t>(10)</w:t>
      </w:r>
      <w:r>
        <w:rPr>
          <w:rFonts w:ascii="Calibri" w:hAnsi="Calibri"/>
          <w:sz w:val="22"/>
        </w:rPr>
        <w:t>” och följande fotnot läggas till:</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rPr>
      </w:pPr>
      <w:proofErr w:type="gramStart"/>
      <w:r>
        <w:rPr>
          <w:rFonts w:ascii="Calibri" w:hAnsi="Calibri"/>
          <w:sz w:val="22"/>
        </w:rPr>
        <w:t>”</w:t>
      </w:r>
      <w:r>
        <w:rPr>
          <w:rFonts w:ascii="Calibri" w:hAnsi="Calibri"/>
          <w:sz w:val="22"/>
          <w:vertAlign w:val="superscript"/>
        </w:rPr>
        <w:t>(</w:t>
      </w:r>
      <w:proofErr w:type="gramEnd"/>
      <w:r>
        <w:rPr>
          <w:rFonts w:ascii="Calibri" w:hAnsi="Calibri"/>
          <w:sz w:val="22"/>
          <w:vertAlign w:val="superscript"/>
        </w:rPr>
        <w:t>10)</w:t>
      </w:r>
      <w:r>
        <w:rPr>
          <w:rFonts w:ascii="Calibri" w:hAnsi="Calibri"/>
          <w:sz w:val="22"/>
        </w:rPr>
        <w:t xml:space="preserve"> Termen affär avser både små oberoende butiker och den del för kommersiellt bruk som inte används allmänt i köpcentrum.”</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I avsnitt HE 3, avsnitt 3.3 Kontroll- och regleringssystem ska punkt 2, med lydelsen ”... får ersättas med ett av följande två alternativ: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rPr>
      </w:pPr>
      <w:r>
        <w:rPr>
          <w:rFonts w:ascii="Calibri" w:hAnsi="Calibri"/>
          <w:sz w:val="22"/>
        </w:rPr>
        <w:t xml:space="preserve">— Aktiverings- och </w:t>
      </w:r>
      <w:proofErr w:type="spellStart"/>
      <w:r>
        <w:rPr>
          <w:rFonts w:ascii="Calibri" w:hAnsi="Calibri"/>
          <w:sz w:val="22"/>
        </w:rPr>
        <w:t>avaktiveringskontroll</w:t>
      </w:r>
      <w:proofErr w:type="spellEnd"/>
      <w:r>
        <w:rPr>
          <w:rFonts w:ascii="Calibri" w:hAnsi="Calibri"/>
          <w:sz w:val="22"/>
        </w:rPr>
        <w:t xml:space="preserve"> genom ett timerkontrollerat system för detektion av närvaro.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rPr>
      </w:pPr>
      <w:r>
        <w:rPr>
          <w:rFonts w:ascii="Calibri" w:hAnsi="Calibri"/>
          <w:sz w:val="22"/>
        </w:rPr>
        <w:t>— Ett timerkontrollerat tryckknappssystem.”</w:t>
      </w:r>
    </w:p>
    <w:p w14:paraId="7F19E6A8"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ersättas med ”... får ersättas med ett av följande två alternativ: </w:t>
      </w:r>
    </w:p>
    <w:p w14:paraId="1FB2C3B4"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Aktiverings- och </w:t>
      </w:r>
      <w:proofErr w:type="spellStart"/>
      <w:r>
        <w:rPr>
          <w:rFonts w:ascii="Calibri" w:hAnsi="Calibri"/>
          <w:sz w:val="22"/>
        </w:rPr>
        <w:t>avaktiveringskontroll</w:t>
      </w:r>
      <w:proofErr w:type="spellEnd"/>
      <w:r>
        <w:rPr>
          <w:rFonts w:ascii="Calibri" w:hAnsi="Calibri"/>
          <w:sz w:val="22"/>
        </w:rPr>
        <w:t xml:space="preserve"> genom ett </w:t>
      </w:r>
      <w:r>
        <w:rPr>
          <w:rFonts w:ascii="Calibri" w:hAnsi="Calibri"/>
          <w:i/>
          <w:sz w:val="22"/>
        </w:rPr>
        <w:t>timerkontrollerat system för detektion av närvaro</w:t>
      </w:r>
      <w:r>
        <w:rPr>
          <w:rFonts w:ascii="Calibri" w:hAnsi="Calibri"/>
          <w:sz w:val="22"/>
        </w:rPr>
        <w:t xml:space="preserve">. </w:t>
      </w:r>
    </w:p>
    <w:p w14:paraId="280A8FDB"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Ett </w:t>
      </w:r>
      <w:r>
        <w:rPr>
          <w:rFonts w:ascii="Calibri" w:hAnsi="Calibri"/>
          <w:i/>
          <w:sz w:val="22"/>
        </w:rPr>
        <w:t>timerkontrollerat system</w:t>
      </w:r>
      <w:r>
        <w:rPr>
          <w:rFonts w:ascii="Calibri" w:hAnsi="Calibri"/>
          <w:sz w:val="22"/>
        </w:rPr>
        <w:t xml:space="preserve"> med tryckknapp.”</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I avsnitt HE 3, avsnitt 4 Motivering för kravet, ska punkt 1 b med lydelsen ”... effektiviteten hos de </w:t>
      </w:r>
      <w:r>
        <w:rPr>
          <w:rFonts w:ascii="Calibri" w:hAnsi="Calibri"/>
          <w:i/>
          <w:sz w:val="22"/>
        </w:rPr>
        <w:t>lampor</w:t>
      </w:r>
      <w:r>
        <w:rPr>
          <w:rFonts w:ascii="Calibri" w:hAnsi="Calibri"/>
          <w:sz w:val="22"/>
        </w:rPr>
        <w:t xml:space="preserve"> som används (i </w:t>
      </w:r>
      <w:proofErr w:type="spellStart"/>
      <w:r>
        <w:rPr>
          <w:rFonts w:ascii="Calibri" w:hAnsi="Calibri"/>
          <w:sz w:val="22"/>
        </w:rPr>
        <w:t>lum</w:t>
      </w:r>
      <w:proofErr w:type="spellEnd"/>
      <w:r>
        <w:rPr>
          <w:rFonts w:ascii="Calibri" w:hAnsi="Calibri"/>
          <w:sz w:val="22"/>
        </w:rPr>
        <w:t xml:space="preserve">/W)” ha lydelsen ”... effektiviteten hos de </w:t>
      </w:r>
      <w:r>
        <w:rPr>
          <w:rFonts w:ascii="Calibri" w:hAnsi="Calibri"/>
          <w:i/>
          <w:sz w:val="22"/>
        </w:rPr>
        <w:t>lampor</w:t>
      </w:r>
      <w:r>
        <w:rPr>
          <w:rFonts w:ascii="Calibri" w:hAnsi="Calibri"/>
          <w:sz w:val="22"/>
        </w:rPr>
        <w:t xml:space="preserve"> som används (i lm/W)”.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I avsnitt HE 4, avsnitt 2 ”Beskrivning av kravet”, ska punkt 1 ha följande lydelse:</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 xml:space="preserve">”1 Byggnader ska i stor utsträckning tillgodose sina behov av tappvarmvatten och vattenuppvärmning för uppvärmda inomhuspooler med hjälp av </w:t>
      </w:r>
      <w:r>
        <w:rPr>
          <w:rFonts w:ascii="Calibri" w:hAnsi="Calibri"/>
          <w:i/>
          <w:sz w:val="22"/>
        </w:rPr>
        <w:t>energi från förnybara energikällor</w:t>
      </w:r>
      <w:r>
        <w:rPr>
          <w:rFonts w:ascii="Calibri" w:hAnsi="Calibri"/>
          <w:sz w:val="22"/>
        </w:rPr>
        <w:t xml:space="preserve"> eller förnybara kraftvärmeprocesser som antingen genereras i själva byggnaden eller genom anslutning till ett </w:t>
      </w:r>
      <w:r>
        <w:rPr>
          <w:rFonts w:ascii="Calibri" w:hAnsi="Calibri"/>
          <w:i/>
          <w:sz w:val="22"/>
        </w:rPr>
        <w:t>fjärrvärmesystem</w:t>
      </w:r>
      <w:r>
        <w:rPr>
          <w:rFonts w:ascii="Calibri" w:hAnsi="Calibri"/>
          <w:sz w:val="22"/>
        </w:rPr>
        <w:t>.”</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 I avsnitt HE 4, avsnitt 3 Kvantifiering av kravet, avsnitt 3.1 Minsta bidrag från förnybara energikällor för uppvärmning av tappvarmvatten och/eller pool, ska i punkt 4 texten </w:t>
      </w:r>
      <w:bookmarkStart w:id="3" w:name="_Hlk96945986"/>
      <w:r>
        <w:rPr>
          <w:rFonts w:ascii="Calibri" w:hAnsi="Calibri"/>
          <w:sz w:val="22"/>
        </w:rPr>
        <w:t xml:space="preserve">”... </w:t>
      </w:r>
      <w:bookmarkEnd w:id="3"/>
      <w:r>
        <w:rPr>
          <w:rFonts w:ascii="Calibri" w:hAnsi="Calibri"/>
          <w:sz w:val="22"/>
        </w:rPr>
        <w:t>mer än 2,5 när de aktiveras elektriskt och större än 1,15 när de drivs med värmeenergi...” ersättas med ”... lika med eller större än 2,5 när de drivs med el och är lika med eller större än 1,15 när de drivs med värmeenergi...”.</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 avsnitt HE 4, avsnitt 3, Kvantifiering av kravet, avsnitt 3.1 Minsta bidrag från förnybara energikällor för uppvärmning av tappvarmvatten och/eller pool, ska i punkt 5 texten ”... bostadshus...” ersättas med ”...</w:t>
      </w:r>
      <w:r>
        <w:rPr>
          <w:rFonts w:ascii="Calibri" w:hAnsi="Calibri"/>
          <w:i/>
          <w:sz w:val="22"/>
        </w:rPr>
        <w:t xml:space="preserve"> byggnader för privat bruk</w:t>
      </w:r>
      <w:r>
        <w:rPr>
          <w:rFonts w:ascii="Calibri" w:hAnsi="Calibri"/>
          <w:sz w:val="22"/>
        </w:rPr>
        <w:t>...”.</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I avsnitt HE 4, före avsnitt 5.1 ”Genomförande, ska följande införas: ”5. Konstruktion, upprätthållande och underhåll” som titel.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I avsnitt HE 5 ska rubriken ”Avsnitt HE 5 Minimiproduktion av el” ersättas med ”Avsnitt HE 5 </w:t>
      </w:r>
      <w:bookmarkStart w:id="4" w:name="_Hlk92123384"/>
      <w:r>
        <w:rPr>
          <w:rFonts w:ascii="Calibri" w:hAnsi="Calibri"/>
          <w:sz w:val="22"/>
        </w:rPr>
        <w:t>Minimiproduktion av el</w:t>
      </w:r>
      <w:bookmarkEnd w:id="4"/>
      <w:r>
        <w:rPr>
          <w:rFonts w:ascii="Calibri" w:hAnsi="Calibri"/>
          <w:sz w:val="22"/>
        </w:rPr>
        <w:t xml:space="preserve"> från förnybara energikällor.”</w:t>
      </w:r>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I avsnitt HE 5 ska punkt 1 ”Tillämpningsområde” ha följande lydelse: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 Detta avsnitt gäller i följande fall: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 Nybyggda byggnader när de överstiger de konstruerade 1 000 m</w:t>
      </w:r>
      <w:r>
        <w:rPr>
          <w:rFonts w:ascii="Calibri" w:hAnsi="Calibri"/>
          <w:sz w:val="22"/>
          <w:vertAlign w:val="superscript"/>
        </w:rPr>
        <w:t>2</w:t>
      </w:r>
      <w:r>
        <w:rPr>
          <w:rFonts w:ascii="Calibri" w:hAnsi="Calibri"/>
          <w:sz w:val="22"/>
        </w:rPr>
        <w:t>.</w:t>
      </w:r>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b) Utbyggnad av befintliga byggnader, när det bebyggda området ökas med mer än 1 000 m</w:t>
      </w:r>
      <w:r>
        <w:rPr>
          <w:rFonts w:ascii="Calibri" w:hAnsi="Calibri"/>
          <w:sz w:val="22"/>
          <w:vertAlign w:val="superscript"/>
        </w:rPr>
        <w:t>2</w:t>
      </w:r>
      <w:r>
        <w:rPr>
          <w:rFonts w:ascii="Calibri" w:hAnsi="Calibri"/>
          <w:sz w:val="22"/>
        </w:rPr>
        <w:t>.</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c) Befintliga byggnader som är helt renoverade, eller där det sker en ändring av användningsegenskaperna, när de överstiger 1 000 m</w:t>
      </w:r>
      <w:r>
        <w:rPr>
          <w:rFonts w:ascii="Calibri" w:hAnsi="Calibri"/>
          <w:sz w:val="22"/>
          <w:vertAlign w:val="superscript"/>
        </w:rPr>
        <w:t>2</w:t>
      </w:r>
      <w:r>
        <w:rPr>
          <w:rFonts w:ascii="Calibri" w:hAnsi="Calibri"/>
          <w:sz w:val="22"/>
        </w:rPr>
        <w:t xml:space="preserve"> av byggd yta.</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Det bebyggda området ska anses omfatta ytan av parkeringsplatserna inne i byggnaden och inte de gemensamma utomhusområdena.”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I avsnitt HE 5 ska led 1 i avsnitt 2 ”Beskrivning av kravet” ha följande lydelse:</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 Byggnader ska ha system för elproduktion från förnybara källor för eget bruk eller för försörjning med nätet.”</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 I avsnitt HE 5 ska punkt 3 ”Kvantifiering av kravet” ha följande lydelse:</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 xml:space="preserve">”1 </w:t>
      </w:r>
      <w:r>
        <w:rPr>
          <w:rFonts w:ascii="Calibri" w:hAnsi="Calibri"/>
          <w:i/>
          <w:sz w:val="22"/>
        </w:rPr>
        <w:t>Minsta effekt att installera</w:t>
      </w:r>
      <w:r>
        <w:rPr>
          <w:rFonts w:ascii="Calibri" w:hAnsi="Calibri"/>
          <w:sz w:val="22"/>
        </w:rPr>
        <w:t xml:space="preserve"> </w:t>
      </w:r>
      <w:proofErr w:type="spellStart"/>
      <w:r>
        <w:rPr>
          <w:rFonts w:ascii="Calibri" w:hAnsi="Calibri"/>
          <w:sz w:val="22"/>
        </w:rPr>
        <w:t>P</w:t>
      </w:r>
      <w:r>
        <w:rPr>
          <w:rFonts w:ascii="Calibri" w:hAnsi="Calibri"/>
          <w:sz w:val="22"/>
          <w:vertAlign w:val="subscript"/>
        </w:rPr>
        <w:t>min</w:t>
      </w:r>
      <w:proofErr w:type="spellEnd"/>
      <w:r>
        <w:rPr>
          <w:rFonts w:ascii="Calibri" w:hAnsi="Calibri"/>
          <w:sz w:val="22"/>
        </w:rPr>
        <w:t xml:space="preserve"> ska vara det lägsta av resultatet från följande två ekvationer: </w:t>
      </w:r>
    </w:p>
    <w:p w14:paraId="3A813F22"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1</w:t>
      </w:r>
      <w:r>
        <w:rPr>
          <w:rFonts w:ascii="Calibri" w:hAnsi="Calibri"/>
          <w:sz w:val="22"/>
        </w:rPr>
        <w:t xml:space="preserve"> = </w:t>
      </w:r>
      <w:proofErr w:type="spellStart"/>
      <w:proofErr w:type="gramStart"/>
      <w:r>
        <w:rPr>
          <w:rFonts w:ascii="Calibri" w:hAnsi="Calibri"/>
          <w:sz w:val="22"/>
        </w:rPr>
        <w:t>F</w:t>
      </w:r>
      <w:r>
        <w:rPr>
          <w:rFonts w:ascii="Calibri" w:hAnsi="Calibri"/>
          <w:sz w:val="22"/>
          <w:vertAlign w:val="subscript"/>
        </w:rPr>
        <w:t>pr;el</w:t>
      </w:r>
      <w:proofErr w:type="spellEnd"/>
      <w:proofErr w:type="gramEnd"/>
      <w:r>
        <w:rPr>
          <w:rFonts w:ascii="Calibri" w:hAnsi="Calibri"/>
          <w:sz w:val="22"/>
        </w:rPr>
        <w:t xml:space="preserve"> · S</w:t>
      </w:r>
    </w:p>
    <w:p w14:paraId="0B5FBB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2</w:t>
      </w:r>
      <w:r>
        <w:rPr>
          <w:rFonts w:ascii="Calibri" w:hAnsi="Calibri"/>
          <w:sz w:val="22"/>
        </w:rPr>
        <w:t xml:space="preserve"> = 0.1 · (0.5 · </w:t>
      </w:r>
      <w:proofErr w:type="spellStart"/>
      <w:r>
        <w:rPr>
          <w:rFonts w:ascii="Calibri" w:hAnsi="Calibri"/>
          <w:sz w:val="22"/>
        </w:rPr>
        <w:t>S</w:t>
      </w:r>
      <w:r>
        <w:rPr>
          <w:rFonts w:ascii="Calibri" w:hAnsi="Calibri"/>
          <w:sz w:val="22"/>
          <w:vertAlign w:val="subscript"/>
        </w:rPr>
        <w:t>c</w:t>
      </w:r>
      <w:proofErr w:type="spellEnd"/>
      <w:r>
        <w:rPr>
          <w:rFonts w:ascii="Calibri" w:hAnsi="Calibri"/>
          <w:sz w:val="22"/>
        </w:rPr>
        <w:t xml:space="preserve"> - </w:t>
      </w:r>
      <w:proofErr w:type="spellStart"/>
      <w:r>
        <w:rPr>
          <w:rFonts w:ascii="Calibri" w:hAnsi="Calibri"/>
          <w:sz w:val="22"/>
        </w:rPr>
        <w:t>S</w:t>
      </w:r>
      <w:r>
        <w:rPr>
          <w:rFonts w:ascii="Calibri" w:hAnsi="Calibri"/>
          <w:sz w:val="22"/>
          <w:vertAlign w:val="subscript"/>
        </w:rPr>
        <w:t>oc</w:t>
      </w:r>
      <w:proofErr w:type="spellEnd"/>
      <w:r>
        <w:rPr>
          <w:rFonts w:ascii="Calibri" w:hAnsi="Calibri"/>
          <w:sz w:val="22"/>
        </w:rPr>
        <w:t>)</w:t>
      </w:r>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med:</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proofErr w:type="spellStart"/>
      <w:r>
        <w:rPr>
          <w:rFonts w:ascii="Calibri" w:hAnsi="Calibri"/>
          <w:sz w:val="22"/>
        </w:rPr>
        <w:t>P</w:t>
      </w:r>
      <w:r>
        <w:rPr>
          <w:rFonts w:ascii="Calibri" w:hAnsi="Calibri"/>
          <w:sz w:val="22"/>
          <w:vertAlign w:val="subscript"/>
        </w:rPr>
        <w:t>min</w:t>
      </w:r>
      <w:proofErr w:type="spellEnd"/>
      <w:r>
        <w:rPr>
          <w:rFonts w:ascii="Calibri" w:hAnsi="Calibri"/>
          <w:sz w:val="22"/>
        </w:rPr>
        <w:tab/>
      </w:r>
      <w:r>
        <w:rPr>
          <w:rFonts w:ascii="Calibri" w:hAnsi="Calibri"/>
          <w:i/>
          <w:sz w:val="22"/>
        </w:rPr>
        <w:t>installationseffekt</w:t>
      </w:r>
      <w:r>
        <w:rPr>
          <w:rFonts w:ascii="Calibri" w:hAnsi="Calibri"/>
          <w:sz w:val="22"/>
        </w:rPr>
        <w:t xml:space="preserve"> [kW];</w:t>
      </w:r>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proofErr w:type="spellStart"/>
      <w:proofErr w:type="gramStart"/>
      <w:r>
        <w:rPr>
          <w:rFonts w:ascii="Calibri" w:hAnsi="Calibri"/>
          <w:sz w:val="22"/>
        </w:rPr>
        <w:t>F</w:t>
      </w:r>
      <w:r>
        <w:rPr>
          <w:rFonts w:ascii="Calibri" w:hAnsi="Calibri"/>
          <w:sz w:val="22"/>
          <w:vertAlign w:val="subscript"/>
        </w:rPr>
        <w:t>pr;e</w:t>
      </w:r>
      <w:r>
        <w:rPr>
          <w:rFonts w:ascii="Calibri" w:hAnsi="Calibri"/>
          <w:sz w:val="22"/>
        </w:rPr>
        <w:t>l</w:t>
      </w:r>
      <w:proofErr w:type="spellEnd"/>
      <w:proofErr w:type="gramEnd"/>
      <w:r>
        <w:rPr>
          <w:rFonts w:ascii="Calibri" w:hAnsi="Calibri"/>
          <w:sz w:val="22"/>
        </w:rPr>
        <w:tab/>
        <w:t>kraftproduktionsfaktor, som tar värdet 0,005 för privat användning för bostäder och 0,010 för andra användningsområden [kW/m</w:t>
      </w:r>
      <w:r>
        <w:rPr>
          <w:rFonts w:ascii="Calibri" w:hAnsi="Calibri"/>
          <w:sz w:val="22"/>
          <w:vertAlign w:val="superscript"/>
        </w:rPr>
        <w:t>2</w:t>
      </w:r>
      <w:r>
        <w:rPr>
          <w:rFonts w:ascii="Calibri" w:hAnsi="Calibri"/>
          <w:sz w:val="22"/>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 xml:space="preserve">S </w:t>
      </w:r>
      <w:r>
        <w:rPr>
          <w:rFonts w:ascii="Calibri" w:hAnsi="Calibri"/>
          <w:sz w:val="22"/>
        </w:rPr>
        <w:tab/>
        <w:t>yta av byggnadens bebyggda yta [m</w:t>
      </w:r>
      <w:r>
        <w:rPr>
          <w:rFonts w:ascii="Calibri" w:hAnsi="Calibri"/>
          <w:sz w:val="22"/>
          <w:vertAlign w:val="superscript"/>
        </w:rPr>
        <w:t>2</w:t>
      </w:r>
      <w:r>
        <w:rPr>
          <w:rFonts w:ascii="Calibri" w:hAnsi="Calibri"/>
          <w:sz w:val="22"/>
        </w:rPr>
        <w:t>];</w:t>
      </w:r>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rPr>
      </w:pPr>
      <w:proofErr w:type="spellStart"/>
      <w:r>
        <w:rPr>
          <w:rFonts w:ascii="Calibri" w:hAnsi="Calibri"/>
          <w:sz w:val="22"/>
        </w:rPr>
        <w:t>S</w:t>
      </w:r>
      <w:r>
        <w:rPr>
          <w:rFonts w:ascii="Calibri" w:hAnsi="Calibri"/>
          <w:sz w:val="22"/>
          <w:vertAlign w:val="subscript"/>
        </w:rPr>
        <w:t>c</w:t>
      </w:r>
      <w:proofErr w:type="spellEnd"/>
      <w:r>
        <w:rPr>
          <w:rFonts w:ascii="Calibri" w:hAnsi="Calibri"/>
          <w:sz w:val="22"/>
        </w:rPr>
        <w:tab/>
        <w:t>yta på icke-trafikabelt tak eller endast tillgänglig för underhåll [m</w:t>
      </w:r>
      <w:r>
        <w:rPr>
          <w:rFonts w:ascii="Calibri" w:hAnsi="Calibri"/>
          <w:sz w:val="22"/>
          <w:vertAlign w:val="superscript"/>
        </w:rPr>
        <w:t>2</w:t>
      </w:r>
      <w:r>
        <w:rPr>
          <w:rFonts w:ascii="Calibri" w:hAnsi="Calibri"/>
          <w:sz w:val="22"/>
        </w:rPr>
        <w:t>];</w:t>
      </w:r>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rPr>
      </w:pPr>
      <w:proofErr w:type="spellStart"/>
      <w:r>
        <w:rPr>
          <w:rFonts w:ascii="Calibri" w:hAnsi="Calibri"/>
          <w:sz w:val="22"/>
        </w:rPr>
        <w:lastRenderedPageBreak/>
        <w:t>S</w:t>
      </w:r>
      <w:r>
        <w:rPr>
          <w:rFonts w:ascii="Calibri" w:hAnsi="Calibri"/>
          <w:sz w:val="22"/>
          <w:vertAlign w:val="subscript"/>
        </w:rPr>
        <w:t>oc</w:t>
      </w:r>
      <w:proofErr w:type="spellEnd"/>
      <w:r>
        <w:rPr>
          <w:rFonts w:ascii="Calibri" w:hAnsi="Calibri"/>
          <w:sz w:val="22"/>
        </w:rPr>
        <w:tab/>
        <w:t>yta på icke-trafikabelt tak eller tillgänglig för underhåll som endast upptas av termiska solceller [m</w:t>
      </w:r>
      <w:r>
        <w:rPr>
          <w:rFonts w:ascii="Calibri" w:hAnsi="Calibri"/>
          <w:sz w:val="22"/>
          <w:vertAlign w:val="superscript"/>
        </w:rPr>
        <w:t>2</w:t>
      </w:r>
      <w:r>
        <w:rPr>
          <w:rFonts w:ascii="Calibri" w:hAnsi="Calibri"/>
          <w:sz w:val="22"/>
        </w:rPr>
        <w:t>].</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2</w:t>
      </w:r>
      <w:r>
        <w:rPr>
          <w:rFonts w:ascii="Calibri" w:hAnsi="Calibri"/>
          <w:sz w:val="22"/>
        </w:rPr>
        <w:tab/>
        <w:t xml:space="preserve">I byggnader där det av stads- eller arkitektoniska skäl eller på grund av att de är officiellt skyddade byggnader, där det är myndigheten som beviljar det officiella skyddet som avgör de oföränderliga delarna, inte kan uppnås minsta </w:t>
      </w:r>
      <w:r>
        <w:rPr>
          <w:rFonts w:ascii="Calibri" w:hAnsi="Calibri"/>
          <w:i/>
          <w:sz w:val="22"/>
        </w:rPr>
        <w:t>effekt att installera</w:t>
      </w:r>
      <w:r>
        <w:rPr>
          <w:rFonts w:ascii="Calibri" w:hAnsi="Calibri"/>
          <w:sz w:val="22"/>
        </w:rPr>
        <w:t>, ska denna omöjlighet motiveras genom en analys av de olika alternativen, och den lösning som uppnår maximal installerad effekt ska antas.”</w:t>
      </w:r>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rPr>
      </w:pPr>
      <w:r>
        <w:rPr>
          <w:rFonts w:ascii="Calibri" w:hAnsi="Calibri"/>
          <w:sz w:val="22"/>
        </w:rPr>
        <w:t>I avsnitt HE 5 ska följande läggas till i punkt 4 ”Motivering av kravet”:</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 xml:space="preserve">c) i tillämpliga fall, skäl som förhindrar att den minsta nödvändiga </w:t>
      </w:r>
      <w:r>
        <w:rPr>
          <w:rFonts w:ascii="Calibri" w:hAnsi="Calibri"/>
          <w:i/>
          <w:sz w:val="22"/>
        </w:rPr>
        <w:t>- effekten att installera</w:t>
      </w:r>
      <w:r>
        <w:rPr>
          <w:rFonts w:ascii="Calibri" w:hAnsi="Calibri"/>
          <w:sz w:val="22"/>
        </w:rPr>
        <w:t xml:space="preserve"> uppnås, analys av alternativ och den lösning som används för att uppnå maximal installerad effekt.”</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ll</w:t>
      </w:r>
      <w:proofErr w:type="spellEnd"/>
      <w:r>
        <w:rPr>
          <w:rFonts w:ascii="Calibri" w:hAnsi="Calibri"/>
          <w:sz w:val="22"/>
        </w:rPr>
        <w:t>) I grunddokumentet DB-HE ”Energisparande” ska avsnitt HE 6 läggas till med rubriken ”</w:t>
      </w:r>
      <w:r>
        <w:rPr>
          <w:rFonts w:ascii="Calibri" w:hAnsi="Calibri"/>
          <w:i/>
          <w:sz w:val="22"/>
        </w:rPr>
        <w:t>minimiinfrastruktur för laddning av elfordon</w:t>
      </w:r>
      <w:r>
        <w:rPr>
          <w:rFonts w:ascii="Calibri" w:hAnsi="Calibri"/>
          <w:sz w:val="22"/>
        </w:rPr>
        <w:t xml:space="preserve">” och följande innehåll: </w:t>
      </w:r>
    </w:p>
    <w:p w14:paraId="1807669A" w14:textId="77FE9144" w:rsidR="000760AB" w:rsidRPr="000760AB" w:rsidRDefault="000760AB" w:rsidP="000760AB">
      <w:pPr>
        <w:keepNext/>
        <w:ind w:left="284"/>
        <w:outlineLvl w:val="0"/>
        <w:rPr>
          <w:rFonts w:ascii="Calibri" w:eastAsia="Arial" w:hAnsi="Calibri" w:cs="Calibri"/>
          <w:kern w:val="2"/>
          <w:sz w:val="22"/>
          <w:szCs w:val="22"/>
        </w:rPr>
      </w:pPr>
      <w:bookmarkStart w:id="5" w:name="_Toc530396161"/>
      <w:bookmarkStart w:id="6" w:name="_Toc530395282"/>
      <w:r>
        <w:rPr>
          <w:rFonts w:ascii="Calibri" w:hAnsi="Calibri"/>
          <w:sz w:val="22"/>
        </w:rPr>
        <w:t>”Avsnitt HE 6</w:t>
      </w:r>
      <w:r>
        <w:rPr>
          <w:rFonts w:ascii="Calibri" w:hAnsi="Calibri"/>
          <w:sz w:val="22"/>
        </w:rPr>
        <w:br/>
      </w:r>
      <w:r>
        <w:rPr>
          <w:rFonts w:ascii="Calibri" w:hAnsi="Calibri"/>
          <w:i/>
          <w:sz w:val="22"/>
        </w:rPr>
        <w:t>Minimiinfrastruktur för laddning av elfordon</w:t>
      </w:r>
      <w:bookmarkEnd w:id="5"/>
      <w:bookmarkEnd w:id="6"/>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rPr>
      </w:pPr>
      <w:bookmarkStart w:id="7" w:name="_Toc530396162"/>
      <w:bookmarkStart w:id="8" w:name="_Toc530395283"/>
      <w:r>
        <w:rPr>
          <w:rFonts w:ascii="Calibri" w:hAnsi="Calibri"/>
          <w:sz w:val="22"/>
        </w:rPr>
        <w:t>1 Tillämpningsområde</w:t>
      </w:r>
      <w:bookmarkEnd w:id="7"/>
      <w:bookmarkEnd w:id="8"/>
    </w:p>
    <w:p w14:paraId="36FC884D"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Kraven i detta avsnitt gäller för byggnader som har en parkering, antingen i eller utanför byggnaden, i följande fall:</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Nybyggda byggnader.</w:t>
      </w:r>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Befintliga byggnader, vid</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förändringar i byggnadens karakteristiska användning,</w:t>
      </w:r>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utbyggnader, i de fall som inbegriper ingrepp på parkeringen och enhetens yta eller konstruerade volym eller </w:t>
      </w:r>
      <w:r>
        <w:rPr>
          <w:rFonts w:ascii="Calibri" w:hAnsi="Calibri"/>
          <w:i/>
          <w:sz w:val="22"/>
        </w:rPr>
        <w:t>användningsenheter</w:t>
      </w:r>
      <w:r>
        <w:rPr>
          <w:rFonts w:ascii="Calibri" w:hAnsi="Calibri"/>
          <w:sz w:val="22"/>
        </w:rPr>
        <w:t xml:space="preserve">, där ingreppen innebär en ökning med mer än 10 % och den ökade användbara arealen är större än 50 m </w:t>
      </w:r>
      <w:r>
        <w:rPr>
          <w:rFonts w:ascii="Calibri" w:hAnsi="Calibri"/>
          <w:sz w:val="22"/>
          <w:vertAlign w:val="superscript"/>
        </w:rPr>
        <w:t>2</w:t>
      </w:r>
      <w:r>
        <w:rPr>
          <w:rFonts w:ascii="Calibri" w:hAnsi="Calibri"/>
          <w:sz w:val="22"/>
        </w:rPr>
        <w:t>,</w:t>
      </w:r>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reformer som omfattar ingrepp på parkeringen och medför förnyelse av mer än 25 % av den totala ytan av byggnadens slutliga </w:t>
      </w:r>
      <w:proofErr w:type="spellStart"/>
      <w:r>
        <w:rPr>
          <w:rFonts w:ascii="Calibri" w:hAnsi="Calibri"/>
          <w:i/>
          <w:sz w:val="22"/>
        </w:rPr>
        <w:t>klimatskal</w:t>
      </w:r>
      <w:proofErr w:type="spellEnd"/>
      <w:r>
        <w:rPr>
          <w:rFonts w:ascii="Calibri" w:hAnsi="Calibri"/>
          <w:sz w:val="22"/>
        </w:rPr>
        <w:t>,</w:t>
      </w:r>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ingrepp i byggnadens elektriska installation som påverkar mer än 50 % av den kraft som installerats i byggnaden före ingreppet, i de fall där parkeringen är belägen inne i byggnaden</w:t>
      </w:r>
      <w:r>
        <w:rPr>
          <w:rFonts w:ascii="Calibri" w:hAnsi="Calibri"/>
          <w:sz w:val="22"/>
          <w:u w:color="FF0000"/>
        </w:rPr>
        <w:t>, förutsatt att byggherren som utför ett sådant ingripande har rätt att agera på parkeringsområdet</w:t>
      </w:r>
      <w:r>
        <w:rPr>
          <w:rFonts w:ascii="Calibri" w:hAnsi="Calibri"/>
          <w:sz w:val="22"/>
        </w:rPr>
        <w:t>,</w:t>
      </w:r>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rPr>
      </w:pPr>
      <w:r>
        <w:rPr>
          <w:rFonts w:ascii="Calibri" w:hAnsi="Calibri"/>
          <w:sz w:val="22"/>
        </w:rPr>
        <w:t>ingrepp i den elektriska installationen av parkeringen som påverkar mer än 50 % av den kraft som installerats på parkeringen före ingreppet.</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Följande omfattas inte av tillämpningsområdet:</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Byggnader för annan användning än privata bostäder med en parkering med högst 10 parkeringsplatser.</w:t>
      </w:r>
    </w:p>
    <w:p w14:paraId="6FB73115"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 xml:space="preserve">b) Befintliga byggnader för annan användning än privata bostäder med en parkering med högst 20 parkeringsplatser och befintliga byggnader avsedda för </w:t>
      </w:r>
      <w:r>
        <w:rPr>
          <w:rFonts w:ascii="Calibri" w:hAnsi="Calibri"/>
          <w:i/>
          <w:sz w:val="22"/>
        </w:rPr>
        <w:t>privat boende</w:t>
      </w:r>
      <w:r>
        <w:rPr>
          <w:rFonts w:ascii="Calibri" w:hAnsi="Calibri"/>
          <w:sz w:val="22"/>
        </w:rPr>
        <w:t>, där kostnaden för att följa denna punkt i båda fallen överstiger 7 % av kostnaden för den utbyggnad, ändring av användning eller renovering som ger upphov till skyldigheten att följa denna punkt. För att fastställa kostnaden för de ingrepp som avses ovan ska deras faktiska kostnad beaktas, förstått som kostnaden för det fysiska bygget.</w:t>
      </w:r>
    </w:p>
    <w:p w14:paraId="61E2DA67"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c) Officiellt skyddade byggnader är undantagna från dessa skyldigheter på grund av att de ingår i en deklarerad miljö eller på grund av deras särskilda arkitektoniska eller historiska värde, i den mån uppfyllande av de krav som fastställs i detta avsnitt på ett orimligt sätt kan förändra deras egenskaper eller utseende, och det ska vara den officiella skyddsmyndigheten som fastställer de oföränderliga delarna.</w:t>
      </w:r>
      <w:bookmarkStart w:id="9" w:name="_Toc530396163"/>
      <w:bookmarkStart w:id="10"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Pr>
          <w:rFonts w:ascii="Calibri" w:hAnsi="Calibri"/>
          <w:sz w:val="22"/>
        </w:rPr>
        <w:t>2</w:t>
      </w:r>
      <w:r>
        <w:rPr>
          <w:rFonts w:ascii="Calibri" w:hAnsi="Calibri"/>
          <w:sz w:val="22"/>
        </w:rPr>
        <w:tab/>
        <w:t>Beskrivning av kravet</w:t>
      </w:r>
      <w:bookmarkEnd w:id="9"/>
      <w:bookmarkEnd w:id="10"/>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1</w:t>
      </w:r>
      <w:r>
        <w:rPr>
          <w:rFonts w:ascii="Calibri" w:hAnsi="Calibri"/>
          <w:sz w:val="22"/>
        </w:rPr>
        <w:tab/>
        <w:t xml:space="preserve">Byggnader ska ha en minimiinfrastruktur som möjliggör laddning av </w:t>
      </w:r>
      <w:r>
        <w:rPr>
          <w:rFonts w:ascii="Calibri" w:hAnsi="Calibri"/>
          <w:i/>
          <w:iCs/>
          <w:sz w:val="22"/>
        </w:rPr>
        <w:t>elfordon</w:t>
      </w:r>
      <w:r>
        <w:rPr>
          <w:rFonts w:ascii="Calibri" w:hAnsi="Calibri"/>
          <w:sz w:val="22"/>
        </w:rPr>
        <w:t>.</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 xml:space="preserve">Denna </w:t>
      </w:r>
      <w:r>
        <w:rPr>
          <w:rFonts w:ascii="Calibri" w:hAnsi="Calibri"/>
          <w:i/>
          <w:sz w:val="22"/>
        </w:rPr>
        <w:t>infrastruktur för laddning av elfordon</w:t>
      </w:r>
      <w:r>
        <w:rPr>
          <w:rFonts w:ascii="Calibri" w:hAnsi="Calibri"/>
          <w:sz w:val="22"/>
        </w:rPr>
        <w:t xml:space="preserve"> ska överensstämma med bestämmelserna i den befintliga elektrotekniska föreskriften för lågspänning och dess kompletterande tekniska anvisningar (ITC) BT 52 ”Speciella installationer. Infrastruktur för laddning av </w:t>
      </w:r>
      <w:r>
        <w:rPr>
          <w:rFonts w:ascii="Calibri" w:hAnsi="Calibri"/>
          <w:i/>
          <w:sz w:val="22"/>
        </w:rPr>
        <w:t>elfordon</w:t>
      </w:r>
      <w:r>
        <w:rPr>
          <w:rFonts w:ascii="Calibri" w:hAnsi="Calibri"/>
          <w:sz w:val="22"/>
        </w:rPr>
        <w:t>”.</w:t>
      </w:r>
      <w:bookmarkStart w:id="11" w:name="_Toc530396164"/>
      <w:bookmarkStart w:id="12"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3</w:t>
      </w:r>
      <w:r>
        <w:rPr>
          <w:rFonts w:ascii="Calibri" w:hAnsi="Calibri"/>
          <w:sz w:val="22"/>
        </w:rPr>
        <w:tab/>
        <w:t>Kvantifiering av kravet</w:t>
      </w:r>
      <w:bookmarkEnd w:id="11"/>
      <w:bookmarkEnd w:id="12"/>
    </w:p>
    <w:p w14:paraId="571C5F1A"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1</w:t>
      </w:r>
      <w:r>
        <w:rPr>
          <w:rFonts w:ascii="Calibri" w:hAnsi="Calibri"/>
          <w:sz w:val="22"/>
        </w:rPr>
        <w:tab/>
        <w:t xml:space="preserve">I byggnader avsedda för </w:t>
      </w:r>
      <w:r>
        <w:rPr>
          <w:rFonts w:ascii="Calibri" w:hAnsi="Calibri"/>
          <w:i/>
          <w:sz w:val="22"/>
        </w:rPr>
        <w:t>privat boende</w:t>
      </w:r>
      <w:r>
        <w:rPr>
          <w:rFonts w:ascii="Calibri" w:hAnsi="Calibri"/>
          <w:sz w:val="22"/>
        </w:rPr>
        <w:t xml:space="preserve"> ska ledningssystem installeras för att möjliggöra framtida försörjning av </w:t>
      </w:r>
      <w:r>
        <w:rPr>
          <w:rFonts w:ascii="Calibri" w:hAnsi="Calibri"/>
          <w:i/>
          <w:sz w:val="22"/>
        </w:rPr>
        <w:t>laddningsstationer</w:t>
      </w:r>
      <w:r>
        <w:rPr>
          <w:rFonts w:ascii="Calibri" w:hAnsi="Calibri"/>
          <w:sz w:val="22"/>
        </w:rPr>
        <w:t xml:space="preserve"> för 100 % av parkeringsplatserna.</w:t>
      </w:r>
    </w:p>
    <w:p w14:paraId="76793F36"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2</w:t>
      </w:r>
      <w:r>
        <w:rPr>
          <w:rFonts w:ascii="Calibri" w:hAnsi="Calibri"/>
          <w:sz w:val="22"/>
        </w:rPr>
        <w:tab/>
        <w:t xml:space="preserve">I andra byggnader än sådana avsedda för privat boende ska ledningssystem installeras för att möjliggöra framtida försörjning av </w:t>
      </w:r>
      <w:r>
        <w:rPr>
          <w:rFonts w:ascii="Calibri" w:hAnsi="Calibri"/>
          <w:i/>
          <w:sz w:val="22"/>
        </w:rPr>
        <w:t>laddningsstationer</w:t>
      </w:r>
      <w:r>
        <w:rPr>
          <w:rFonts w:ascii="Calibri" w:hAnsi="Calibri"/>
          <w:sz w:val="22"/>
        </w:rPr>
        <w:t xml:space="preserve"> för minst 20 % av parkeringsplatserna.</w:t>
      </w:r>
    </w:p>
    <w:p w14:paraId="247AE17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Dessutom ska en </w:t>
      </w:r>
      <w:r>
        <w:rPr>
          <w:rFonts w:ascii="Calibri" w:hAnsi="Calibri"/>
          <w:i/>
          <w:sz w:val="22"/>
        </w:rPr>
        <w:t>laddningsstation</w:t>
      </w:r>
      <w:r>
        <w:rPr>
          <w:rFonts w:ascii="Calibri" w:hAnsi="Calibri"/>
          <w:sz w:val="22"/>
        </w:rPr>
        <w:t xml:space="preserve"> installeras för varje 40 parkeringsplatser, eller bråkdel därav.</w:t>
      </w:r>
    </w:p>
    <w:p w14:paraId="192987C0"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I andra byggnader än sådana avsedda för privat boende som ägs av Spaniens allmänna statsförvaltning eller offentliga organ som är knutna till den eller är beroende av den, ska tillhandahållandet vara större än det som är allmänt fastställt, med installation av en </w:t>
      </w:r>
      <w:r>
        <w:rPr>
          <w:rFonts w:ascii="Calibri" w:hAnsi="Calibri"/>
          <w:i/>
          <w:sz w:val="22"/>
        </w:rPr>
        <w:t>laddningsstation</w:t>
      </w:r>
      <w:r>
        <w:rPr>
          <w:rFonts w:ascii="Calibri" w:hAnsi="Calibri"/>
          <w:sz w:val="22"/>
        </w:rPr>
        <w:t xml:space="preserve"> för varje 20 parkeringsplatser, eller bråkdel därav.</w:t>
      </w:r>
    </w:p>
    <w:p w14:paraId="69499695"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När det gäller parkeringar med tillgängliga parkeringsplatser, i enlighet med det grundläggande dokumentet om säkerhet vid användning och tillgänglighet (DB SUA), ska en </w:t>
      </w:r>
      <w:r>
        <w:rPr>
          <w:rFonts w:ascii="Calibri" w:hAnsi="Calibri"/>
          <w:i/>
          <w:sz w:val="22"/>
        </w:rPr>
        <w:t>laddningsstation</w:t>
      </w:r>
      <w:r>
        <w:rPr>
          <w:rFonts w:ascii="Calibri" w:hAnsi="Calibri"/>
          <w:sz w:val="22"/>
        </w:rPr>
        <w:t xml:space="preserve"> installeras för varje 5 tillgängliga parkeringsplatser. </w:t>
      </w:r>
      <w:r>
        <w:rPr>
          <w:rFonts w:ascii="Calibri" w:hAnsi="Calibri"/>
          <w:i/>
          <w:sz w:val="22"/>
        </w:rPr>
        <w:t>Laddningsstationerna</w:t>
      </w:r>
      <w:r>
        <w:rPr>
          <w:rFonts w:ascii="Calibri" w:hAnsi="Calibri"/>
          <w:sz w:val="22"/>
        </w:rPr>
        <w:t xml:space="preserve"> på dessa platser ska räknas för överensstämmelse med kvantifieringen av kravet.</w:t>
      </w:r>
    </w:p>
    <w:p w14:paraId="4722B70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3</w:t>
      </w:r>
      <w:r>
        <w:rPr>
          <w:rFonts w:ascii="Calibri" w:hAnsi="Calibri"/>
          <w:sz w:val="22"/>
        </w:rPr>
        <w:tab/>
        <w:t xml:space="preserve">För byggnader som har enheter avsedda för </w:t>
      </w:r>
      <w:r>
        <w:rPr>
          <w:rFonts w:ascii="Calibri" w:hAnsi="Calibri"/>
          <w:i/>
          <w:sz w:val="22"/>
        </w:rPr>
        <w:t>privat boende</w:t>
      </w:r>
      <w:r>
        <w:rPr>
          <w:rFonts w:ascii="Calibri" w:hAnsi="Calibri"/>
          <w:sz w:val="22"/>
        </w:rPr>
        <w:t xml:space="preserve"> tillsammans med enheter för andra användningsområden, där de parkeringsplatser som är kopplade till varje användningsområde inte är tydligt differentierade, ska kriteriet för byggnadens karakteristiska användning tillämpas.</w:t>
      </w:r>
      <w:bookmarkStart w:id="13" w:name="_Toc530396167"/>
      <w:bookmarkStart w:id="14"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4</w:t>
      </w:r>
      <w:r>
        <w:rPr>
          <w:rFonts w:ascii="Calibri" w:hAnsi="Calibri"/>
          <w:sz w:val="22"/>
        </w:rPr>
        <w:tab/>
        <w:t>Motivering för kravet</w:t>
      </w:r>
      <w:bookmarkEnd w:id="13"/>
      <w:bookmarkEnd w:id="14"/>
    </w:p>
    <w:p w14:paraId="15BAB575" w14:textId="77777777" w:rsidR="000760AB" w:rsidRPr="000760AB" w:rsidRDefault="000760AB" w:rsidP="000760AB">
      <w:pPr>
        <w:spacing w:before="240" w:after="100"/>
        <w:ind w:left="284"/>
        <w:jc w:val="both"/>
        <w:rPr>
          <w:rFonts w:ascii="Calibri" w:eastAsia="Arial" w:hAnsi="Calibri" w:cs="Calibri"/>
          <w:kern w:val="2"/>
          <w:sz w:val="22"/>
          <w:szCs w:val="22"/>
        </w:rPr>
      </w:pPr>
      <w:r>
        <w:rPr>
          <w:rFonts w:ascii="Calibri" w:hAnsi="Calibri"/>
          <w:sz w:val="22"/>
        </w:rPr>
        <w:t>1</w:t>
      </w:r>
      <w:r>
        <w:rPr>
          <w:rFonts w:ascii="Calibri" w:hAnsi="Calibri"/>
          <w:sz w:val="22"/>
        </w:rPr>
        <w:tab/>
        <w:t>För att visa att en byggnad uppfyller kraven i detta grunddokument ska utformningsdokumenten innehålla följande information om byggnaden eller den relevanta delen av byggnaden:</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Kopplingsschema för dimensionering, enligt beskrivningen i den elektrotekniska föreskriften för lågspänning.</w:t>
      </w:r>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Beskrivning av huvudkopplingen och de förberedda ledningarna, med angivelse av procentandelen parkeringsplatser med ledningssystem och den lägsta procentsats som krävs.</w:t>
      </w:r>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c) Antal installerade </w:t>
      </w:r>
      <w:r>
        <w:rPr>
          <w:rFonts w:ascii="Calibri" w:hAnsi="Calibri"/>
          <w:i/>
          <w:sz w:val="22"/>
        </w:rPr>
        <w:t>laddningsstationer</w:t>
      </w:r>
      <w:r>
        <w:rPr>
          <w:rFonts w:ascii="Calibri" w:hAnsi="Calibri"/>
          <w:sz w:val="22"/>
        </w:rPr>
        <w:t xml:space="preserve"> och minsta antal till följd av kvantifieringen av kravet.</w:t>
      </w:r>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d) Typer av </w:t>
      </w:r>
      <w:r>
        <w:rPr>
          <w:rFonts w:ascii="Calibri" w:hAnsi="Calibri"/>
          <w:i/>
          <w:sz w:val="22"/>
        </w:rPr>
        <w:t>laddningsstationer</w:t>
      </w:r>
      <w:r>
        <w:rPr>
          <w:rFonts w:ascii="Calibri" w:hAnsi="Calibri"/>
          <w:sz w:val="22"/>
        </w:rPr>
        <w:t xml:space="preserve"> och deras märkeffekt.</w:t>
      </w:r>
      <w:bookmarkStart w:id="15" w:name="_Toc530396168"/>
      <w:bookmarkStart w:id="16"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5</w:t>
      </w:r>
      <w:r>
        <w:rPr>
          <w:rFonts w:ascii="Calibri" w:hAnsi="Calibri"/>
          <w:sz w:val="22"/>
        </w:rPr>
        <w:tab/>
        <w:t>Konstruktion, upprätthållande och underhåll</w:t>
      </w:r>
      <w:bookmarkEnd w:id="15"/>
      <w:bookmarkEnd w:id="16"/>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7" w:name="_Toc530396169"/>
      <w:bookmarkStart w:id="18" w:name="_Toc530395290"/>
      <w:r>
        <w:rPr>
          <w:rFonts w:ascii="Calibri" w:hAnsi="Calibri"/>
          <w:sz w:val="22"/>
        </w:rPr>
        <w:lastRenderedPageBreak/>
        <w:t>5.1 Genomförande</w:t>
      </w:r>
      <w:bookmarkEnd w:id="17"/>
      <w:bookmarkEnd w:id="18"/>
    </w:p>
    <w:p w14:paraId="3050030B"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Byggnadsarbeten i byggnaden ska utföras i enlighet med projektet och de ändringar som godkänts av byggledaren och är föremål för byggherrens godkännande, tillämplig lagstiftning, specifikationerna i den elektrotekniska föreskriften för lågspänning och i dess kompletterande tekniska anvisningar ITC BT-52 ”Speciella installationer. Infrastruktur för laddning av </w:t>
      </w:r>
      <w:r>
        <w:rPr>
          <w:rFonts w:ascii="Calibri" w:hAnsi="Calibri"/>
          <w:i/>
          <w:sz w:val="22"/>
        </w:rPr>
        <w:t>elfordon</w:t>
      </w:r>
      <w:r>
        <w:rPr>
          <w:rFonts w:ascii="Calibri" w:hAnsi="Calibri"/>
          <w:sz w:val="22"/>
        </w:rPr>
        <w:t xml:space="preserve">”, i enlighet med normerna för god byggpraxis och instruktioner från byggledaren och projektledaren, i enlighet med artikel 7 i del I </w:t>
      </w:r>
      <w:proofErr w:type="spellStart"/>
      <w:r>
        <w:rPr>
          <w:rFonts w:ascii="Calibri" w:hAnsi="Calibri"/>
          <w:sz w:val="22"/>
        </w:rPr>
        <w:t>i</w:t>
      </w:r>
      <w:proofErr w:type="spellEnd"/>
      <w:r>
        <w:rPr>
          <w:rFonts w:ascii="Calibri" w:hAnsi="Calibri"/>
          <w:sz w:val="22"/>
        </w:rPr>
        <w:t xml:space="preserve"> de tekniska byggreglerna.</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9" w:name="_Toc530396170"/>
      <w:bookmarkStart w:id="20" w:name="_Toc530395291"/>
      <w:r>
        <w:rPr>
          <w:rFonts w:ascii="Calibri" w:hAnsi="Calibri"/>
          <w:sz w:val="22"/>
        </w:rPr>
        <w:t>5.2 Övervakning av arbetets genomförande</w:t>
      </w:r>
      <w:bookmarkEnd w:id="19"/>
      <w:bookmarkEnd w:id="20"/>
    </w:p>
    <w:p w14:paraId="5126F3A6"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Genomförandet av arbetet ska övervakas i enlighet med projektspecifikationerna, dess bilagor och ändringar som godkänts av byggledaren och instruktioner från projektledaren, i enlighet med specifikationerna i den elektrotekniska föreskriften för lågspänning, i enlighet med artikel 7.3 i del I </w:t>
      </w:r>
      <w:proofErr w:type="spellStart"/>
      <w:r>
        <w:rPr>
          <w:rFonts w:ascii="Calibri" w:hAnsi="Calibri"/>
          <w:sz w:val="22"/>
        </w:rPr>
        <w:t>i</w:t>
      </w:r>
      <w:proofErr w:type="spellEnd"/>
      <w:r>
        <w:rPr>
          <w:rFonts w:ascii="Calibri" w:hAnsi="Calibri"/>
          <w:sz w:val="22"/>
        </w:rPr>
        <w:t xml:space="preserve"> de tekniska byggreglerna och andra tillämpliga bestämmelser.</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Utförandet av arbetet ska kontrolleras för att säkerställa att inspektionerna utförs med erforderlig frekvens, i enlighet med projektspecifikationerna.</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3</w:t>
      </w:r>
      <w:r>
        <w:rPr>
          <w:rFonts w:ascii="Calibri" w:hAnsi="Calibri"/>
          <w:sz w:val="22"/>
        </w:rPr>
        <w:tab/>
        <w:t>Alla ändringar som görs under utförandet av bygg- och anläggningsarbeten ska registreras i den dokumentationen över utförda arbeten, och i samtliga fall ska de minimivillkor som anges i detta grunddokument vara uppfyllda.</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4</w:t>
      </w:r>
      <w:r>
        <w:rPr>
          <w:rFonts w:ascii="Calibri" w:hAnsi="Calibri"/>
          <w:sz w:val="22"/>
        </w:rPr>
        <w:tab/>
        <w:t>Dokumentation om egenskaperna hos de produkter, den utrustning och de system som ingår i byggnaden ska ingå i byggnadens bok.</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1" w:name="_Toc530396171"/>
      <w:bookmarkStart w:id="22" w:name="_Toc530395292"/>
      <w:r>
        <w:rPr>
          <w:rFonts w:ascii="Calibri" w:hAnsi="Calibri"/>
          <w:sz w:val="22"/>
        </w:rPr>
        <w:t>5.3 Kontroll av det utförda arbetet</w:t>
      </w:r>
      <w:bookmarkEnd w:id="21"/>
      <w:bookmarkEnd w:id="22"/>
    </w:p>
    <w:p w14:paraId="1A89C868"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Inspektionen av utförda arbeten ska uppfylla de kriterier som anges i artikel 7.4 i del I </w:t>
      </w:r>
      <w:proofErr w:type="spellStart"/>
      <w:r>
        <w:rPr>
          <w:rFonts w:ascii="Calibri" w:hAnsi="Calibri"/>
          <w:sz w:val="22"/>
        </w:rPr>
        <w:t>i</w:t>
      </w:r>
      <w:proofErr w:type="spellEnd"/>
      <w:r>
        <w:rPr>
          <w:rFonts w:ascii="Calibri" w:hAnsi="Calibri"/>
          <w:sz w:val="22"/>
        </w:rPr>
        <w:t xml:space="preserve"> de tekniska byggreglerna.</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I detta avsnitt i grunddokumentet föreskrivs inga slutliga tester.</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3" w:name="_Toc530396172"/>
      <w:bookmarkStart w:id="24" w:name="_Toc530395293"/>
      <w:r>
        <w:rPr>
          <w:rFonts w:ascii="Calibri" w:hAnsi="Calibri"/>
          <w:sz w:val="22"/>
        </w:rPr>
        <w:t>5.4 Upprätthållande och underhåll av byggnaden</w:t>
      </w:r>
      <w:bookmarkEnd w:id="23"/>
      <w:bookmarkEnd w:id="24"/>
    </w:p>
    <w:p w14:paraId="3E865FD5"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Den underhållsplan som ingår i byggnadens bok ska omfatta den verksamhet och frekvens som krävs för underhåll över tid av parametrarna för utformning och prestanda för </w:t>
      </w:r>
      <w:r>
        <w:rPr>
          <w:rFonts w:ascii="Calibri" w:hAnsi="Calibri"/>
          <w:i/>
          <w:sz w:val="22"/>
        </w:rPr>
        <w:t>laddningsinfrastrukturen för elfordon</w:t>
      </w:r>
      <w:r>
        <w:rPr>
          <w:rFonts w:ascii="Calibri" w:hAnsi="Calibri"/>
          <w:sz w:val="22"/>
        </w:rPr>
        <w:t>.</w:t>
      </w:r>
    </w:p>
    <w:p w14:paraId="44174479"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På samma sätt ska alla ingrepp, vare sig det gäller reparation, renovering eller återställande, som utförts under hela byggnadens livslängd dokumenteras i byggnadens bok.”</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mm) I bilaga A ska begreppen ”initial ljusstyrka” och ”</w:t>
      </w:r>
      <w:proofErr w:type="spellStart"/>
      <w:r>
        <w:rPr>
          <w:rFonts w:ascii="Calibri" w:hAnsi="Calibri"/>
          <w:sz w:val="22"/>
        </w:rPr>
        <w:t>reflektans</w:t>
      </w:r>
      <w:proofErr w:type="spellEnd"/>
      <w:r>
        <w:rPr>
          <w:rFonts w:ascii="Calibri" w:hAnsi="Calibri"/>
          <w:sz w:val="22"/>
        </w:rPr>
        <w:t>” utgå.</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nn</w:t>
      </w:r>
      <w:proofErr w:type="spellEnd"/>
      <w:r>
        <w:rPr>
          <w:rFonts w:ascii="Calibri" w:hAnsi="Calibri"/>
          <w:sz w:val="22"/>
        </w:rPr>
        <w:t>) I bilaga A ska definitionen av ”</w:t>
      </w:r>
      <w:r>
        <w:rPr>
          <w:rFonts w:ascii="Calibri" w:hAnsi="Calibri"/>
          <w:i/>
          <w:sz w:val="22"/>
        </w:rPr>
        <w:t xml:space="preserve">Total värmeöverföringskoefficient (genom byggnadens </w:t>
      </w:r>
      <w:proofErr w:type="spellStart"/>
      <w:r>
        <w:rPr>
          <w:rFonts w:ascii="Calibri" w:hAnsi="Calibri"/>
          <w:i/>
          <w:sz w:val="22"/>
        </w:rPr>
        <w:t>klimatskal</w:t>
      </w:r>
      <w:proofErr w:type="spellEnd"/>
      <w:r>
        <w:rPr>
          <w:rFonts w:ascii="Calibri" w:hAnsi="Calibri"/>
          <w:i/>
          <w:sz w:val="22"/>
        </w:rPr>
        <w:t>) (K)</w:t>
      </w:r>
      <w:r>
        <w:rPr>
          <w:rFonts w:ascii="Calibri" w:hAnsi="Calibri"/>
          <w:sz w:val="22"/>
        </w:rPr>
        <w:t xml:space="preserve">” med lydelsen “... K = X </w:t>
      </w:r>
      <w:proofErr w:type="spellStart"/>
      <w:r>
        <w:rPr>
          <w:rFonts w:ascii="Calibri" w:hAnsi="Calibri"/>
          <w:sz w:val="22"/>
        </w:rPr>
        <w:t>Hx</w:t>
      </w:r>
      <w:proofErr w:type="spellEnd"/>
      <w:r>
        <w:rPr>
          <w:rFonts w:ascii="Calibri" w:hAnsi="Calibri"/>
          <w:sz w:val="22"/>
        </w:rPr>
        <w:t>/</w:t>
      </w:r>
      <w:proofErr w:type="spellStart"/>
      <w:r>
        <w:rPr>
          <w:rFonts w:ascii="Calibri" w:hAnsi="Calibri"/>
          <w:sz w:val="22"/>
        </w:rPr>
        <w:t>Aint</w:t>
      </w:r>
      <w:proofErr w:type="spellEnd"/>
      <w:r>
        <w:rPr>
          <w:rFonts w:ascii="Calibri" w:hAnsi="Calibri"/>
          <w:sz w:val="22"/>
        </w:rPr>
        <w:t>...” innehålla ”x”, ”x” och ”</w:t>
      </w:r>
      <w:proofErr w:type="spellStart"/>
      <w:r>
        <w:rPr>
          <w:rFonts w:ascii="Calibri" w:hAnsi="Calibri"/>
          <w:sz w:val="22"/>
        </w:rPr>
        <w:t>int</w:t>
      </w:r>
      <w:proofErr w:type="spellEnd"/>
      <w:r>
        <w:rPr>
          <w:rFonts w:ascii="Calibri" w:hAnsi="Calibri"/>
          <w:sz w:val="22"/>
        </w:rPr>
        <w:t xml:space="preserve">” med nedsänkta tecken och “... K = </w:t>
      </w:r>
      <w:proofErr w:type="spellStart"/>
      <w:r>
        <w:rPr>
          <w:rFonts w:ascii="Calibri" w:hAnsi="Calibri"/>
          <w:sz w:val="22"/>
        </w:rPr>
        <w:t>Σ</w:t>
      </w:r>
      <w:r>
        <w:rPr>
          <w:rFonts w:ascii="Calibri" w:hAnsi="Calibri"/>
          <w:sz w:val="22"/>
          <w:vertAlign w:val="subscript"/>
        </w:rPr>
        <w:t>x</w:t>
      </w:r>
      <w:proofErr w:type="spellEnd"/>
      <w:r>
        <w:rPr>
          <w:rFonts w:ascii="Calibri" w:hAnsi="Calibri"/>
          <w:sz w:val="22"/>
        </w:rPr>
        <w:t xml:space="preserve"> </w:t>
      </w:r>
      <w:proofErr w:type="spellStart"/>
      <w:r>
        <w:rPr>
          <w:rFonts w:ascii="Calibri" w:hAnsi="Calibri"/>
          <w:sz w:val="22"/>
        </w:rPr>
        <w:t>H</w:t>
      </w:r>
      <w:r>
        <w:rPr>
          <w:rFonts w:ascii="Calibri" w:hAnsi="Calibri"/>
          <w:sz w:val="22"/>
          <w:vertAlign w:val="subscript"/>
        </w:rPr>
        <w:t>x</w:t>
      </w:r>
      <w:proofErr w:type="spellEnd"/>
      <w:r>
        <w:rPr>
          <w:rFonts w:ascii="Calibri" w:hAnsi="Calibri"/>
          <w:sz w:val="22"/>
        </w:rPr>
        <w:t>/</w:t>
      </w:r>
      <w:proofErr w:type="spellStart"/>
      <w:r>
        <w:rPr>
          <w:rFonts w:ascii="Calibri" w:hAnsi="Calibri"/>
          <w:sz w:val="22"/>
        </w:rPr>
        <w:t>A</w:t>
      </w:r>
      <w:r>
        <w:rPr>
          <w:rFonts w:ascii="Calibri" w:hAnsi="Calibri"/>
          <w:sz w:val="22"/>
          <w:vertAlign w:val="subscript"/>
        </w:rPr>
        <w:t>int</w:t>
      </w:r>
      <w:proofErr w:type="spellEnd"/>
      <w:r>
        <w:rPr>
          <w:rFonts w:ascii="Calibri" w:hAnsi="Calibri"/>
          <w:sz w:val="22"/>
        </w:rPr>
        <w:t>...”, begreppen ”</w:t>
      </w:r>
      <w:proofErr w:type="spellStart"/>
      <w:r>
        <w:rPr>
          <w:rFonts w:ascii="Calibri" w:hAnsi="Calibri"/>
          <w:sz w:val="22"/>
        </w:rPr>
        <w:t>parietodynamiska</w:t>
      </w:r>
      <w:proofErr w:type="spellEnd"/>
      <w:r>
        <w:rPr>
          <w:rFonts w:ascii="Calibri" w:hAnsi="Calibri"/>
          <w:sz w:val="22"/>
        </w:rPr>
        <w:t xml:space="preserve"> väggar” och ”</w:t>
      </w:r>
      <w:proofErr w:type="spellStart"/>
      <w:r>
        <w:rPr>
          <w:rFonts w:ascii="Calibri" w:hAnsi="Calibri"/>
          <w:sz w:val="22"/>
        </w:rPr>
        <w:t>Trombe</w:t>
      </w:r>
      <w:proofErr w:type="spellEnd"/>
      <w:r>
        <w:rPr>
          <w:rFonts w:ascii="Calibri" w:hAnsi="Calibri"/>
          <w:sz w:val="22"/>
        </w:rPr>
        <w:t>-väggar” ska anges med kursiv stil.</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ññ</w:t>
      </w:r>
      <w:proofErr w:type="spellEnd"/>
      <w:r>
        <w:rPr>
          <w:rFonts w:ascii="Calibri" w:hAnsi="Calibri"/>
          <w:sz w:val="22"/>
        </w:rPr>
        <w:t>) I bilaga A ska ordet ”kompakthet” i andra punkten vara kursivt i definitionen av ”kompakthet”.</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oo</w:t>
      </w:r>
      <w:proofErr w:type="spellEnd"/>
      <w:r>
        <w:rPr>
          <w:rFonts w:ascii="Calibri" w:hAnsi="Calibri"/>
          <w:sz w:val="22"/>
        </w:rPr>
        <w:t>) I bilaga A ska begreppet ”privat användning för bostäder” i definitionen av ”driftsförhållanden” vara kursivt.</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pp</w:t>
      </w:r>
      <w:proofErr w:type="spellEnd"/>
      <w:r>
        <w:rPr>
          <w:rFonts w:ascii="Calibri" w:hAnsi="Calibri"/>
          <w:sz w:val="22"/>
        </w:rPr>
        <w:t>) I bilaga A ska definitionen av ”icke-förnybar primärenergianvändning” med lydelsen “... Icke-förnybar primärenergianvändning...” innehålla ”</w:t>
      </w:r>
      <w:proofErr w:type="spellStart"/>
      <w:proofErr w:type="gramStart"/>
      <w:r>
        <w:rPr>
          <w:rFonts w:ascii="Calibri" w:hAnsi="Calibri"/>
          <w:sz w:val="22"/>
        </w:rPr>
        <w:t>ep,nren</w:t>
      </w:r>
      <w:proofErr w:type="spellEnd"/>
      <w:proofErr w:type="gramEnd"/>
      <w:r>
        <w:rPr>
          <w:rFonts w:ascii="Calibri" w:hAnsi="Calibri"/>
          <w:sz w:val="22"/>
        </w:rPr>
        <w:t>” med nedsänkta tecken enligt följande: “... Icke-förnybar primärenergianvändning (</w:t>
      </w:r>
      <w:proofErr w:type="spellStart"/>
      <w:r>
        <w:rPr>
          <w:rFonts w:ascii="Calibri" w:hAnsi="Calibri"/>
          <w:sz w:val="22"/>
        </w:rPr>
        <w:t>C</w:t>
      </w:r>
      <w:r>
        <w:rPr>
          <w:rFonts w:ascii="Calibri" w:hAnsi="Calibri"/>
          <w:sz w:val="22"/>
          <w:vertAlign w:val="subscript"/>
        </w:rPr>
        <w:t>ep,nren</w:t>
      </w:r>
      <w:proofErr w:type="spellEnd"/>
      <w:r>
        <w:rPr>
          <w:rFonts w:ascii="Calibri" w:hAnsi="Calibri"/>
          <w:sz w:val="22"/>
        </w:rPr>
        <w:t>)...”.</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lastRenderedPageBreak/>
        <w:t>qq</w:t>
      </w:r>
      <w:proofErr w:type="spellEnd"/>
      <w:r>
        <w:rPr>
          <w:rFonts w:ascii="Calibri" w:hAnsi="Calibri"/>
          <w:sz w:val="22"/>
        </w:rPr>
        <w:t>) I bilaga A ska definitionen av ”total primärenergianvändning” med lydelsen “... Total primärenergianvändning...” innehålla ”</w:t>
      </w:r>
      <w:proofErr w:type="spellStart"/>
      <w:proofErr w:type="gramStart"/>
      <w:r>
        <w:rPr>
          <w:rFonts w:ascii="Calibri" w:hAnsi="Calibri"/>
          <w:sz w:val="22"/>
        </w:rPr>
        <w:t>ep,tot</w:t>
      </w:r>
      <w:proofErr w:type="spellEnd"/>
      <w:proofErr w:type="gramEnd"/>
      <w:r>
        <w:rPr>
          <w:rFonts w:ascii="Calibri" w:hAnsi="Calibri"/>
          <w:sz w:val="22"/>
        </w:rPr>
        <w:t>” med nedsänkta tecken enligt följande: “... Total primärenergianvändning (</w:t>
      </w:r>
      <w:proofErr w:type="spellStart"/>
      <w:r>
        <w:rPr>
          <w:rFonts w:ascii="Calibri" w:hAnsi="Calibri"/>
          <w:sz w:val="22"/>
        </w:rPr>
        <w:t>C</w:t>
      </w:r>
      <w:r>
        <w:rPr>
          <w:rFonts w:ascii="Calibri" w:hAnsi="Calibri"/>
          <w:sz w:val="22"/>
          <w:vertAlign w:val="subscript"/>
        </w:rPr>
        <w:t>ep,tot</w:t>
      </w:r>
      <w:proofErr w:type="spellEnd"/>
      <w:r>
        <w:rPr>
          <w:rFonts w:ascii="Calibri" w:hAnsi="Calibri"/>
          <w:sz w:val="22"/>
        </w:rPr>
        <w:t>)...”.</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rr</w:t>
      </w:r>
      <w:proofErr w:type="spellEnd"/>
      <w:r>
        <w:rPr>
          <w:rFonts w:ascii="Calibri" w:hAnsi="Calibri"/>
          <w:sz w:val="22"/>
        </w:rPr>
        <w:t>) I bilaga A ska definitionen av ”solreglering (</w:t>
      </w:r>
      <w:proofErr w:type="spellStart"/>
      <w:proofErr w:type="gramStart"/>
      <w:r>
        <w:rPr>
          <w:rFonts w:ascii="Calibri" w:hAnsi="Calibri"/>
          <w:sz w:val="22"/>
        </w:rPr>
        <w:t>q</w:t>
      </w:r>
      <w:r>
        <w:rPr>
          <w:rFonts w:ascii="Calibri" w:hAnsi="Calibri"/>
          <w:sz w:val="22"/>
          <w:vertAlign w:val="subscript"/>
        </w:rPr>
        <w:t>sol;jul</w:t>
      </w:r>
      <w:proofErr w:type="spellEnd"/>
      <w:proofErr w:type="gramEnd"/>
      <w:r>
        <w:rPr>
          <w:rFonts w:ascii="Calibri" w:hAnsi="Calibri"/>
          <w:sz w:val="22"/>
        </w:rPr>
        <w:t>)” med lydelsen ”... den användbara ytan av utrymmena...” ersättas med ”... den användbara ytan av bostadsutrymmena...” Punkten och det nya stycket i slutet av definitionen av beståndsdelen i formeln ”</w:t>
      </w:r>
      <w:proofErr w:type="spellStart"/>
      <w:r>
        <w:rPr>
          <w:rFonts w:ascii="Calibri" w:hAnsi="Calibri"/>
          <w:sz w:val="22"/>
        </w:rPr>
        <w:t>Hsol;jul</w:t>
      </w:r>
      <w:proofErr w:type="spellEnd"/>
      <w:r>
        <w:rPr>
          <w:rFonts w:ascii="Calibri" w:hAnsi="Calibri"/>
          <w:sz w:val="22"/>
        </w:rPr>
        <w:t>” ska ersättas med ett semikolon, och definitionen av en annan beståndsdel i formeln ska läggas till enligt följande:</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t>
      </w:r>
      <w:proofErr w:type="spellStart"/>
      <w:r>
        <w:rPr>
          <w:rFonts w:ascii="Calibri" w:hAnsi="Calibri"/>
          <w:sz w:val="22"/>
        </w:rPr>
        <w:t>A</w:t>
      </w:r>
      <w:r>
        <w:rPr>
          <w:rFonts w:ascii="Calibri" w:hAnsi="Calibri"/>
          <w:sz w:val="22"/>
          <w:vertAlign w:val="subscript"/>
        </w:rPr>
        <w:t>util</w:t>
      </w:r>
      <w:proofErr w:type="spellEnd"/>
      <w:r>
        <w:rPr>
          <w:rFonts w:ascii="Calibri" w:hAnsi="Calibri"/>
          <w:sz w:val="22"/>
        </w:rPr>
        <w:t>-område som anses överensstämma med avsnitt 4.6 i HE 0.”</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ss) I bilaga A, i definitionen av begreppet ”slutlig energi”, ska ”Det är konsumentens inköp i form av el eller bränslen som används direkt” ersättas med ”Det är den som förses till byggnadssystem för tillhandahållande av tjänster. Denna försörjning sker normalt genom bränslen, produktion på plats eller särskilda nät (el, gas, fjärrvärme eller kylning osv.)”.</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tt</w:t>
      </w:r>
      <w:proofErr w:type="spellEnd"/>
      <w:r>
        <w:rPr>
          <w:rFonts w:ascii="Calibri" w:hAnsi="Calibri"/>
          <w:sz w:val="22"/>
        </w:rPr>
        <w:t>) I bilaga A ska begreppet ”privat användning för bostäder” i definitionen av ”konditionerat bostadsutrymme” anges med kursiv stil.</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uu</w:t>
      </w:r>
      <w:proofErr w:type="spellEnd"/>
      <w:r>
        <w:rPr>
          <w:rFonts w:ascii="Calibri" w:hAnsi="Calibri"/>
          <w:sz w:val="22"/>
        </w:rPr>
        <w:t>) I bilaga A ska begreppet ”privat användning för bostäder” i andra punkten i definitionen av ”användningsperiod” anges med kursiv stil.</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vv</w:t>
      </w:r>
      <w:proofErr w:type="spellEnd"/>
      <w:r>
        <w:rPr>
          <w:rFonts w:ascii="Calibri" w:hAnsi="Calibri"/>
          <w:sz w:val="22"/>
        </w:rPr>
        <w:t>) I bilaga A, i definitionen av begreppet ”termisk överföring (U-värde)”, ska följande mening läggas till i slutet av definitionen:</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”Uttryckt i W/m</w:t>
      </w:r>
      <w:r>
        <w:rPr>
          <w:rFonts w:ascii="Calibri" w:hAnsi="Calibri"/>
          <w:sz w:val="22"/>
          <w:vertAlign w:val="superscript"/>
        </w:rPr>
        <w:t>2</w:t>
      </w:r>
      <w:r>
        <w:rPr>
          <w:rFonts w:ascii="Calibri" w:hAnsi="Calibri"/>
          <w:sz w:val="22"/>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rPr>
      </w:pPr>
      <w:proofErr w:type="spellStart"/>
      <w:r>
        <w:rPr>
          <w:rFonts w:ascii="Calibri" w:hAnsi="Calibri"/>
          <w:sz w:val="22"/>
        </w:rPr>
        <w:t>ww</w:t>
      </w:r>
      <w:proofErr w:type="spellEnd"/>
      <w:r>
        <w:rPr>
          <w:rFonts w:ascii="Calibri" w:hAnsi="Calibri"/>
          <w:sz w:val="22"/>
        </w:rPr>
        <w:t>) I bilaga A ska begreppet ”privat användning för bostäder” i definitionen av ”anläggningens energieffektivitetsvärde (VEEI)” anges med kursiv stil.</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rPr>
      </w:pPr>
      <w:r>
        <w:rPr>
          <w:rFonts w:ascii="Calibri" w:hAnsi="Calibri"/>
          <w:sz w:val="22"/>
        </w:rPr>
        <w:t>xx) Följande begrepp ska införas i bilaga A ”Terminologi”:</w:t>
      </w:r>
    </w:p>
    <w:p w14:paraId="41AB6223" w14:textId="77777777" w:rsidR="000760AB" w:rsidRPr="000760AB" w:rsidRDefault="000760AB" w:rsidP="00FD453F">
      <w:pPr>
        <w:spacing w:before="200" w:after="120"/>
        <w:ind w:left="284"/>
        <w:jc w:val="both"/>
        <w:rPr>
          <w:rFonts w:ascii="Calibri" w:eastAsia="Arial" w:hAnsi="Calibri" w:cs="Calibri"/>
          <w:kern w:val="2"/>
          <w:sz w:val="22"/>
        </w:rPr>
      </w:pPr>
      <w:r>
        <w:rPr>
          <w:rFonts w:ascii="Calibri" w:hAnsi="Calibri"/>
          <w:sz w:val="22"/>
        </w:rPr>
        <w:t>”</w:t>
      </w:r>
      <w:r>
        <w:rPr>
          <w:rFonts w:ascii="Calibri" w:hAnsi="Calibri"/>
          <w:b/>
          <w:i/>
          <w:sz w:val="22"/>
        </w:rPr>
        <w:t>Stödutrustning</w:t>
      </w:r>
      <w:r>
        <w:rPr>
          <w:rFonts w:ascii="Calibri" w:hAnsi="Calibri"/>
          <w:b/>
          <w:sz w:val="22"/>
        </w:rPr>
        <w:t xml:space="preserve">: </w:t>
      </w:r>
      <w:r>
        <w:rPr>
          <w:rFonts w:ascii="Calibri" w:hAnsi="Calibri"/>
          <w:sz w:val="22"/>
        </w:rPr>
        <w:t>elektrisk eller elektronisk utrustning som har att göra med ljuset, olika för varje typ av ljus, vars funktion är tändningen och kontroll av driftsförhållanden. Denna hjälputrustning, om den inte är elektronisk, består av en kombination av start-, förkopplingsdon och kondensorer.</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w:t>
      </w:r>
      <w:r>
        <w:rPr>
          <w:rFonts w:ascii="Calibri" w:hAnsi="Calibri"/>
          <w:b/>
          <w:i/>
          <w:sz w:val="22"/>
        </w:rPr>
        <w:t>Laddningsstation</w:t>
      </w:r>
      <w:r>
        <w:rPr>
          <w:rFonts w:ascii="Calibri" w:hAnsi="Calibri"/>
          <w:b/>
          <w:sz w:val="22"/>
        </w:rPr>
        <w:t xml:space="preserve">: </w:t>
      </w:r>
      <w:r>
        <w:rPr>
          <w:rFonts w:ascii="Calibri" w:hAnsi="Calibri"/>
          <w:sz w:val="22"/>
        </w:rPr>
        <w:t xml:space="preserve">uppsättning som krävs för att ansluta elfordonet till den fasta elektriska installation som krävs för laddning. </w:t>
      </w:r>
      <w:r>
        <w:rPr>
          <w:rFonts w:ascii="Calibri" w:hAnsi="Calibri"/>
          <w:i/>
          <w:sz w:val="22"/>
        </w:rPr>
        <w:t>Laddningsstationer</w:t>
      </w:r>
      <w:r>
        <w:rPr>
          <w:rFonts w:ascii="Calibri" w:hAnsi="Calibri"/>
          <w:sz w:val="22"/>
        </w:rPr>
        <w:t xml:space="preserve"> klassificeras som:</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1.</w:t>
      </w:r>
      <w:r>
        <w:rPr>
          <w:rFonts w:ascii="Calibri" w:hAnsi="Calibri"/>
          <w:sz w:val="22"/>
        </w:rPr>
        <w:tab/>
        <w:t xml:space="preserve">En laddningspunkt, bestående av nödvändiga skydd, en eller flera uttag som inte är specifika för </w:t>
      </w:r>
      <w:r>
        <w:rPr>
          <w:rFonts w:ascii="Calibri" w:hAnsi="Calibri"/>
          <w:i/>
          <w:sz w:val="22"/>
        </w:rPr>
        <w:t>elfordonet</w:t>
      </w:r>
      <w:r>
        <w:rPr>
          <w:rFonts w:ascii="Calibri" w:hAnsi="Calibri"/>
          <w:sz w:val="22"/>
        </w:rPr>
        <w:t xml:space="preserve"> och, i tillämpliga fall, skalet.</w:t>
      </w:r>
    </w:p>
    <w:p w14:paraId="371F3BEE" w14:textId="77777777" w:rsidR="000760AB" w:rsidRPr="000760AB" w:rsidRDefault="000760AB" w:rsidP="00FD453F">
      <w:pPr>
        <w:spacing w:before="200" w:after="100"/>
        <w:ind w:left="284"/>
        <w:jc w:val="both"/>
        <w:rPr>
          <w:rFonts w:ascii="Calibri" w:eastAsia="Arial" w:hAnsi="Calibri" w:cs="Calibri"/>
          <w:b/>
          <w:bCs/>
          <w:i/>
          <w:iCs/>
          <w:kern w:val="2"/>
          <w:sz w:val="22"/>
          <w:szCs w:val="22"/>
        </w:rPr>
      </w:pPr>
      <w:r>
        <w:rPr>
          <w:rFonts w:ascii="Calibri" w:hAnsi="Calibri"/>
          <w:sz w:val="22"/>
        </w:rPr>
        <w:t>2.</w:t>
      </w:r>
      <w:r>
        <w:rPr>
          <w:rFonts w:ascii="Calibri" w:hAnsi="Calibri"/>
          <w:sz w:val="22"/>
        </w:rPr>
        <w:tab/>
        <w:t xml:space="preserve">SAVE </w:t>
      </w:r>
      <w:r>
        <w:rPr>
          <w:rFonts w:ascii="Calibri" w:hAnsi="Calibri"/>
          <w:i/>
          <w:sz w:val="22"/>
        </w:rPr>
        <w:t>(Särskilda strömförsörjningssystem för elfordon)</w:t>
      </w:r>
      <w:r>
        <w:rPr>
          <w:rFonts w:ascii="Calibri" w:hAnsi="Calibri"/>
          <w:sz w:val="22"/>
        </w:rPr>
        <w:t xml:space="preserve"> typ av laddningsstation.”</w:t>
      </w:r>
    </w:p>
    <w:p w14:paraId="444AE92F"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Laddningsinfrastruktur för elfordon</w:t>
      </w:r>
      <w:r>
        <w:rPr>
          <w:rFonts w:ascii="Calibri" w:hAnsi="Calibri"/>
          <w:b/>
          <w:sz w:val="22"/>
        </w:rPr>
        <w:t xml:space="preserve">: </w:t>
      </w:r>
      <w:r>
        <w:rPr>
          <w:rFonts w:ascii="Calibri" w:hAnsi="Calibri"/>
          <w:sz w:val="22"/>
        </w:rPr>
        <w:t xml:space="preserve">uppsättning fysiska och logiska anordningar avsedda för laddning av elfordon som uppfyller de säkerhets- och tillgänglighetskrav som föreskrivs för varje enskilt fall i den elektrotekniska föreskriften för lågspänning, som kan tillhandahålla en fullständig och omfattande laddningstjänst. Den omfattar </w:t>
      </w:r>
      <w:r>
        <w:rPr>
          <w:rFonts w:ascii="Calibri" w:hAnsi="Calibri"/>
          <w:i/>
          <w:sz w:val="22"/>
        </w:rPr>
        <w:t>laddningsstationer</w:t>
      </w:r>
      <w:r>
        <w:rPr>
          <w:rFonts w:ascii="Calibri" w:hAnsi="Calibri"/>
          <w:sz w:val="22"/>
        </w:rPr>
        <w:t xml:space="preserve">, styrsystem, elektriska ledningar, elektriska kontroll- och skyddspaneler och mätutrustning, när dessa uteslutande är avsedda för laddning av </w:t>
      </w:r>
      <w:r>
        <w:rPr>
          <w:rFonts w:ascii="Calibri" w:hAnsi="Calibri"/>
          <w:i/>
          <w:sz w:val="22"/>
        </w:rPr>
        <w:t>elfordon</w:t>
      </w:r>
      <w:r>
        <w:rPr>
          <w:rFonts w:ascii="Calibri" w:hAnsi="Calibri"/>
          <w:sz w:val="22"/>
        </w:rPr>
        <w:t>.”</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lastRenderedPageBreak/>
        <w:t>”</w:t>
      </w:r>
      <w:r>
        <w:rPr>
          <w:rFonts w:ascii="Calibri" w:hAnsi="Calibri"/>
          <w:b/>
          <w:i/>
          <w:sz w:val="22"/>
        </w:rPr>
        <w:t>Särskilda strömförsörjningssystem för elfordon (SAVE)</w:t>
      </w:r>
      <w:r>
        <w:rPr>
          <w:rFonts w:ascii="Calibri" w:hAnsi="Calibri"/>
          <w:b/>
          <w:sz w:val="22"/>
        </w:rPr>
        <w:t>:</w:t>
      </w:r>
      <w:r>
        <w:rPr>
          <w:rFonts w:ascii="Calibri" w:hAnsi="Calibri"/>
          <w:sz w:val="22"/>
        </w:rPr>
        <w:t xml:space="preserve"> uppsättning av utrustning som monterats för att leverera elkraft för laddning av ett elfordon inklusive skydd av laddningsstationen, anslutningskabeln (med fas-, neutral- och skyddsledare) uttagsbasen eller kontakten och, i förekommande fall, en växelströmskontinuerlig omvandlare. Detta system ska, när så är lämpligt, möjliggöra kommunikation mellan </w:t>
      </w:r>
      <w:r>
        <w:rPr>
          <w:rFonts w:ascii="Calibri" w:hAnsi="Calibri"/>
          <w:i/>
          <w:sz w:val="22"/>
        </w:rPr>
        <w:t>elfordonet</w:t>
      </w:r>
      <w:r>
        <w:rPr>
          <w:rFonts w:ascii="Calibri" w:hAnsi="Calibri"/>
          <w:sz w:val="22"/>
        </w:rPr>
        <w:t xml:space="preserve"> och den fasta installationen.”</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rPr>
      </w:pPr>
      <w:r>
        <w:rPr>
          <w:rFonts w:ascii="Calibri" w:hAnsi="Calibri"/>
          <w:sz w:val="22"/>
        </w:rPr>
        <w:t>”</w:t>
      </w:r>
      <w:r>
        <w:rPr>
          <w:rFonts w:ascii="Calibri" w:hAnsi="Calibri"/>
          <w:b/>
          <w:i/>
          <w:sz w:val="22"/>
        </w:rPr>
        <w:t>Privat användning för bostäder</w:t>
      </w:r>
      <w:r>
        <w:rPr>
          <w:rFonts w:ascii="Calibri" w:hAnsi="Calibri"/>
          <w:sz w:val="22"/>
        </w:rPr>
        <w:t xml:space="preserve">: Byggnad eller område som är avsedd för permanent bostad, oavsett typ av byggnad: fristående hus, flerbostadshus </w:t>
      </w:r>
      <w:proofErr w:type="gramStart"/>
      <w:r>
        <w:rPr>
          <w:rFonts w:ascii="Calibri" w:hAnsi="Calibri"/>
          <w:sz w:val="22"/>
        </w:rPr>
        <w:t>m.m.</w:t>
      </w:r>
      <w:proofErr w:type="gramEnd"/>
      <w:r>
        <w:rPr>
          <w:rFonts w:ascii="Calibri" w:hAnsi="Calibri"/>
          <w:sz w:val="22"/>
        </w:rPr>
        <w:t>, både för offentlig och privat utveckling.”</w:t>
      </w:r>
    </w:p>
    <w:p w14:paraId="20F0D8BC" w14:textId="77777777" w:rsidR="000760AB" w:rsidRPr="000760AB" w:rsidRDefault="000760AB" w:rsidP="00FD453F">
      <w:pPr>
        <w:spacing w:before="200" w:after="100"/>
        <w:ind w:left="284"/>
        <w:jc w:val="both"/>
        <w:rPr>
          <w:rFonts w:ascii="Calibri" w:eastAsia="Arial" w:hAnsi="Calibri" w:cs="Calibri"/>
          <w:kern w:val="2"/>
          <w:sz w:val="22"/>
        </w:rPr>
      </w:pPr>
      <w:r>
        <w:rPr>
          <w:rFonts w:ascii="Calibri" w:hAnsi="Calibri"/>
          <w:sz w:val="22"/>
        </w:rPr>
        <w:t>”</w:t>
      </w:r>
      <w:r>
        <w:rPr>
          <w:rFonts w:ascii="Calibri" w:hAnsi="Calibri"/>
          <w:b/>
          <w:i/>
          <w:sz w:val="22"/>
        </w:rPr>
        <w:t>Elektriskt fordon</w:t>
      </w:r>
      <w:r>
        <w:rPr>
          <w:rFonts w:ascii="Calibri" w:hAnsi="Calibri"/>
          <w:sz w:val="22"/>
        </w:rPr>
        <w:t>: motorfordon utrustat med en framdrivningsgrupp med minst en icke perifer elektrisk mekanism som fungerar som energiomvandlare och är utrustad med ett uppladdningsbart system för lagring av elenergi som kan laddas från utsidan.”</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yy</w:t>
      </w:r>
      <w:proofErr w:type="spellEnd"/>
      <w:r>
        <w:rPr>
          <w:rFonts w:ascii="Calibri" w:hAnsi="Calibri"/>
          <w:sz w:val="22"/>
        </w:rPr>
        <w:t>) I bilaga C ska begreppet ”</w:t>
      </w:r>
      <w:proofErr w:type="spellStart"/>
      <w:r>
        <w:rPr>
          <w:rFonts w:ascii="Calibri" w:hAnsi="Calibri"/>
          <w:sz w:val="22"/>
        </w:rPr>
        <w:t>klimatskal</w:t>
      </w:r>
      <w:proofErr w:type="spellEnd"/>
      <w:r>
        <w:rPr>
          <w:rFonts w:ascii="Calibri" w:hAnsi="Calibri"/>
          <w:sz w:val="22"/>
        </w:rPr>
        <w:t>” i rubriken och begreppet ”icke-beboeliga utrymmen” i avsnitt 1 a anges med kursiv stil.</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zz</w:t>
      </w:r>
      <w:proofErr w:type="spellEnd"/>
      <w:r>
        <w:rPr>
          <w:rFonts w:ascii="Calibri" w:hAnsi="Calibri"/>
          <w:sz w:val="22"/>
        </w:rPr>
        <w:t xml:space="preserve">) I bilaga D ska begreppen ”driftsförhållanden”, ”användningsprofiler” och ”privat användning för bostäder" anges med kursiv stil i rubriken, punkt 2 och tabellerna a-bilaga D, b-bilaga D och c-bilaga D.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aaa</w:t>
      </w:r>
      <w:proofErr w:type="spellEnd"/>
      <w:r>
        <w:rPr>
          <w:rFonts w:ascii="Calibri" w:hAnsi="Calibri"/>
          <w:sz w:val="22"/>
        </w:rPr>
        <w:t xml:space="preserve">) I bilaga D, ska punkt ”2 </w:t>
      </w:r>
      <w:r>
        <w:rPr>
          <w:rFonts w:ascii="Calibri" w:hAnsi="Calibri"/>
          <w:i/>
          <w:sz w:val="22"/>
        </w:rPr>
        <w:t>Driftsförhållanden</w:t>
      </w:r>
      <w:r>
        <w:rPr>
          <w:rFonts w:ascii="Calibri" w:hAnsi="Calibri"/>
          <w:sz w:val="22"/>
        </w:rPr>
        <w:t xml:space="preserve"> och </w:t>
      </w:r>
      <w:r>
        <w:rPr>
          <w:rFonts w:ascii="Calibri" w:hAnsi="Calibri"/>
          <w:i/>
          <w:sz w:val="22"/>
        </w:rPr>
        <w:t>användningsprofil</w:t>
      </w:r>
      <w:r>
        <w:rPr>
          <w:rFonts w:ascii="Calibri" w:hAnsi="Calibri"/>
          <w:sz w:val="22"/>
        </w:rPr>
        <w:t xml:space="preserve">...” omnumreras till ”3 </w:t>
      </w:r>
      <w:r>
        <w:rPr>
          <w:rFonts w:ascii="Calibri" w:hAnsi="Calibri"/>
          <w:i/>
          <w:sz w:val="22"/>
        </w:rPr>
        <w:t>Driftsförhållanden</w:t>
      </w:r>
      <w:r>
        <w:rPr>
          <w:rFonts w:ascii="Calibri" w:hAnsi="Calibri"/>
          <w:sz w:val="22"/>
        </w:rPr>
        <w:t xml:space="preserve"> och </w:t>
      </w:r>
      <w:r>
        <w:rPr>
          <w:rFonts w:ascii="Calibri" w:hAnsi="Calibri"/>
          <w:i/>
          <w:sz w:val="22"/>
        </w:rPr>
        <w:t>användningsprofil</w:t>
      </w:r>
      <w:r>
        <w:rPr>
          <w:rFonts w:ascii="Calibri" w:hAnsi="Calibri"/>
          <w:sz w:val="22"/>
        </w:rPr>
        <w:t>...”.</w:t>
      </w:r>
    </w:p>
    <w:p w14:paraId="7B66B51A" w14:textId="77777777" w:rsidR="000760AB" w:rsidRPr="000760AB" w:rsidRDefault="000760AB" w:rsidP="000760AB">
      <w:pPr>
        <w:spacing w:before="200" w:after="100"/>
        <w:ind w:left="284"/>
        <w:jc w:val="both"/>
        <w:rPr>
          <w:rFonts w:ascii="Calibri" w:eastAsia="Arial" w:hAnsi="Calibri" w:cs="Calibri"/>
          <w:kern w:val="2"/>
          <w:sz w:val="22"/>
        </w:rPr>
      </w:pPr>
      <w:proofErr w:type="spellStart"/>
      <w:r>
        <w:rPr>
          <w:rFonts w:ascii="Calibri" w:hAnsi="Calibri"/>
          <w:sz w:val="22"/>
        </w:rPr>
        <w:t>bbb</w:t>
      </w:r>
      <w:proofErr w:type="spellEnd"/>
      <w:r>
        <w:rPr>
          <w:rFonts w:ascii="Calibri" w:hAnsi="Calibri"/>
          <w:sz w:val="22"/>
        </w:rPr>
        <w:t>) I punkt 4 i bilaga D ska ”Erkänd handling” ersättas med ”Erkänt dokument för energicertifiering av byggnader”.</w:t>
      </w:r>
    </w:p>
    <w:p w14:paraId="2E3E9125"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ccc) I bilaga E ska begreppet ”privat användning för bostäder” i avsnitt 1 anges med kursiv stil.</w:t>
      </w:r>
    </w:p>
    <w:p w14:paraId="31530518" w14:textId="77777777" w:rsidR="000760AB" w:rsidRPr="000760AB" w:rsidRDefault="000760AB" w:rsidP="000760AB">
      <w:pPr>
        <w:spacing w:before="200" w:after="100"/>
        <w:ind w:left="284"/>
        <w:jc w:val="both"/>
        <w:rPr>
          <w:rFonts w:ascii="Calibri" w:eastAsia="Arial" w:hAnsi="Calibri" w:cs="Calibri"/>
          <w:kern w:val="2"/>
          <w:sz w:val="22"/>
        </w:rPr>
      </w:pPr>
      <w:proofErr w:type="spellStart"/>
      <w:r>
        <w:rPr>
          <w:rFonts w:ascii="Calibri" w:hAnsi="Calibri"/>
          <w:sz w:val="22"/>
        </w:rPr>
        <w:t>ddd</w:t>
      </w:r>
      <w:proofErr w:type="spellEnd"/>
      <w:r>
        <w:rPr>
          <w:rFonts w:ascii="Calibri" w:hAnsi="Calibri"/>
          <w:sz w:val="22"/>
        </w:rPr>
        <w:t>) I bilaga F ska begreppet ”privat användning för bostäder” anges med kursiv stil i både avsnitt 1 och i tabell a-bilaga F.</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rPr>
      </w:pPr>
      <w:proofErr w:type="spellStart"/>
      <w:r>
        <w:rPr>
          <w:rFonts w:ascii="Calibri" w:hAnsi="Calibri"/>
          <w:sz w:val="22"/>
        </w:rPr>
        <w:t>eee</w:t>
      </w:r>
      <w:proofErr w:type="spellEnd"/>
      <w:r>
        <w:rPr>
          <w:rFonts w:ascii="Calibri" w:hAnsi="Calibri"/>
          <w:sz w:val="22"/>
        </w:rPr>
        <w:t xml:space="preserve">) I bilaga H ska följande införas efter rubriken på avsnittet: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”Bestämning av byggnadens </w:t>
      </w:r>
      <w:r>
        <w:rPr>
          <w:rFonts w:ascii="Calibri" w:hAnsi="Calibri"/>
          <w:i/>
          <w:sz w:val="22"/>
        </w:rPr>
        <w:t>luftgenomsläpplighet</w:t>
      </w:r>
      <w:r>
        <w:rPr>
          <w:rFonts w:ascii="Calibri" w:hAnsi="Calibri"/>
          <w:sz w:val="22"/>
        </w:rPr>
        <w:t xml:space="preserve"> ska utföras med en av följande metoder.”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fff) I bilaga H ska ”Bestämning av luftförändringen vid 50 Pa, n50, kan erhållas genom provning enligt metod B i UNE-EN 13829:2002 Fastställande av lufttäthet i byggnader. Trycksättningsmetod med hjälp av en fläkt.” ersättas med ”Värdet för </w:t>
      </w:r>
      <w:r>
        <w:rPr>
          <w:rFonts w:ascii="Calibri" w:hAnsi="Calibri"/>
          <w:i/>
          <w:sz w:val="22"/>
        </w:rPr>
        <w:t>luftväxlingsförhållandet</w:t>
      </w:r>
      <w:r>
        <w:rPr>
          <w:rFonts w:ascii="Calibri" w:hAnsi="Calibri"/>
          <w:sz w:val="22"/>
        </w:rPr>
        <w:t xml:space="preserve"> vid 50 Pa, n</w:t>
      </w:r>
      <w:r>
        <w:rPr>
          <w:rFonts w:ascii="Calibri" w:hAnsi="Calibri"/>
          <w:sz w:val="22"/>
          <w:vertAlign w:val="subscript"/>
        </w:rPr>
        <w:t>50</w:t>
      </w:r>
      <w:r>
        <w:rPr>
          <w:rFonts w:ascii="Calibri" w:hAnsi="Calibri"/>
          <w:sz w:val="22"/>
        </w:rPr>
        <w:t xml:space="preserve"> genom provning ska erhållas från metod 1 eller 2 i UNE-EN ISO 9972: 2019 </w:t>
      </w:r>
      <w:r>
        <w:rPr>
          <w:rFonts w:ascii="Calibri" w:hAnsi="Calibri"/>
          <w:i/>
          <w:sz w:val="22"/>
        </w:rPr>
        <w:t>Byggnaders termiska egenskaper. Bestämning av byggnaders luftgenomsläpplighet. Metod för trycksättning av fläktar.”</w:t>
      </w:r>
    </w:p>
    <w:p w14:paraId="6FED2289" w14:textId="77777777" w:rsidR="000760AB" w:rsidRPr="000760AB" w:rsidRDefault="000760AB" w:rsidP="000760AB">
      <w:pPr>
        <w:spacing w:before="200" w:after="100"/>
        <w:ind w:left="284"/>
        <w:jc w:val="both"/>
        <w:rPr>
          <w:rFonts w:ascii="Calibri" w:eastAsia="Arial" w:hAnsi="Calibri" w:cs="Calibri"/>
          <w:kern w:val="2"/>
          <w:sz w:val="22"/>
        </w:rPr>
      </w:pPr>
      <w:proofErr w:type="spellStart"/>
      <w:r>
        <w:rPr>
          <w:rFonts w:ascii="Calibri" w:hAnsi="Calibri"/>
          <w:sz w:val="22"/>
        </w:rPr>
        <w:t>ggg</w:t>
      </w:r>
      <w:proofErr w:type="spellEnd"/>
      <w:r>
        <w:rPr>
          <w:rFonts w:ascii="Calibri" w:hAnsi="Calibri"/>
          <w:sz w:val="22"/>
        </w:rPr>
        <w:t>) I avsnitt H, avsnitt 2, ska texten ”... 2. Värdet på förhållandet mellan luftväxlingen vid 50 Pa, n</w:t>
      </w:r>
      <w:r>
        <w:rPr>
          <w:rFonts w:ascii="Calibri" w:hAnsi="Calibri"/>
          <w:sz w:val="22"/>
          <w:vertAlign w:val="subscript"/>
        </w:rPr>
        <w:t>50</w:t>
      </w:r>
      <w:r>
        <w:rPr>
          <w:rFonts w:ascii="Calibri" w:hAnsi="Calibri"/>
          <w:sz w:val="22"/>
        </w:rPr>
        <w:t xml:space="preserve">, kan beräknas med hjälp av följande ekvation:” ersättas med ”... 1. Värdet för förhållandet mellan </w:t>
      </w:r>
      <w:r>
        <w:rPr>
          <w:rFonts w:ascii="Calibri" w:hAnsi="Calibri"/>
          <w:i/>
          <w:sz w:val="22"/>
        </w:rPr>
        <w:t>luftförändringen</w:t>
      </w:r>
      <w:r>
        <w:rPr>
          <w:rFonts w:ascii="Calibri" w:hAnsi="Calibri"/>
          <w:sz w:val="22"/>
        </w:rPr>
        <w:t xml:space="preserve"> vid 50 Pa, n</w:t>
      </w:r>
      <w:r>
        <w:rPr>
          <w:rFonts w:ascii="Calibri" w:hAnsi="Calibri"/>
          <w:sz w:val="22"/>
          <w:vertAlign w:val="subscript"/>
        </w:rPr>
        <w:t>50</w:t>
      </w:r>
      <w:r>
        <w:rPr>
          <w:rFonts w:ascii="Calibri" w:hAnsi="Calibri"/>
          <w:sz w:val="22"/>
        </w:rPr>
        <w:t xml:space="preserve"> med referensvärden ska erhållas från följande uttryck:”, texten ”n</w:t>
      </w:r>
      <w:r>
        <w:rPr>
          <w:rFonts w:ascii="Calibri" w:hAnsi="Calibri"/>
          <w:sz w:val="22"/>
          <w:vertAlign w:val="subscript"/>
        </w:rPr>
        <w:t>50</w:t>
      </w:r>
      <w:r>
        <w:rPr>
          <w:rFonts w:ascii="Calibri" w:hAnsi="Calibri"/>
          <w:sz w:val="22"/>
        </w:rPr>
        <w:t xml:space="preserve"> = 0,629   (C</w:t>
      </w:r>
      <w:r>
        <w:rPr>
          <w:rFonts w:ascii="Calibri" w:hAnsi="Calibri"/>
          <w:sz w:val="22"/>
          <w:vertAlign w:val="subscript"/>
        </w:rPr>
        <w:t>o</w:t>
      </w:r>
      <w:r>
        <w:rPr>
          <w:rFonts w:ascii="Calibri" w:hAnsi="Calibri"/>
          <w:sz w:val="22"/>
        </w:rPr>
        <w:t xml:space="preserve"> ·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 </w:t>
      </w:r>
      <w:proofErr w:type="spellStart"/>
      <w:r>
        <w:rPr>
          <w:rFonts w:ascii="Calibri" w:hAnsi="Calibri"/>
          <w:sz w:val="22"/>
        </w:rPr>
        <w:t>C</w:t>
      </w:r>
      <w:r>
        <w:rPr>
          <w:rFonts w:ascii="Calibri" w:hAnsi="Calibri"/>
          <w:sz w:val="22"/>
          <w:vertAlign w:val="subscript"/>
        </w:rPr>
        <w:t>h</w:t>
      </w:r>
      <w:proofErr w:type="spellEnd"/>
      <w:r>
        <w:rPr>
          <w:rFonts w:ascii="Calibri" w:hAnsi="Calibri"/>
          <w:sz w:val="22"/>
        </w:rPr>
        <w:t xml:space="preserve"> · A</w:t>
      </w:r>
      <w:r>
        <w:rPr>
          <w:rFonts w:ascii="Calibri" w:hAnsi="Calibri"/>
          <w:sz w:val="22"/>
          <w:vertAlign w:val="subscript"/>
        </w:rPr>
        <w:t>h</w:t>
      </w:r>
      <w:r>
        <w:rPr>
          <w:rFonts w:ascii="Calibri" w:hAnsi="Calibri"/>
          <w:sz w:val="22"/>
        </w:rPr>
        <w:t>)/V” ska ersättas med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 </w:t>
      </w:r>
      <w:proofErr w:type="spellStart"/>
      <w:r>
        <w:rPr>
          <w:rFonts w:ascii="Calibri" w:hAnsi="Calibri"/>
          <w:sz w:val="22"/>
        </w:rPr>
        <w:t>C</w:t>
      </w:r>
      <w:r>
        <w:rPr>
          <w:rFonts w:ascii="Calibri" w:hAnsi="Calibri"/>
          <w:sz w:val="22"/>
          <w:vertAlign w:val="subscript"/>
        </w:rPr>
        <w:t>h</w:t>
      </w:r>
      <w:proofErr w:type="spellEnd"/>
      <w:r>
        <w:rPr>
          <w:rFonts w:ascii="Calibri" w:hAnsi="Calibri"/>
          <w:sz w:val="22"/>
        </w:rPr>
        <w:t xml:space="preserve"> · A</w:t>
      </w:r>
      <w:r>
        <w:rPr>
          <w:rFonts w:ascii="Calibri" w:hAnsi="Calibri"/>
          <w:sz w:val="22"/>
          <w:vertAlign w:val="subscript"/>
        </w:rPr>
        <w:t>h</w:t>
      </w:r>
      <w:r>
        <w:rPr>
          <w:rFonts w:ascii="Calibri" w:hAnsi="Calibri"/>
          <w:sz w:val="22"/>
        </w:rPr>
        <w:t>)/V</w:t>
      </w:r>
      <w:r>
        <w:rPr>
          <w:rFonts w:ascii="Calibri" w:hAnsi="Calibri"/>
          <w:sz w:val="22"/>
          <w:vertAlign w:val="subscript"/>
        </w:rPr>
        <w:t>int</w:t>
      </w:r>
      <w:r>
        <w:rPr>
          <w:rFonts w:ascii="Calibri" w:hAnsi="Calibri"/>
          <w:sz w:val="22"/>
        </w:rPr>
        <w:t xml:space="preserve">”, texten ”V är </w:t>
      </w:r>
      <w:proofErr w:type="spellStart"/>
      <w:r>
        <w:rPr>
          <w:rFonts w:ascii="Calibri" w:hAnsi="Calibri"/>
          <w:sz w:val="22"/>
        </w:rPr>
        <w:t>klimatskalets</w:t>
      </w:r>
      <w:proofErr w:type="spellEnd"/>
      <w:r>
        <w:rPr>
          <w:rFonts w:ascii="Calibri" w:hAnsi="Calibri"/>
          <w:sz w:val="22"/>
        </w:rPr>
        <w:t xml:space="preserve"> inre volym i [m</w:t>
      </w:r>
      <w:r>
        <w:rPr>
          <w:rFonts w:ascii="Calibri" w:hAnsi="Calibri"/>
          <w:sz w:val="22"/>
          <w:vertAlign w:val="superscript"/>
        </w:rPr>
        <w:t>3</w:t>
      </w:r>
      <w:r>
        <w:rPr>
          <w:rFonts w:ascii="Calibri" w:hAnsi="Calibri"/>
          <w:sz w:val="22"/>
        </w:rPr>
        <w:t>]” ska ersättas med ”V</w:t>
      </w:r>
      <w:r>
        <w:rPr>
          <w:rFonts w:ascii="Calibri" w:hAnsi="Calibri"/>
          <w:sz w:val="22"/>
          <w:vertAlign w:val="subscript"/>
        </w:rPr>
        <w:t>int</w:t>
      </w:r>
      <w:r>
        <w:rPr>
          <w:rFonts w:ascii="Calibri" w:hAnsi="Calibri"/>
          <w:sz w:val="22"/>
        </w:rPr>
        <w:t xml:space="preserve"> är den inre luftvolymen i </w:t>
      </w:r>
      <w:proofErr w:type="spellStart"/>
      <w:r>
        <w:rPr>
          <w:rFonts w:ascii="Calibri" w:hAnsi="Calibri"/>
          <w:i/>
          <w:sz w:val="22"/>
        </w:rPr>
        <w:t>klimatskalet</w:t>
      </w:r>
      <w:proofErr w:type="spellEnd"/>
      <w:r>
        <w:rPr>
          <w:rFonts w:ascii="Calibri" w:hAnsi="Calibri"/>
          <w:sz w:val="22"/>
        </w:rPr>
        <w:t>, i [m</w:t>
      </w:r>
      <w:r>
        <w:rPr>
          <w:rFonts w:ascii="Calibri" w:hAnsi="Calibri"/>
          <w:sz w:val="22"/>
          <w:vertAlign w:val="superscript"/>
        </w:rPr>
        <w:t>3</w:t>
      </w:r>
      <w:r>
        <w:rPr>
          <w:rFonts w:ascii="Calibri" w:hAnsi="Calibri"/>
          <w:sz w:val="22"/>
        </w:rPr>
        <w:t>]”, och texten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är ytan på den ogenomskinliga delen av </w:t>
      </w:r>
      <w:proofErr w:type="spellStart"/>
      <w:r>
        <w:rPr>
          <w:rFonts w:ascii="Calibri" w:hAnsi="Calibri"/>
          <w:i/>
          <w:sz w:val="22"/>
        </w:rPr>
        <w:t>klimatskalet</w:t>
      </w:r>
      <w:proofErr w:type="spellEnd"/>
      <w:r>
        <w:rPr>
          <w:rFonts w:ascii="Calibri" w:hAnsi="Calibri"/>
          <w:sz w:val="22"/>
        </w:rPr>
        <w:t>, i [m</w:t>
      </w:r>
      <w:r>
        <w:rPr>
          <w:rFonts w:ascii="Calibri" w:hAnsi="Calibri"/>
          <w:sz w:val="22"/>
          <w:vertAlign w:val="superscript"/>
        </w:rPr>
        <w:t>2</w:t>
      </w:r>
      <w:r>
        <w:rPr>
          <w:rFonts w:ascii="Calibri" w:hAnsi="Calibri"/>
          <w:sz w:val="22"/>
        </w:rPr>
        <w:t>]” ska ersättas med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är ytan på den ogenomskinliga delen av </w:t>
      </w:r>
      <w:proofErr w:type="spellStart"/>
      <w:r>
        <w:rPr>
          <w:rFonts w:ascii="Calibri" w:hAnsi="Calibri"/>
          <w:i/>
          <w:sz w:val="22"/>
        </w:rPr>
        <w:t>klimatskalet</w:t>
      </w:r>
      <w:proofErr w:type="spellEnd"/>
      <w:r>
        <w:rPr>
          <w:rFonts w:ascii="Calibri" w:hAnsi="Calibri"/>
          <w:sz w:val="22"/>
        </w:rPr>
        <w:t xml:space="preserve"> i kontakt med utomhusluft, vid [m</w:t>
      </w:r>
      <w:r>
        <w:rPr>
          <w:rFonts w:ascii="Calibri" w:hAnsi="Calibri"/>
          <w:sz w:val="22"/>
          <w:vertAlign w:val="superscript"/>
        </w:rPr>
        <w:t>2</w:t>
      </w:r>
      <w:r>
        <w:rPr>
          <w:rFonts w:ascii="Calibri" w:hAnsi="Calibri"/>
          <w:sz w:val="22"/>
        </w:rPr>
        <w:t xml:space="preserve">]”.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hhh</w:t>
      </w:r>
      <w:proofErr w:type="spellEnd"/>
      <w:r>
        <w:rPr>
          <w:rFonts w:ascii="Calibri" w:hAnsi="Calibri"/>
          <w:sz w:val="22"/>
        </w:rPr>
        <w:t>) I bilaga H ska begreppen ”</w:t>
      </w:r>
      <w:proofErr w:type="spellStart"/>
      <w:r>
        <w:rPr>
          <w:rFonts w:ascii="Calibri" w:hAnsi="Calibri"/>
          <w:sz w:val="22"/>
        </w:rPr>
        <w:t>klimatskal</w:t>
      </w:r>
      <w:proofErr w:type="spellEnd"/>
      <w:r>
        <w:rPr>
          <w:rFonts w:ascii="Calibri" w:hAnsi="Calibri"/>
          <w:sz w:val="22"/>
        </w:rPr>
        <w:t>” och ”hål” anges med kursiv stil i beskrivningen av begreppen C</w:t>
      </w:r>
      <w:r>
        <w:rPr>
          <w:rFonts w:ascii="Calibri" w:hAnsi="Calibri"/>
          <w:sz w:val="22"/>
          <w:vertAlign w:val="subscript"/>
        </w:rPr>
        <w:t>o</w:t>
      </w:r>
      <w:r>
        <w:rPr>
          <w:rFonts w:ascii="Calibri" w:hAnsi="Calibri"/>
          <w:sz w:val="22"/>
        </w:rPr>
        <w:t xml:space="preserve">, </w:t>
      </w:r>
      <w:proofErr w:type="spellStart"/>
      <w:r>
        <w:rPr>
          <w:rFonts w:ascii="Calibri" w:hAnsi="Calibri"/>
          <w:sz w:val="22"/>
        </w:rPr>
        <w:t>C</w:t>
      </w:r>
      <w:r>
        <w:rPr>
          <w:rFonts w:ascii="Calibri" w:hAnsi="Calibri"/>
          <w:sz w:val="22"/>
          <w:vertAlign w:val="subscript"/>
        </w:rPr>
        <w:t>h</w:t>
      </w:r>
      <w:proofErr w:type="spellEnd"/>
      <w:r>
        <w:rPr>
          <w:rFonts w:ascii="Calibri" w:hAnsi="Calibri"/>
          <w:sz w:val="22"/>
        </w:rPr>
        <w:t>, A</w:t>
      </w:r>
      <w:r>
        <w:rPr>
          <w:rFonts w:ascii="Calibri" w:hAnsi="Calibri"/>
          <w:sz w:val="22"/>
          <w:vertAlign w:val="subscript"/>
        </w:rPr>
        <w:t>h</w:t>
      </w:r>
      <w:r>
        <w:rPr>
          <w:rFonts w:ascii="Calibri" w:hAnsi="Calibri"/>
          <w:sz w:val="22"/>
        </w:rPr>
        <w:t xml:space="preserve"> och i tabell a-bilaga H.</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rPr>
      </w:pPr>
      <w:r>
        <w:rPr>
          <w:rFonts w:ascii="Calibri" w:hAnsi="Calibri"/>
          <w:sz w:val="22"/>
        </w:rPr>
        <w:t>Fyra.</w:t>
      </w:r>
      <w:r>
        <w:rPr>
          <w:rFonts w:ascii="Calibri" w:hAnsi="Calibri"/>
          <w:b/>
          <w:sz w:val="22"/>
        </w:rPr>
        <w:t xml:space="preserve"> </w:t>
      </w:r>
      <w:r>
        <w:rPr>
          <w:rFonts w:ascii="Calibri" w:hAnsi="Calibri"/>
          <w:sz w:val="22"/>
        </w:rPr>
        <w:t xml:space="preserve">Följande ändringar införs i grunddokumentet DB-SUA ”Säkerhet vid användning och tillgänglighet” som ingår i del II i den tekniska byggkoden: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lastRenderedPageBreak/>
        <w:t>I bilaga A ska definitionen av ”tillgänglig parkeringsplats” innehålla ett tankstreck med följande text:</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 I händelse av att den </w:t>
      </w:r>
      <w:r>
        <w:rPr>
          <w:rFonts w:ascii="Calibri" w:hAnsi="Calibri"/>
          <w:i/>
          <w:sz w:val="22"/>
        </w:rPr>
        <w:t>tillgängliga parkeringsplatsen</w:t>
      </w:r>
      <w:r>
        <w:rPr>
          <w:rFonts w:ascii="Calibri" w:hAnsi="Calibri"/>
          <w:sz w:val="22"/>
        </w:rPr>
        <w:t xml:space="preserve"> har en laddningsstation för elfordon ska den </w:t>
      </w:r>
      <w:r>
        <w:rPr>
          <w:rFonts w:ascii="Calibri" w:hAnsi="Calibri"/>
          <w:i/>
          <w:sz w:val="22"/>
        </w:rPr>
        <w:t>tillgängliga resvägen</w:t>
      </w:r>
      <w:r>
        <w:rPr>
          <w:rFonts w:ascii="Calibri" w:hAnsi="Calibri"/>
          <w:sz w:val="22"/>
        </w:rPr>
        <w:t xml:space="preserve"> även inkludera denna laddningsstation. Kraftuttagen och anslutningsdonen till dessa laddningsstationer ska vara kromatiskt kontrasterade mot omgivningen, placerade på en höjd av 80–120 cm och avståndet från hörnen ska vara minst 35 cm.”</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Fem. Följande ändringar ska införas i grunddokumentet DB-HS ”Hälsa”, som ingår i del II:</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bookmarkStart w:id="25" w:name="_Hlk103704636"/>
      <w:r>
        <w:rPr>
          <w:rFonts w:ascii="Calibri" w:hAnsi="Calibri"/>
          <w:sz w:val="22"/>
        </w:rPr>
        <w:t>a) I avsnitt HS 4, i avsnitt 3.2.2.1 i punkt 2, ska meningen ”solenergins minsta bidrag till inhemsk varmvattenproduktion” ersättas med meningen ”det minsta bidraget från förnybar energi för att täcka efterfrågan på varmvatten”.</w:t>
      </w:r>
    </w:p>
    <w:p w14:paraId="3EDCC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 I HS-avsnitt 4 i avsnitt 6.2 ska led ”e) polyvinylkloridklorerade (PVC-</w:t>
      </w:r>
      <w:proofErr w:type="gramStart"/>
      <w:r>
        <w:rPr>
          <w:rFonts w:ascii="Calibri" w:hAnsi="Calibri"/>
          <w:sz w:val="22"/>
        </w:rPr>
        <w:t>C)-</w:t>
      </w:r>
      <w:proofErr w:type="gramEnd"/>
      <w:r>
        <w:rPr>
          <w:rFonts w:ascii="Calibri" w:hAnsi="Calibri"/>
          <w:sz w:val="22"/>
        </w:rPr>
        <w:t xml:space="preserve">rör enligt UNE-EN ISO 15874–1:2013, UNE-EN ISO 15874-2:2013 och UNE-EN ISO 15874–3:2013” ersättas med led ”e) rör av </w:t>
      </w:r>
      <w:proofErr w:type="spellStart"/>
      <w:r>
        <w:rPr>
          <w:rFonts w:ascii="Calibri" w:hAnsi="Calibri"/>
          <w:sz w:val="22"/>
        </w:rPr>
        <w:t>polyklorerad</w:t>
      </w:r>
      <w:proofErr w:type="spellEnd"/>
      <w:r>
        <w:rPr>
          <w:rFonts w:ascii="Calibri" w:hAnsi="Calibri"/>
          <w:sz w:val="22"/>
        </w:rPr>
        <w:t xml:space="preserve"> vinylklorid (PVC-C), i enlighet med UNE-EN ISO 15877-1:2009 (+UNE-EN ISO 15877-1:2009/A1): 2011), UNE-EN ISO 15877-2:2009 (+UNE-EN ISO 15877-2:2009/A1: 2011) och UNE-EN ISO 15877–3:2009 (+UNE-EN ISO 15877–3:2009/A1: 2011);”.</w:t>
      </w:r>
    </w:p>
    <w:p w14:paraId="36823CBB"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c) I avsnitt HS 4 i avsnitt 6.2 ska led ”h) </w:t>
      </w:r>
      <w:proofErr w:type="spellStart"/>
      <w:r>
        <w:rPr>
          <w:rFonts w:ascii="Calibri" w:hAnsi="Calibri"/>
          <w:sz w:val="22"/>
        </w:rPr>
        <w:t>polybutylenrör</w:t>
      </w:r>
      <w:proofErr w:type="spellEnd"/>
      <w:r>
        <w:rPr>
          <w:rFonts w:ascii="Calibri" w:hAnsi="Calibri"/>
          <w:sz w:val="22"/>
        </w:rPr>
        <w:t xml:space="preserve"> (PB) enligt UNE-EN ISO 15876–1:2017, UNE-EN ISO 15876–2:2017 och UNE-EN ISO </w:t>
      </w:r>
      <w:proofErr w:type="gramStart"/>
      <w:r>
        <w:rPr>
          <w:rFonts w:ascii="Calibri" w:hAnsi="Calibri"/>
          <w:sz w:val="22"/>
        </w:rPr>
        <w:t>15876-3</w:t>
      </w:r>
      <w:proofErr w:type="gramEnd"/>
      <w:r>
        <w:rPr>
          <w:rFonts w:ascii="Calibri" w:hAnsi="Calibri"/>
          <w:sz w:val="22"/>
        </w:rPr>
        <w:t xml:space="preserve">:2017,” ersättas med led ”h) </w:t>
      </w:r>
      <w:proofErr w:type="spellStart"/>
      <w:r>
        <w:rPr>
          <w:rFonts w:ascii="Calibri" w:hAnsi="Calibri"/>
          <w:sz w:val="22"/>
        </w:rPr>
        <w:t>polybutylenrör</w:t>
      </w:r>
      <w:proofErr w:type="spellEnd"/>
      <w:r>
        <w:rPr>
          <w:rFonts w:ascii="Calibri" w:hAnsi="Calibri"/>
          <w:sz w:val="22"/>
        </w:rPr>
        <w:t xml:space="preserve"> (PB) enligt UNE-EN ISO 15876-1:2017, UNE-EN ISO 15876-2:2017 och UNE-EN ISO 15876-3:2017;”.</w:t>
      </w:r>
    </w:p>
    <w:p w14:paraId="3D6093F2"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d) I avsnitt HS 4, bilaga C, med lydelsen ”Plaströrsystem för varm- och kallvatteninstallationer. </w:t>
      </w:r>
      <w:proofErr w:type="spellStart"/>
      <w:r>
        <w:rPr>
          <w:rFonts w:ascii="Calibri" w:hAnsi="Calibri"/>
          <w:sz w:val="22"/>
        </w:rPr>
        <w:t>Polybutylen</w:t>
      </w:r>
      <w:proofErr w:type="spellEnd"/>
      <w:r>
        <w:rPr>
          <w:rFonts w:ascii="Calibri" w:hAnsi="Calibri"/>
          <w:sz w:val="22"/>
        </w:rPr>
        <w:t xml:space="preserve"> (PB). Del 1: Allmänt” ska ersättas med ”Plaströrsystem för varm- och kallvatteninstallationer. </w:t>
      </w:r>
      <w:proofErr w:type="spellStart"/>
      <w:r>
        <w:rPr>
          <w:rFonts w:ascii="Calibri" w:hAnsi="Calibri"/>
          <w:sz w:val="22"/>
        </w:rPr>
        <w:t>Polybuten</w:t>
      </w:r>
      <w:proofErr w:type="spellEnd"/>
      <w:r>
        <w:rPr>
          <w:rFonts w:ascii="Calibri" w:hAnsi="Calibri"/>
          <w:sz w:val="22"/>
        </w:rPr>
        <w:t xml:space="preserve"> (PB). Del 1: Allmänt”.</w:t>
      </w:r>
    </w:p>
    <w:p w14:paraId="3D1885B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e) I avsnitt HS 4, bilaga C, med lydelsen ”Plaströrsystem för varm- och kallvatteninstallationer. </w:t>
      </w:r>
      <w:proofErr w:type="spellStart"/>
      <w:r>
        <w:rPr>
          <w:rFonts w:ascii="Calibri" w:hAnsi="Calibri"/>
          <w:sz w:val="22"/>
        </w:rPr>
        <w:t>Polybutylen</w:t>
      </w:r>
      <w:proofErr w:type="spellEnd"/>
      <w:r>
        <w:rPr>
          <w:rFonts w:ascii="Calibri" w:hAnsi="Calibri"/>
          <w:sz w:val="22"/>
        </w:rPr>
        <w:t xml:space="preserve"> (PB). Del 2: Rör” ska ersättas med ”Plaströrsystem för varm- och kallvatteninstallationer. </w:t>
      </w:r>
      <w:proofErr w:type="spellStart"/>
      <w:r>
        <w:rPr>
          <w:rFonts w:ascii="Calibri" w:hAnsi="Calibri"/>
          <w:sz w:val="22"/>
        </w:rPr>
        <w:t>Polybuten</w:t>
      </w:r>
      <w:proofErr w:type="spellEnd"/>
      <w:r>
        <w:rPr>
          <w:rFonts w:ascii="Calibri" w:hAnsi="Calibri"/>
          <w:sz w:val="22"/>
        </w:rPr>
        <w:t xml:space="preserve"> (PB). Del 2: Rör”.</w:t>
      </w:r>
    </w:p>
    <w:p w14:paraId="70CF10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f) I avsnitt HS 4, bilaga C, med lydelsen ”Plaströrsystem för varm- och kallvatteninstallationer. </w:t>
      </w:r>
      <w:proofErr w:type="spellStart"/>
      <w:r>
        <w:rPr>
          <w:rFonts w:ascii="Calibri" w:hAnsi="Calibri"/>
          <w:sz w:val="22"/>
        </w:rPr>
        <w:t>Polybutylen</w:t>
      </w:r>
      <w:proofErr w:type="spellEnd"/>
      <w:r>
        <w:rPr>
          <w:rFonts w:ascii="Calibri" w:hAnsi="Calibri"/>
          <w:sz w:val="22"/>
        </w:rPr>
        <w:t xml:space="preserve"> (PB). Del 3: Tillbehör” ska ersättas med ”Plaströrsystem för varm- och kallvatteninstallationer. </w:t>
      </w:r>
      <w:proofErr w:type="spellStart"/>
      <w:r>
        <w:rPr>
          <w:rFonts w:ascii="Calibri" w:hAnsi="Calibri"/>
          <w:sz w:val="22"/>
        </w:rPr>
        <w:t>Polybuten</w:t>
      </w:r>
      <w:proofErr w:type="spellEnd"/>
      <w:r>
        <w:rPr>
          <w:rFonts w:ascii="Calibri" w:hAnsi="Calibri"/>
          <w:sz w:val="22"/>
        </w:rPr>
        <w:t xml:space="preserve"> (PB). Del 3: Rördelar”.</w:t>
      </w:r>
    </w:p>
    <w:p w14:paraId="52A9A5FD"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g) I avsnitt HS 4, bilaga C, ska följande införas efter hänvisningen till standarden ”UNE-EN ISO </w:t>
      </w:r>
      <w:proofErr w:type="gramStart"/>
      <w:r>
        <w:rPr>
          <w:rFonts w:ascii="Calibri" w:hAnsi="Calibri"/>
          <w:sz w:val="22"/>
        </w:rPr>
        <w:t>15876-3</w:t>
      </w:r>
      <w:proofErr w:type="gramEnd"/>
      <w:r>
        <w:rPr>
          <w:rFonts w:ascii="Calibri" w:hAnsi="Calibri"/>
          <w:sz w:val="22"/>
        </w:rPr>
        <w:t>: 2017</w:t>
      </w:r>
      <w:r>
        <w:rPr>
          <w:rFonts w:ascii="Calibri" w:hAnsi="Calibri"/>
          <w:sz w:val="22"/>
        </w:rPr>
        <w:tab/>
        <w:t xml:space="preserve">Plaströrsystem för varm- och kallvatteninstallationer. </w:t>
      </w:r>
      <w:proofErr w:type="spellStart"/>
      <w:r>
        <w:rPr>
          <w:rFonts w:ascii="Calibri" w:hAnsi="Calibri"/>
          <w:sz w:val="22"/>
        </w:rPr>
        <w:t>Polybuten</w:t>
      </w:r>
      <w:proofErr w:type="spellEnd"/>
      <w:r>
        <w:rPr>
          <w:rFonts w:ascii="Calibri" w:hAnsi="Calibri"/>
          <w:sz w:val="22"/>
        </w:rPr>
        <w:t xml:space="preserve"> (PB). Del 3: Rördelar” följande standarder:</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15877–1:2009 Plaströrsystem för varm- och kallvatteninstallationer. Klorerad poly (vinylklorid) (PVC-C). Del 1: Allmänna bestämmelser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rPr>
      </w:pPr>
      <w:proofErr w:type="spellStart"/>
      <w:r>
        <w:rPr>
          <w:rFonts w:ascii="Calibri" w:hAnsi="Calibri"/>
          <w:sz w:val="22"/>
        </w:rPr>
        <w:t>Une-EN</w:t>
      </w:r>
      <w:proofErr w:type="spellEnd"/>
      <w:r>
        <w:rPr>
          <w:rFonts w:ascii="Calibri" w:hAnsi="Calibri"/>
          <w:sz w:val="22"/>
        </w:rPr>
        <w:t xml:space="preserve"> ISO 15877–2:2009 Plaströrsystem för varm- och kallvatteninstallationer. Klorerad poly (vinylklorid) (PVC-C). Del 2: Rör. (+UNE-EN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rPr>
      </w:pPr>
      <w:proofErr w:type="spellStart"/>
      <w:r>
        <w:rPr>
          <w:rFonts w:ascii="Calibri" w:hAnsi="Calibri"/>
          <w:sz w:val="22"/>
        </w:rPr>
        <w:t>Une-EN</w:t>
      </w:r>
      <w:proofErr w:type="spellEnd"/>
      <w:r>
        <w:rPr>
          <w:rFonts w:ascii="Calibri" w:hAnsi="Calibri"/>
          <w:sz w:val="22"/>
        </w:rPr>
        <w:t xml:space="preserve"> ISO 15877–3:2009 Plaströrsystem för varm- och kallvatteninstallationer. Klorerad poly (vinylklorid) (PVC-C). Del 3: Rördelar. (+UNE-EN ISO 15877–3:2009/A1:2011)</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5"/>
    <w:p w14:paraId="5E164AFD"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Första övergångsbestämmelsen. </w:t>
      </w:r>
      <w:r>
        <w:rPr>
          <w:rFonts w:ascii="Calibri" w:hAnsi="Calibri"/>
          <w:i/>
          <w:sz w:val="22"/>
        </w:rPr>
        <w:t>Byggnader som är undantagna från bestämmelserna i denna kungliga förordning.</w:t>
      </w:r>
    </w:p>
    <w:p w14:paraId="1847A16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De ändringar av de tekniska byggreglerna (CTE) som antas genom detta kungliga dekret ska inte tillämpas på nya byggnader eller på befintliga byggnader som i båda fallen redan har ansökt om tillstånd för kommunalt arbete vid den tidpunkt då detta kungliga dekret träder i kraft. </w:t>
      </w:r>
    </w:p>
    <w:p w14:paraId="0F07CFE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Sådana arbeten ska påbörjas inom den maximala effektivitetsperioden för nämnda tillstånd, i enlighet med dess föreskrifter eller, om detta inte är möjligt, inom sex månader efter det att tillståndet beviljats. Om så inte är fallet ska projekten anpassas till de ändringar i den gemensamma tekniska kommittén som godkänts genom denna kungliga förordning.</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Andra övergångsbestämmelsen. </w:t>
      </w:r>
      <w:r>
        <w:rPr>
          <w:rFonts w:ascii="Calibri" w:hAnsi="Calibri"/>
          <w:i/>
          <w:sz w:val="22"/>
        </w:rPr>
        <w:t>Byggnader för vilka det är frivilligt att tillämpa bestämmelserna i detta kungliga dekret.</w:t>
      </w:r>
    </w:p>
    <w:p w14:paraId="27074C9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De ändringar i de tekniska byggreglerna som godkänns genom denna kungliga förordning gäller frivilligt för nya byggnadsverk och för arbeten på befintliga byggnader för vilka tillstånd för kommunalt arbete i båda fallen begärs inom sex månader efter det att denna kungliga förordning har trätt i kraft. </w:t>
      </w:r>
    </w:p>
    <w:p w14:paraId="5E12150B"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Sådana arbeten ska påbörjas inom den maximala effektivitetsperioden för nämnda tillstånd, i enlighet med dess föreskrifter eller, om detta inte är möjligt, inom sex månader efter det att tillståndet beviljats. Om så inte är fallet ska projekten anpassas till de ändringar i den gemensamma tekniska kommittén som godkänts genom denna kungliga förordning.</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Tredje övergångsbestämmelsen. </w:t>
      </w:r>
      <w:r>
        <w:rPr>
          <w:rFonts w:ascii="Calibri" w:hAnsi="Calibri"/>
          <w:i/>
          <w:sz w:val="22"/>
        </w:rPr>
        <w:t>Byggnader för vilka det är obligatoriskt att tillämpa bestämmelserna i detta kungliga dekret.</w:t>
      </w:r>
    </w:p>
    <w:p w14:paraId="7B8AAF09"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Tillämpningen av ändringarna i de tekniska byggreglerna (CTE) som antagits genom detta kungliga dekret ska vara obligatorisk för nya byggnader eller arbeten på befintliga byggnader som ansöker om kommunalt arbetstillstånd senare än nio månader efter att denna bestämmelse träder i kraft.</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Första slutbestämmelsen. </w:t>
      </w:r>
      <w:r>
        <w:rPr>
          <w:rFonts w:ascii="Calibri" w:hAnsi="Calibri"/>
          <w:i/>
          <w:sz w:val="22"/>
        </w:rPr>
        <w:t>Ändring av kungligt dekret 1053/2014 av den 12 december om godkännande av en ny kompletterande teknisk instruktion (ITC) BT 52 ”Speciella installationer. Infrastruktur för laddning av elfordon”, i de elektrotekniska föreskrifterna för lågspänning, godkända genom kungligt dekret 842/2002 av den 2 augusti, och andra kompletterande tekniska anvisningar ändras.</w:t>
      </w:r>
    </w:p>
    <w:p w14:paraId="01AAD1DA"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Kungligt dekret 1053/2014 av den 12 december om godkännande av en ny kompletterande teknisk instruktion (ITC) BT 52 ”Speciella installationer. Infrastruktur för laddning av elfordon”, i den elektrotekniska föreskriften för lågspänning, godkänd genom kungligt dekret 842/2002 av den 2 augusti, och andra kompletterande tekniska anvisningar ändras på följande sätt: </w:t>
      </w:r>
    </w:p>
    <w:p w14:paraId="1141399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Ett. Den första tilläggsbestämmelsen ändras och ska ha följande lydelse:</w:t>
      </w:r>
    </w:p>
    <w:p w14:paraId="0E4C1654"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”Första tilläggsbestämmelsen. Minimikonstruktioner för laddning av elfordon på parkeringsplatser som inte är avsedda för byggnader, nybyggda eller som genomgår större renoveringar, och på allmänna vägar.</w:t>
      </w:r>
    </w:p>
    <w:p w14:paraId="18015A47"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1. På nybyggda parkeringsplatser eller de som genomgår större renoveringar som inte är belägna i eller gränsar till en byggnad, och därför inte omfattas av det grundläggande dokumentet om energisparande (DB HE) i de tekniska byggreglerna, ska minst en laddningsstation för varje 40 parkeringsplatser eller bråkdel därav installeras. En parkeringsplats anses vara nybyggd när byggprojektet läggs fram för behörig offentlig förvaltning för behandling efter det att detta kungliga dekret har trätt i kraft. </w:t>
      </w:r>
    </w:p>
    <w:p w14:paraId="06F10D65"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2. De installationer som är nödvändiga för att leverera laddningsstationer i de utrymmen för elfordon på allmänna vägar som föreskrivs i de </w:t>
      </w:r>
      <w:proofErr w:type="spellStart"/>
      <w:r>
        <w:rPr>
          <w:rFonts w:ascii="Calibri" w:hAnsi="Calibri"/>
          <w:sz w:val="22"/>
        </w:rPr>
        <w:t>över-kommunala</w:t>
      </w:r>
      <w:proofErr w:type="spellEnd"/>
      <w:r>
        <w:rPr>
          <w:rFonts w:ascii="Calibri" w:hAnsi="Calibri"/>
          <w:sz w:val="22"/>
        </w:rPr>
        <w:t xml:space="preserve"> eller kommunala planerna för hållbar rörlighet ska garanteras.”</w:t>
      </w:r>
    </w:p>
    <w:p w14:paraId="689B86A0"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Två. Avsnitt 3.2 i INSTRUCCIÓN TÉCNICA COMPLEMENTARIA (ITC) BT-52 ska ändras på följande sätt:</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”3.2 Installation i parkeringar eller kollektiva parkeringsplatser som gränsar till byggnader eller byggnadskomplex.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 xml:space="preserve">Elinstallationer för laddning av </w:t>
      </w:r>
      <w:r>
        <w:rPr>
          <w:rFonts w:ascii="Calibri" w:hAnsi="Calibri"/>
          <w:color w:val="000000"/>
          <w:sz w:val="22"/>
        </w:rPr>
        <w:t>elfordon</w:t>
      </w:r>
      <w:r>
        <w:rPr>
          <w:rFonts w:ascii="Calibri" w:hAnsi="Calibri"/>
          <w:sz w:val="22"/>
        </w:rPr>
        <w:t xml:space="preserve"> belägna på parkeringsplatser eller parkeringsplatser inne i eller anslutna till byggnader eller bostäder ska följa något av de system som beskrivs ovan.</w:t>
      </w:r>
      <w:r>
        <w:rPr>
          <w:rFonts w:ascii="Calibri" w:hAnsi="Calibri"/>
          <w:color w:val="000000"/>
          <w:sz w:val="22"/>
        </w:rPr>
        <w:t xml:space="preserve"> </w:t>
      </w:r>
      <w:r>
        <w:rPr>
          <w:rFonts w:ascii="Calibri" w:hAnsi="Calibri"/>
          <w:sz w:val="22"/>
        </w:rPr>
        <w:t>Olika system får användas i samma byggnad under förutsättning att alla krav i denna (ITC) BT-52 är uppfyllda.</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I system 4a ska laddningskretsen följa de installationsvillkor som beskrivs i (ITC) BT-15, med hjälp av kablar och ledningssystem av samma typ och egenskaper som för en enskild </w:t>
      </w:r>
      <w:proofErr w:type="spellStart"/>
      <w:r>
        <w:rPr>
          <w:rFonts w:ascii="Calibri" w:hAnsi="Calibri"/>
          <w:sz w:val="22"/>
        </w:rPr>
        <w:t>förbikoppling</w:t>
      </w:r>
      <w:proofErr w:type="spellEnd"/>
      <w:r>
        <w:rPr>
          <w:rFonts w:ascii="Calibri" w:hAnsi="Calibri"/>
          <w:sz w:val="22"/>
        </w:rPr>
        <w:t>, och kabelavsnittet ska beräknas i enlighet med de allmänna kraven i avsnitt 5 i denna ITC. Det är inte nödvändigt att förutse en utvidgning av kabelsektionen för att bestämma diametern eller tvärmåtten hos det ledningssystem som ska användas.</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System 4b ska användas när leveransen av laddningsstationerna är konstruerad som en integrerad del eller utvidgning till den elektriska anläggning som betjänar garagets allmänna tjänster.</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Både i befintliga anläggningar och i nya anläggningar, och för att underlätta användningen av det valda elsystemet, får boenden med allmänna skydd och andra anordningar för laddning av elfordon placeras i de utrymmen som är avsedda för detta ändamål eller i gemensamma utrymmen.</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Elektrisk förinstallation för laddning av elfordon på parkeringsplatser som ligger i eller gränsar till byggnader eller byggnadskomplex ska underlätta den efterföljande användningen av något av de möjliga installationssystemen. Detta ska omfatta följande: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a) Installation av kabelledningssystem från centraliseringen av mätare och av huvudvägarna i parkeringarna för att senare kunna driva de laddningsstationer som kan placeras på de enskilda parkeringsplatserna eller parkeringarna. Om förinstallationen planeras för 100 % av utrymmena ska kabelledningssystemen nå vart och ett av utrymmena. Om förinstallationen inte planeras för 100 % av utrymmena ska de utrymmen som anses uppfylla kraven i bestämmelserna om kabelledningssystem definieras och dessa system ska nå vart och ett av dessa utrymmen.</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 Centraliseringen av mätare ska vara dimensionerad enligt det elektriska system som valts för laddning av elfordonet och som anges i (ITC) BT-16. Backupmoduler ska installeras i minst 20 % av de garageutrymmen som inte är kopplade till en bostad och även om alla utrymmen är kopplade till bostäder ska minst en reservmodul installeras. Dessa reservmoduler ska ha kapacitet att hysa huvudmätaren och de överströmsskydd som är kopplade till mätaren, antingen med säkringar eller strömbrytare.</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Uttagen eller anslutningsdonen som är installerade i laddningsstationen och dess automatiska skyddsbrytare ska uppfylla ett av de alternativ som anges i avsnitt 5.4.”</w:t>
      </w:r>
    </w:p>
    <w:p w14:paraId="7F6774A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Tre. Första underparagrafen i avsnitt 5.4 i YTTERLIGARE TEKNISK INSTRUKTION (ITC) BT-52 ska ändras på följande sätt:</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«5.4 Anslutningspunkt. </w:t>
      </w:r>
      <w:bookmarkStart w:id="26" w:name="_Hlk81468651"/>
      <w:r>
        <w:rPr>
          <w:rFonts w:ascii="Calibri" w:hAnsi="Calibri"/>
          <w:sz w:val="22"/>
        </w:rPr>
        <w:t xml:space="preserve">Anslutningspunkten ska placeras intill den ruta som ska levereras och ska installeras permanent i en inneslutning. </w:t>
      </w:r>
    </w:p>
    <w:bookmarkEnd w:id="26"/>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Den minsta installationshöjden för uttag och anslutningsdon ska vara 60 cm över marknivån. </w:t>
      </w:r>
      <w:bookmarkStart w:id="27" w:name="_Hlk81468224"/>
      <w:r>
        <w:rPr>
          <w:rFonts w:ascii="Calibri" w:hAnsi="Calibri"/>
          <w:sz w:val="22"/>
        </w:rPr>
        <w:t xml:space="preserve">Om </w:t>
      </w:r>
      <w:proofErr w:type="spellStart"/>
      <w:r>
        <w:rPr>
          <w:rFonts w:ascii="Calibri" w:hAnsi="Calibri"/>
          <w:sz w:val="22"/>
        </w:rPr>
        <w:t>laddstationen</w:t>
      </w:r>
      <w:proofErr w:type="spellEnd"/>
      <w:r>
        <w:rPr>
          <w:rFonts w:ascii="Calibri" w:hAnsi="Calibri"/>
          <w:sz w:val="22"/>
        </w:rPr>
        <w:t xml:space="preserve"> är avsedd för allmänt bruk ska den högsta höjden vara 120 cm. I tillgängliga parkeringsplatser ska uttag och anslutningsdon ha en kromatisk kontrast till omgivningen, vara placerade på en höjd av 80–120 cm och avståndet till hörnkorsningarna ska vara minst 35 cm.”</w:t>
      </w:r>
      <w:bookmarkEnd w:id="27"/>
    </w:p>
    <w:p w14:paraId="504223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Andra slutbestämmelsen. </w:t>
      </w:r>
      <w:r>
        <w:rPr>
          <w:rFonts w:ascii="Calibri" w:hAnsi="Calibri"/>
          <w:i/>
          <w:sz w:val="22"/>
        </w:rPr>
        <w:t>Införlivande av EU-lagstiftningen.</w:t>
      </w:r>
    </w:p>
    <w:p w14:paraId="144ADEB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Genom detta kungliga dekret införlivas i spansk rätt artiklarna 8.2, 8.4, 8.5 och 8.6 i Europaparlamentets och rådets direktiv 2010/31/EU om byggnaders energiprestanda i dess ändrade lydelse enligt Europaparlamentets och rådets direktiv (EU) 2018/844 av den 30 maj 2018 om ändring av direktiv 2010/31/EU</w:t>
      </w:r>
      <w:r>
        <w:t xml:space="preserve"> </w:t>
      </w:r>
      <w:bookmarkStart w:id="28" w:name="_Hlk92814279"/>
      <w:r>
        <w:rPr>
          <w:rFonts w:ascii="Calibri" w:hAnsi="Calibri"/>
          <w:sz w:val="22"/>
        </w:rPr>
        <w:t>om byggnaders energiprestanda</w:t>
      </w:r>
      <w:bookmarkEnd w:id="28"/>
      <w:r>
        <w:t xml:space="preserve"> </w:t>
      </w:r>
      <w:r>
        <w:rPr>
          <w:rFonts w:ascii="Calibri" w:hAnsi="Calibri"/>
          <w:sz w:val="22"/>
        </w:rPr>
        <w:t>och direktiv 2012/27/EU om energieffektivitet.</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lastRenderedPageBreak/>
        <w:t xml:space="preserve">Tredje slutbestämmelsen. </w:t>
      </w:r>
      <w:r>
        <w:rPr>
          <w:rFonts w:ascii="Calibri" w:hAnsi="Calibri"/>
          <w:i/>
          <w:sz w:val="22"/>
        </w:rPr>
        <w:t>Ikraftträdande.</w:t>
      </w:r>
    </w:p>
    <w:p w14:paraId="244EE74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Detta kungliga dekret träder i kraft samma dag som det offentliggörs i den officiella statstidningen.</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05F2435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SKA LÄGGAS FRAM FÖR MINISTERRÅDET</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Madrid den            2022</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MINISTER FÖR TRANSPORT, RÖRLIGHET OCH STADSPLANERING</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roofErr w:type="spellStart"/>
            <w:r>
              <w:rPr>
                <w:rFonts w:asciiTheme="minorHAnsi" w:hAnsiTheme="minorHAnsi"/>
                <w:sz w:val="22"/>
              </w:rPr>
              <w:t>Raquel</w:t>
            </w:r>
            <w:proofErr w:type="spellEnd"/>
            <w:r>
              <w:rPr>
                <w:rFonts w:asciiTheme="minorHAnsi" w:hAnsiTheme="minorHAnsi"/>
                <w:sz w:val="22"/>
              </w:rPr>
              <w:t xml:space="preserve"> </w:t>
            </w:r>
            <w:proofErr w:type="spellStart"/>
            <w:r>
              <w:rPr>
                <w:rFonts w:asciiTheme="minorHAnsi" w:hAnsiTheme="minorHAnsi"/>
                <w:sz w:val="22"/>
              </w:rPr>
              <w:t>Sánchez</w:t>
            </w:r>
            <w:proofErr w:type="spellEnd"/>
            <w:r>
              <w:rPr>
                <w:rFonts w:asciiTheme="minorHAnsi" w:hAnsiTheme="minorHAnsi"/>
                <w:sz w:val="22"/>
              </w:rPr>
              <w:t xml:space="preserve"> Jiménez</w:t>
            </w:r>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TREDJE VICE PREMIÄRMINISTERN OCH MINISTER FÖR DEN EKOLOGISKA OMSTÄLLNINGEN OCH DEN DEMOGRAFISKA UTMANINGEN</w:t>
            </w:r>
          </w:p>
          <w:p w14:paraId="2B70C78B"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A3F7D7"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4D67AC80"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1D518996"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5C180639"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 xml:space="preserve">Teresa </w:t>
            </w:r>
            <w:proofErr w:type="spellStart"/>
            <w:r>
              <w:rPr>
                <w:rFonts w:asciiTheme="minorHAnsi" w:hAnsiTheme="minorHAnsi"/>
                <w:sz w:val="22"/>
              </w:rPr>
              <w:t>Ribera</w:t>
            </w:r>
            <w:proofErr w:type="spellEnd"/>
            <w:r>
              <w:rPr>
                <w:rFonts w:asciiTheme="minorHAnsi" w:hAnsiTheme="minorHAnsi"/>
                <w:sz w:val="22"/>
              </w:rPr>
              <w:t xml:space="preserve"> Rodríguez</w:t>
            </w:r>
          </w:p>
        </w:tc>
      </w:tr>
    </w:tbl>
    <w:p w14:paraId="15FD4F1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BF085" w14:textId="77777777" w:rsidR="00E3519B" w:rsidRDefault="00E3519B">
      <w:r>
        <w:separator/>
      </w:r>
    </w:p>
  </w:endnote>
  <w:endnote w:type="continuationSeparator" w:id="0">
    <w:p w14:paraId="199DD27B" w14:textId="77777777" w:rsidR="00E3519B" w:rsidRDefault="00E3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altName w:val="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ADC" w14:textId="77777777"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A43C3" w14:textId="77777777" w:rsidR="00C93CCC" w:rsidRDefault="00C93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7FA" w14:textId="7ED610BC"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417">
      <w:rPr>
        <w:rStyle w:val="PageNumber"/>
      </w:rPr>
      <w:t>2</w:t>
    </w:r>
    <w:r>
      <w:rPr>
        <w:rStyle w:val="PageNumber"/>
      </w:rPr>
      <w:fldChar w:fldCharType="end"/>
    </w:r>
  </w:p>
  <w:p w14:paraId="7719E668" w14:textId="77777777" w:rsidR="00C93CCC" w:rsidRDefault="00C93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315A" w14:textId="77777777" w:rsidR="00E3519B" w:rsidRDefault="00E3519B">
      <w:r>
        <w:separator/>
      </w:r>
    </w:p>
  </w:footnote>
  <w:footnote w:type="continuationSeparator" w:id="0">
    <w:p w14:paraId="4D20963F" w14:textId="77777777" w:rsidR="00E3519B" w:rsidRDefault="00E3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Header"/>
            <w:tabs>
              <w:tab w:val="clear" w:pos="4252"/>
              <w:tab w:val="clear" w:pos="8504"/>
            </w:tabs>
          </w:pPr>
        </w:p>
      </w:tc>
      <w:tc>
        <w:tcPr>
          <w:tcW w:w="7726" w:type="dxa"/>
        </w:tcPr>
        <w:p w14:paraId="0DBFE409" w14:textId="77777777" w:rsidR="00C93CCC" w:rsidRDefault="00C93CCC">
          <w:pPr>
            <w:pStyle w:val="Header"/>
            <w:tabs>
              <w:tab w:val="clear" w:pos="4252"/>
              <w:tab w:val="left" w:pos="2127"/>
              <w:tab w:val="left" w:pos="6521"/>
            </w:tabs>
          </w:pPr>
        </w:p>
      </w:tc>
      <w:bookmarkStart w:id="29" w:name="_MON_1030527131"/>
      <w:bookmarkEnd w:id="29"/>
      <w:tc>
        <w:tcPr>
          <w:tcW w:w="1843" w:type="dxa"/>
        </w:tcPr>
        <w:p w14:paraId="159BECBD" w14:textId="77777777" w:rsidR="00C93CCC" w:rsidRDefault="00C93CCC">
          <w:pPr>
            <w:pStyle w:val="Header"/>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4.35pt" fillcolor="window">
                <v:imagedata r:id="rId1" o:title=""/>
              </v:shape>
              <o:OLEObject Type="Embed" ProgID="Word.Picture.8" ShapeID="_x0000_i1025" DrawAspect="Content" ObjectID="_1724480839" r:id="rId2"/>
            </w:object>
          </w:r>
        </w:p>
      </w:tc>
    </w:tr>
  </w:tbl>
  <w:p w14:paraId="37A83458" w14:textId="77777777" w:rsidR="00C93CCC" w:rsidRDefault="00C93CCC">
    <w:pPr>
      <w:pStyle w:val="Header"/>
    </w:pPr>
  </w:p>
  <w:p w14:paraId="4AECF7C6" w14:textId="6EDD15A4" w:rsidR="00C93CCC" w:rsidRDefault="00FD453F">
    <w:pPr>
      <w:pStyle w:val="Header"/>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77" w:type="dxa"/>
      <w:jc w:val="center"/>
      <w:tblLayout w:type="fixed"/>
      <w:tblCellMar>
        <w:left w:w="70" w:type="dxa"/>
        <w:right w:w="70" w:type="dxa"/>
      </w:tblCellMar>
      <w:tblLook w:val="0000" w:firstRow="0" w:lastRow="0" w:firstColumn="0" w:lastColumn="0" w:noHBand="0" w:noVBand="0"/>
    </w:tblPr>
    <w:tblGrid>
      <w:gridCol w:w="1357"/>
      <w:gridCol w:w="3728"/>
      <w:gridCol w:w="2020"/>
      <w:gridCol w:w="3772"/>
    </w:tblGrid>
    <w:tr w:rsidR="00546D77" w14:paraId="1E577442" w14:textId="77777777" w:rsidTr="00546D77">
      <w:trPr>
        <w:cantSplit/>
        <w:trHeight w:val="427"/>
        <w:jc w:val="center"/>
      </w:trPr>
      <w:tc>
        <w:tcPr>
          <w:tcW w:w="1357" w:type="dxa"/>
          <w:vMerge w:val="restart"/>
        </w:tcPr>
        <w:p w14:paraId="6CB9E49B" w14:textId="77777777" w:rsidR="00546D77" w:rsidRDefault="00546D77">
          <w:pPr>
            <w:pStyle w:val="Header"/>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95pt;height:59.45pt" fillcolor="window">
                <v:imagedata r:id="rId1" o:title=""/>
              </v:shape>
              <o:OLEObject Type="Embed" ProgID="Word.Picture.8" ShapeID="_x0000_i1026" DrawAspect="Content" ObjectID="_1724480840" r:id="rId2"/>
            </w:object>
          </w:r>
        </w:p>
      </w:tc>
      <w:tc>
        <w:tcPr>
          <w:tcW w:w="3728" w:type="dxa"/>
          <w:vMerge w:val="restart"/>
        </w:tcPr>
        <w:p w14:paraId="6198FA01" w14:textId="77777777" w:rsidR="00546D77" w:rsidRPr="008D3E08" w:rsidRDefault="00546D77">
          <w:pPr>
            <w:pStyle w:val="Header"/>
            <w:tabs>
              <w:tab w:val="clear" w:pos="4252"/>
              <w:tab w:val="left" w:pos="-819"/>
              <w:tab w:val="left" w:pos="6521"/>
            </w:tabs>
            <w:ind w:right="-7"/>
            <w:rPr>
              <w:sz w:val="22"/>
              <w:szCs w:val="22"/>
            </w:rPr>
          </w:pPr>
          <w:r>
            <w:rPr>
              <w:sz w:val="22"/>
            </w:rPr>
            <w:t xml:space="preserve">MINISTERIET </w:t>
          </w:r>
        </w:p>
        <w:p w14:paraId="72B91BEF" w14:textId="0FE9D540" w:rsidR="00546D77" w:rsidRPr="008D3E08" w:rsidRDefault="00546D77">
          <w:pPr>
            <w:pStyle w:val="Header"/>
            <w:tabs>
              <w:tab w:val="clear" w:pos="4252"/>
              <w:tab w:val="left" w:pos="-819"/>
              <w:tab w:val="left" w:pos="6521"/>
            </w:tabs>
            <w:ind w:right="-7"/>
            <w:rPr>
              <w:sz w:val="22"/>
              <w:szCs w:val="22"/>
            </w:rPr>
          </w:pPr>
          <w:r>
            <w:rPr>
              <w:sz w:val="22"/>
            </w:rPr>
            <w:t>FÖR TRANSPORT, RÖRLIGHET OCH STADSPLANERING</w:t>
          </w:r>
        </w:p>
        <w:p w14:paraId="17DC2EEB" w14:textId="77777777" w:rsidR="008D3E08" w:rsidRPr="008D3E08" w:rsidRDefault="008D3E08">
          <w:pPr>
            <w:pStyle w:val="Header"/>
            <w:tabs>
              <w:tab w:val="clear" w:pos="4252"/>
              <w:tab w:val="left" w:pos="-819"/>
              <w:tab w:val="left" w:pos="6521"/>
            </w:tabs>
            <w:ind w:right="-7"/>
            <w:rPr>
              <w:sz w:val="22"/>
              <w:szCs w:val="22"/>
            </w:rPr>
          </w:pPr>
        </w:p>
        <w:p w14:paraId="76421220" w14:textId="2838AE55" w:rsidR="008D3E08" w:rsidRDefault="008D3E08">
          <w:pPr>
            <w:pStyle w:val="Header"/>
            <w:tabs>
              <w:tab w:val="clear" w:pos="4252"/>
              <w:tab w:val="left" w:pos="-819"/>
              <w:tab w:val="left" w:pos="6521"/>
            </w:tabs>
            <w:ind w:right="-7"/>
            <w:rPr>
              <w:rFonts w:ascii="Gill Sans MT" w:hAnsi="Gill Sans MT"/>
              <w:sz w:val="16"/>
            </w:rPr>
          </w:pPr>
          <w:r>
            <w:rPr>
              <w:sz w:val="22"/>
            </w:rPr>
            <w:t>MINISTERIET FÖR EKOLOGISK OMSTÄLLNING OCH FÖR DEN DEMOGRAFISKA UTMANINGEN</w:t>
          </w:r>
        </w:p>
      </w:tc>
      <w:tc>
        <w:tcPr>
          <w:tcW w:w="2020" w:type="dxa"/>
          <w:vMerge w:val="restart"/>
        </w:tcPr>
        <w:p w14:paraId="5FBE566D"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40676BB" w14:textId="77777777" w:rsidR="00546D77" w:rsidRDefault="00546D77">
          <w:pPr>
            <w:pStyle w:val="Header"/>
            <w:tabs>
              <w:tab w:val="clear" w:pos="4252"/>
              <w:tab w:val="left" w:pos="6521"/>
            </w:tabs>
            <w:spacing w:before="100"/>
          </w:pPr>
        </w:p>
        <w:p w14:paraId="2705A353" w14:textId="77777777" w:rsidR="00546D77" w:rsidRDefault="00546D77">
          <w:pPr>
            <w:pStyle w:val="Header"/>
            <w:tabs>
              <w:tab w:val="clear" w:pos="4252"/>
              <w:tab w:val="left" w:pos="6521"/>
            </w:tabs>
            <w:spacing w:before="100"/>
          </w:pPr>
        </w:p>
      </w:tc>
    </w:tr>
    <w:tr w:rsidR="00546D77" w14:paraId="4DD47A0F" w14:textId="77777777" w:rsidTr="00546D77">
      <w:trPr>
        <w:cantSplit/>
        <w:trHeight w:hRule="exact" w:val="100"/>
        <w:jc w:val="center"/>
      </w:trPr>
      <w:tc>
        <w:tcPr>
          <w:tcW w:w="1357" w:type="dxa"/>
          <w:vMerge/>
        </w:tcPr>
        <w:p w14:paraId="1C13B7EF" w14:textId="77777777" w:rsidR="00546D77" w:rsidRDefault="00546D77">
          <w:pPr>
            <w:pStyle w:val="Header"/>
            <w:tabs>
              <w:tab w:val="clear" w:pos="4252"/>
              <w:tab w:val="clear" w:pos="8504"/>
            </w:tabs>
            <w:ind w:left="-41" w:right="1176"/>
          </w:pPr>
        </w:p>
      </w:tc>
      <w:tc>
        <w:tcPr>
          <w:tcW w:w="3728" w:type="dxa"/>
          <w:vMerge/>
        </w:tcPr>
        <w:p w14:paraId="3B8408E4"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5355EE17"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29BCB56" w14:textId="77777777" w:rsidR="00546D77" w:rsidRDefault="00546D77">
          <w:pPr>
            <w:pStyle w:val="Header"/>
            <w:tabs>
              <w:tab w:val="clear" w:pos="4252"/>
              <w:tab w:val="left" w:pos="6521"/>
            </w:tabs>
            <w:ind w:right="782"/>
            <w:rPr>
              <w:rFonts w:ascii="Gill Sans MT" w:hAnsi="Gill Sans MT"/>
              <w:sz w:val="14"/>
            </w:rPr>
          </w:pPr>
        </w:p>
      </w:tc>
    </w:tr>
    <w:tr w:rsidR="00546D77" w14:paraId="5B3C05C1" w14:textId="77777777" w:rsidTr="00546D77">
      <w:trPr>
        <w:cantSplit/>
        <w:trHeight w:hRule="exact" w:val="427"/>
        <w:jc w:val="center"/>
      </w:trPr>
      <w:tc>
        <w:tcPr>
          <w:tcW w:w="1357" w:type="dxa"/>
          <w:vMerge/>
        </w:tcPr>
        <w:p w14:paraId="6B5B66CA" w14:textId="77777777" w:rsidR="00546D77" w:rsidRDefault="00546D77">
          <w:pPr>
            <w:pStyle w:val="Header"/>
            <w:tabs>
              <w:tab w:val="clear" w:pos="4252"/>
              <w:tab w:val="clear" w:pos="8504"/>
            </w:tabs>
            <w:ind w:left="-41" w:right="1176"/>
          </w:pPr>
        </w:p>
      </w:tc>
      <w:tc>
        <w:tcPr>
          <w:tcW w:w="3728" w:type="dxa"/>
          <w:vMerge/>
        </w:tcPr>
        <w:p w14:paraId="2C834F51"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869AAF"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Header"/>
            <w:tabs>
              <w:tab w:val="clear" w:pos="4252"/>
              <w:tab w:val="left" w:pos="6521"/>
            </w:tabs>
            <w:spacing w:before="100"/>
            <w:ind w:right="782"/>
          </w:pPr>
          <w:r>
            <w:rPr>
              <w:rFonts w:ascii="Gill Sans MT" w:hAnsi="Gill Sans MT"/>
              <w:sz w:val="14"/>
            </w:rPr>
            <w:t>REF.:</w:t>
          </w:r>
        </w:p>
      </w:tc>
    </w:tr>
    <w:tr w:rsidR="00546D77" w14:paraId="245FEC80" w14:textId="77777777" w:rsidTr="00546D77">
      <w:trPr>
        <w:cantSplit/>
        <w:trHeight w:hRule="exact" w:val="600"/>
        <w:jc w:val="center"/>
      </w:trPr>
      <w:tc>
        <w:tcPr>
          <w:tcW w:w="1357" w:type="dxa"/>
          <w:vMerge/>
        </w:tcPr>
        <w:p w14:paraId="28B5929C" w14:textId="77777777" w:rsidR="00546D77" w:rsidRDefault="00546D77">
          <w:pPr>
            <w:pStyle w:val="Header"/>
            <w:tabs>
              <w:tab w:val="clear" w:pos="4252"/>
              <w:tab w:val="clear" w:pos="8504"/>
            </w:tabs>
            <w:ind w:left="-41" w:right="1176"/>
          </w:pPr>
        </w:p>
      </w:tc>
      <w:tc>
        <w:tcPr>
          <w:tcW w:w="3728" w:type="dxa"/>
          <w:vMerge/>
        </w:tcPr>
        <w:p w14:paraId="58C627D0"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F238CB"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Header"/>
            <w:tabs>
              <w:tab w:val="clear" w:pos="4252"/>
              <w:tab w:val="left" w:pos="6521"/>
            </w:tabs>
            <w:spacing w:before="100"/>
            <w:ind w:right="782"/>
          </w:pPr>
          <w:r>
            <w:rPr>
              <w:rFonts w:ascii="Gill Sans MT" w:hAnsi="Gill Sans MT"/>
              <w:sz w:val="14"/>
            </w:rPr>
            <w:t>REF.C.M.:</w:t>
          </w:r>
        </w:p>
      </w:tc>
    </w:tr>
  </w:tbl>
  <w:p w14:paraId="0F00BC53" w14:textId="5A2A6B0E" w:rsidR="00C93CCC" w:rsidRDefault="00FD453F">
    <w:pPr>
      <w:pStyle w:val="Heade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806165444">
    <w:abstractNumId w:val="13"/>
  </w:num>
  <w:num w:numId="2" w16cid:durableId="640647079">
    <w:abstractNumId w:val="3"/>
  </w:num>
  <w:num w:numId="3" w16cid:durableId="776681883">
    <w:abstractNumId w:val="2"/>
  </w:num>
  <w:num w:numId="4" w16cid:durableId="295841785">
    <w:abstractNumId w:val="18"/>
  </w:num>
  <w:num w:numId="5" w16cid:durableId="838276280">
    <w:abstractNumId w:val="28"/>
  </w:num>
  <w:num w:numId="6" w16cid:durableId="571279413">
    <w:abstractNumId w:val="31"/>
  </w:num>
  <w:num w:numId="7" w16cid:durableId="782578975">
    <w:abstractNumId w:val="12"/>
  </w:num>
  <w:num w:numId="8" w16cid:durableId="1270163073">
    <w:abstractNumId w:val="12"/>
    <w:lvlOverride w:ilvl="0">
      <w:startOverride w:val="1"/>
    </w:lvlOverride>
  </w:num>
  <w:num w:numId="9" w16cid:durableId="158887420">
    <w:abstractNumId w:val="1"/>
  </w:num>
  <w:num w:numId="10" w16cid:durableId="1676878742">
    <w:abstractNumId w:val="29"/>
  </w:num>
  <w:num w:numId="11" w16cid:durableId="2055226268">
    <w:abstractNumId w:val="5"/>
  </w:num>
  <w:num w:numId="12" w16cid:durableId="1522432203">
    <w:abstractNumId w:val="20"/>
  </w:num>
  <w:num w:numId="13" w16cid:durableId="291982446">
    <w:abstractNumId w:val="19"/>
  </w:num>
  <w:num w:numId="14" w16cid:durableId="2104302648">
    <w:abstractNumId w:val="0"/>
  </w:num>
  <w:num w:numId="15" w16cid:durableId="594635587">
    <w:abstractNumId w:val="24"/>
  </w:num>
  <w:num w:numId="16" w16cid:durableId="649208695">
    <w:abstractNumId w:val="9"/>
  </w:num>
  <w:num w:numId="17" w16cid:durableId="1010789022">
    <w:abstractNumId w:val="11"/>
  </w:num>
  <w:num w:numId="18" w16cid:durableId="772552138">
    <w:abstractNumId w:val="14"/>
  </w:num>
  <w:num w:numId="19" w16cid:durableId="338392972">
    <w:abstractNumId w:val="16"/>
  </w:num>
  <w:num w:numId="20" w16cid:durableId="677078459">
    <w:abstractNumId w:val="22"/>
  </w:num>
  <w:num w:numId="21" w16cid:durableId="888809413">
    <w:abstractNumId w:val="15"/>
  </w:num>
  <w:num w:numId="22" w16cid:durableId="487944804">
    <w:abstractNumId w:val="10"/>
  </w:num>
  <w:num w:numId="23" w16cid:durableId="1331299523">
    <w:abstractNumId w:val="32"/>
  </w:num>
  <w:num w:numId="24" w16cid:durableId="262542336">
    <w:abstractNumId w:val="6"/>
  </w:num>
  <w:num w:numId="25" w16cid:durableId="669719516">
    <w:abstractNumId w:val="4"/>
  </w:num>
  <w:num w:numId="26" w16cid:durableId="809595804">
    <w:abstractNumId w:val="17"/>
  </w:num>
  <w:num w:numId="27" w16cid:durableId="940382160">
    <w:abstractNumId w:val="30"/>
  </w:num>
  <w:num w:numId="28" w16cid:durableId="644630731">
    <w:abstractNumId w:val="27"/>
  </w:num>
  <w:num w:numId="29" w16cid:durableId="43845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157183">
    <w:abstractNumId w:val="26"/>
  </w:num>
  <w:num w:numId="31" w16cid:durableId="681014506">
    <w:abstractNumId w:val="33"/>
  </w:num>
  <w:num w:numId="32" w16cid:durableId="82923998">
    <w:abstractNumId w:val="8"/>
  </w:num>
  <w:num w:numId="33" w16cid:durableId="609434477">
    <w:abstractNumId w:val="7"/>
  </w:num>
  <w:num w:numId="34" w16cid:durableId="1394111462">
    <w:abstractNumId w:val="23"/>
  </w:num>
  <w:num w:numId="35" w16cid:durableId="581530033">
    <w:abstractNumId w:val="25"/>
  </w:num>
  <w:num w:numId="36" w16cid:durableId="98462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370F1"/>
    <w:rsid w:val="000760AB"/>
    <w:rsid w:val="000C089F"/>
    <w:rsid w:val="001F7365"/>
    <w:rsid w:val="002B64A6"/>
    <w:rsid w:val="004D344F"/>
    <w:rsid w:val="00513973"/>
    <w:rsid w:val="00546D77"/>
    <w:rsid w:val="00717198"/>
    <w:rsid w:val="007C6042"/>
    <w:rsid w:val="008577E8"/>
    <w:rsid w:val="008D3E08"/>
    <w:rsid w:val="00991C0F"/>
    <w:rsid w:val="009B305A"/>
    <w:rsid w:val="009C59D6"/>
    <w:rsid w:val="00B00277"/>
    <w:rsid w:val="00B369EC"/>
    <w:rsid w:val="00BC3417"/>
    <w:rsid w:val="00C93CCC"/>
    <w:rsid w:val="00CE0018"/>
    <w:rsid w:val="00D60A1D"/>
    <w:rsid w:val="00E3519B"/>
    <w:rsid w:val="00E379B2"/>
    <w:rsid w:val="00E605F9"/>
    <w:rsid w:val="00EA33B6"/>
    <w:rsid w:val="00EB4797"/>
    <w:rsid w:val="00F00583"/>
    <w:rsid w:val="00F34379"/>
    <w:rsid w:val="00F43C1F"/>
    <w:rsid w:val="00F96586"/>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0AB"/>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Heading4">
    <w:name w:val="heading 4"/>
    <w:basedOn w:val="Normal"/>
    <w:next w:val="Normal"/>
    <w:link w:val="Heading4Ch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lockText">
    <w:name w:val="Block Text"/>
    <w:basedOn w:val="Normal"/>
    <w:pPr>
      <w:ind w:left="540" w:right="892"/>
      <w:jc w:val="both"/>
    </w:pPr>
    <w:rPr>
      <w:rFonts w:ascii="Arial" w:hAnsi="Arial"/>
      <w:sz w:val="28"/>
    </w:rPr>
  </w:style>
  <w:style w:type="paragraph" w:styleId="FootnoteText">
    <w:name w:val="footnote text"/>
    <w:basedOn w:val="Normal"/>
    <w:link w:val="FootnoteTextChar"/>
    <w:rsid w:val="008577E8"/>
    <w:rPr>
      <w:sz w:val="20"/>
      <w:szCs w:val="20"/>
    </w:rPr>
  </w:style>
  <w:style w:type="character" w:customStyle="1" w:styleId="FootnoteTextChar">
    <w:name w:val="Footnote Text Char"/>
    <w:link w:val="FootnoteText"/>
    <w:rsid w:val="008577E8"/>
    <w:rPr>
      <w:lang w:val="sv-SE"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Heading4Char">
    <w:name w:val="Heading 4 Char"/>
    <w:basedOn w:val="DefaultParagraphFont"/>
    <w:link w:val="Heading4"/>
    <w:uiPriority w:val="9"/>
    <w:rsid w:val="000760AB"/>
    <w:rPr>
      <w:rFonts w:ascii="Calibri" w:hAnsi="Calibri"/>
      <w:b/>
      <w:bCs/>
      <w:sz w:val="28"/>
      <w:szCs w:val="28"/>
      <w:lang w:eastAsia="zh-CN"/>
    </w:rPr>
  </w:style>
  <w:style w:type="numbering" w:customStyle="1" w:styleId="Sinlista1">
    <w:name w:val="Sin lista1"/>
    <w:next w:val="NoList"/>
    <w:uiPriority w:val="99"/>
    <w:semiHidden/>
    <w:unhideWhenUsed/>
    <w:rsid w:val="000760AB"/>
  </w:style>
  <w:style w:type="character" w:customStyle="1" w:styleId="Heading1Char">
    <w:name w:val="Heading 1 Char"/>
    <w:link w:val="Heading1"/>
    <w:uiPriority w:val="9"/>
    <w:rsid w:val="000760AB"/>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ListParagraph"/>
    <w:uiPriority w:val="34"/>
    <w:qFormat/>
    <w:rsid w:val="00076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nhideWhenUsed/>
    <w:rsid w:val="000760AB"/>
    <w:rPr>
      <w:sz w:val="16"/>
      <w:szCs w:val="16"/>
    </w:rPr>
  </w:style>
  <w:style w:type="paragraph" w:customStyle="1" w:styleId="Textocomentario1">
    <w:name w:val="Texto comentario1"/>
    <w:basedOn w:val="Normal"/>
    <w:next w:val="CommentText"/>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BalloonText"/>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CommentText"/>
    <w:next w:val="CommentText"/>
    <w:uiPriority w:val="99"/>
    <w:semiHidden/>
    <w:unhideWhenUsed/>
    <w:rsid w:val="000760AB"/>
    <w:pPr>
      <w:spacing w:after="160"/>
    </w:pPr>
    <w:rPr>
      <w:rFonts w:ascii="Calibri" w:eastAsia="Calibri" w:hAnsi="Calibri"/>
      <w:b/>
      <w:bCs/>
      <w:lang w:eastAsia="en-US"/>
    </w:rPr>
  </w:style>
  <w:style w:type="character" w:customStyle="1" w:styleId="CommentSubjectChar">
    <w:name w:val="Comment Subject Char"/>
    <w:link w:val="CommentSubject"/>
    <w:uiPriority w:val="99"/>
    <w:semiHidden/>
    <w:rsid w:val="000760AB"/>
    <w:rPr>
      <w:b/>
      <w:bCs/>
      <w:sz w:val="20"/>
      <w:szCs w:val="20"/>
    </w:rPr>
  </w:style>
  <w:style w:type="character" w:customStyle="1" w:styleId="HeaderChar">
    <w:name w:val="Header Char"/>
    <w:basedOn w:val="DefaultParagraphFont"/>
    <w:link w:val="Header"/>
    <w:uiPriority w:val="99"/>
    <w:rsid w:val="000760AB"/>
    <w:rPr>
      <w:sz w:val="24"/>
      <w:szCs w:val="24"/>
    </w:rPr>
  </w:style>
  <w:style w:type="character" w:customStyle="1" w:styleId="FooterChar">
    <w:name w:val="Footer Char"/>
    <w:basedOn w:val="DefaultParagraphFont"/>
    <w:link w:val="Footer"/>
    <w:uiPriority w:val="99"/>
    <w:rsid w:val="000760AB"/>
    <w:rPr>
      <w:sz w:val="24"/>
      <w:szCs w:val="24"/>
    </w:rPr>
  </w:style>
  <w:style w:type="table" w:customStyle="1" w:styleId="Tablaconcuadrcula1">
    <w:name w:val="Tabla con cuadrícula1"/>
    <w:basedOn w:val="TableNormal"/>
    <w:next w:val="TableGrid"/>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DefaultParagraphFont"/>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BodyTextIndent2">
    <w:name w:val="Body Text Indent 2"/>
    <w:basedOn w:val="Normal"/>
    <w:link w:val="BodyTextIndent2Char"/>
    <w:uiPriority w:val="99"/>
    <w:unhideWhenUsed/>
    <w:rsid w:val="000760AB"/>
    <w:pPr>
      <w:suppressAutoHyphens/>
      <w:spacing w:after="120" w:line="480" w:lineRule="auto"/>
      <w:ind w:left="283"/>
    </w:pPr>
    <w:rPr>
      <w:sz w:val="20"/>
      <w:szCs w:val="20"/>
      <w:lang w:eastAsia="zh-CN"/>
    </w:rPr>
  </w:style>
  <w:style w:type="character" w:customStyle="1" w:styleId="BodyTextIndent2Char">
    <w:name w:val="Body Text Indent 2 Char"/>
    <w:basedOn w:val="DefaultParagraphFont"/>
    <w:link w:val="BodyTextIndent2"/>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BodyText"/>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DefaultParagraphFont"/>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rPr>
  </w:style>
  <w:style w:type="paragraph" w:customStyle="1" w:styleId="Ttulo1CTE">
    <w:name w:val="Título1CTE"/>
    <w:basedOn w:val="Heading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NoList"/>
    <w:rsid w:val="000760AB"/>
    <w:pPr>
      <w:numPr>
        <w:numId w:val="7"/>
      </w:numPr>
    </w:pPr>
  </w:style>
  <w:style w:type="paragraph" w:customStyle="1" w:styleId="Revisin1">
    <w:name w:val="Revisión1"/>
    <w:next w:val="Revisio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Heading2"/>
    <w:qFormat/>
    <w:rsid w:val="000760AB"/>
  </w:style>
  <w:style w:type="character" w:customStyle="1" w:styleId="Ninguno">
    <w:name w:val="Ninguno"/>
    <w:rsid w:val="000760AB"/>
  </w:style>
  <w:style w:type="character" w:customStyle="1" w:styleId="Ttulo1Car1">
    <w:name w:val="Título 1 Car1"/>
    <w:basedOn w:val="DefaultParagraphFont"/>
    <w:rsid w:val="000760AB"/>
    <w:rPr>
      <w:rFonts w:asciiTheme="majorHAnsi" w:eastAsiaTheme="majorEastAsia" w:hAnsiTheme="majorHAnsi" w:cstheme="majorBidi"/>
      <w:b/>
      <w:bCs/>
      <w:kern w:val="32"/>
      <w:sz w:val="32"/>
      <w:szCs w:val="32"/>
    </w:rPr>
  </w:style>
  <w:style w:type="character" w:customStyle="1" w:styleId="Ttulo2Car1">
    <w:name w:val="Título 2 Car1"/>
    <w:basedOn w:val="DefaultParagraphFont"/>
    <w:semiHidden/>
    <w:rsid w:val="000760A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760AB"/>
    <w:pPr>
      <w:ind w:left="708"/>
    </w:pPr>
  </w:style>
  <w:style w:type="paragraph" w:styleId="CommentText">
    <w:name w:val="annotation text"/>
    <w:basedOn w:val="Normal"/>
    <w:link w:val="CommentTextChar"/>
    <w:rsid w:val="000760AB"/>
    <w:rPr>
      <w:sz w:val="20"/>
      <w:szCs w:val="20"/>
    </w:rPr>
  </w:style>
  <w:style w:type="character" w:customStyle="1" w:styleId="CommentTextChar">
    <w:name w:val="Comment Text Char"/>
    <w:basedOn w:val="DefaultParagraphFont"/>
    <w:link w:val="CommentText"/>
    <w:rsid w:val="000760AB"/>
  </w:style>
  <w:style w:type="paragraph" w:styleId="BalloonText">
    <w:name w:val="Balloon Text"/>
    <w:basedOn w:val="Normal"/>
    <w:link w:val="BalloonTextChar"/>
    <w:semiHidden/>
    <w:unhideWhenUsed/>
    <w:rsid w:val="000760AB"/>
    <w:rPr>
      <w:rFonts w:ascii="Segoe UI" w:hAnsi="Segoe UI" w:cs="Segoe UI"/>
      <w:sz w:val="18"/>
      <w:szCs w:val="18"/>
    </w:rPr>
  </w:style>
  <w:style w:type="character" w:customStyle="1" w:styleId="BalloonTextChar">
    <w:name w:val="Balloon Text Char"/>
    <w:basedOn w:val="DefaultParagraphFont"/>
    <w:link w:val="BalloonText"/>
    <w:semiHidden/>
    <w:rsid w:val="00076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60AB"/>
    <w:rPr>
      <w:b/>
      <w:bCs/>
    </w:rPr>
  </w:style>
  <w:style w:type="character" w:customStyle="1" w:styleId="AsuntodelcomentarioCar1">
    <w:name w:val="Asunto del comentario Car1"/>
    <w:basedOn w:val="CommentTextChar"/>
    <w:semiHidden/>
    <w:rsid w:val="000760AB"/>
    <w:rPr>
      <w:b/>
      <w:bCs/>
    </w:rPr>
  </w:style>
  <w:style w:type="table" w:styleId="TableGrid">
    <w:name w:val="Table Grid"/>
    <w:basedOn w:val="Table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60AB"/>
    <w:pPr>
      <w:spacing w:after="120"/>
    </w:pPr>
  </w:style>
  <w:style w:type="character" w:customStyle="1" w:styleId="BodyTextChar">
    <w:name w:val="Body Text Char"/>
    <w:basedOn w:val="DefaultParagraphFont"/>
    <w:link w:val="BodyText"/>
    <w:rsid w:val="000760AB"/>
    <w:rPr>
      <w:sz w:val="24"/>
      <w:szCs w:val="24"/>
    </w:rPr>
  </w:style>
  <w:style w:type="paragraph" w:styleId="Revisio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Template>
  <TotalTime>1</TotalTime>
  <Pages>16</Pages>
  <Words>6837</Words>
  <Characters>41164</Characters>
  <Application>Microsoft Office Word</Application>
  <DocSecurity>0</DocSecurity>
  <Lines>596</Lines>
  <Paragraphs>285</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47716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class='Internal'</cp:keywords>
  <dc:description/>
  <cp:lastModifiedBy>Ines Varvodic</cp:lastModifiedBy>
  <cp:revision>2</cp:revision>
  <cp:lastPrinted>2002-07-26T08:33:00Z</cp:lastPrinted>
  <dcterms:created xsi:type="dcterms:W3CDTF">2022-09-12T07:41:00Z</dcterms:created>
  <dcterms:modified xsi:type="dcterms:W3CDTF">2022-09-12T07:41:00Z</dcterms:modified>
</cp:coreProperties>
</file>