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3"/>
        <w:gridCol w:w="14"/>
      </w:tblGrid>
      <w:tr w:rsidR="006A01C1" w:rsidRPr="00B75A8A" w14:paraId="021E6F6D" w14:textId="77777777" w:rsidTr="006A01C1">
        <w:trPr>
          <w:gridAfter w:val="1"/>
          <w:wAfter w:w="14" w:type="dxa"/>
          <w:trHeight w:val="151"/>
          <w:jc w:val="center"/>
        </w:trPr>
        <w:tc>
          <w:tcPr>
            <w:tcW w:w="9053" w:type="dxa"/>
          </w:tcPr>
          <w:p w14:paraId="4E287BB3" w14:textId="77777777" w:rsidR="006A01C1" w:rsidRPr="00B75A8A" w:rsidRDefault="006A01C1" w:rsidP="00BA3E3D">
            <w:pPr>
              <w:pStyle w:val="Heading3"/>
              <w:jc w:val="center"/>
              <w:rPr>
                <w:rFonts w:asciiTheme="minorHAnsi" w:hAnsiTheme="minorHAnsi" w:cstheme="minorHAnsi"/>
                <w:sz w:val="22"/>
                <w:szCs w:val="22"/>
              </w:rPr>
            </w:pPr>
            <w:r>
              <w:rPr>
                <w:rFonts w:asciiTheme="minorHAnsi" w:hAnsiTheme="minorHAnsi"/>
                <w:sz w:val="22"/>
              </w:rPr>
              <w:t>ΒΑΣΙΛΕΙΟ ΤΟΥ ΒΕΛΓΙΟΥ</w:t>
            </w:r>
          </w:p>
        </w:tc>
      </w:tr>
      <w:tr w:rsidR="006A01C1" w:rsidRPr="00B75A8A" w14:paraId="37E989A5" w14:textId="77777777" w:rsidTr="006A01C1">
        <w:trPr>
          <w:gridAfter w:val="1"/>
          <w:wAfter w:w="14" w:type="dxa"/>
          <w:jc w:val="center"/>
        </w:trPr>
        <w:tc>
          <w:tcPr>
            <w:tcW w:w="9053" w:type="dxa"/>
          </w:tcPr>
          <w:p w14:paraId="64A56390" w14:textId="77777777" w:rsidR="006A01C1" w:rsidRPr="00B75A8A" w:rsidRDefault="006A01C1" w:rsidP="00BA3E3D">
            <w:pPr>
              <w:tabs>
                <w:tab w:val="left" w:pos="2268"/>
              </w:tabs>
              <w:jc w:val="center"/>
              <w:rPr>
                <w:rFonts w:asciiTheme="minorHAnsi" w:hAnsiTheme="minorHAnsi" w:cstheme="minorHAnsi"/>
                <w:sz w:val="22"/>
                <w:szCs w:val="22"/>
              </w:rPr>
            </w:pPr>
            <w:r>
              <w:rPr>
                <w:rFonts w:asciiTheme="minorHAnsi" w:hAnsiTheme="minorHAnsi"/>
                <w:sz w:val="22"/>
              </w:rPr>
              <w:t>_________</w:t>
            </w:r>
          </w:p>
        </w:tc>
      </w:tr>
      <w:tr w:rsidR="006A01C1" w:rsidRPr="00B75A8A" w14:paraId="1241AC8C" w14:textId="77777777" w:rsidTr="006A01C1">
        <w:trPr>
          <w:gridAfter w:val="1"/>
          <w:wAfter w:w="14" w:type="dxa"/>
          <w:jc w:val="center"/>
        </w:trPr>
        <w:tc>
          <w:tcPr>
            <w:tcW w:w="9053" w:type="dxa"/>
          </w:tcPr>
          <w:p w14:paraId="155252DD" w14:textId="77777777" w:rsidR="006A01C1" w:rsidRPr="00B75A8A" w:rsidRDefault="006A01C1" w:rsidP="00BA3E3D">
            <w:pPr>
              <w:tabs>
                <w:tab w:val="left" w:pos="2268"/>
              </w:tabs>
              <w:jc w:val="center"/>
              <w:rPr>
                <w:rFonts w:asciiTheme="minorHAnsi" w:hAnsiTheme="minorHAnsi" w:cstheme="minorHAnsi"/>
                <w:sz w:val="22"/>
                <w:szCs w:val="22"/>
                <w:lang w:val="fr-BE"/>
              </w:rPr>
            </w:pPr>
          </w:p>
        </w:tc>
      </w:tr>
      <w:tr w:rsidR="006A01C1" w:rsidRPr="00B75A8A" w14:paraId="1E70777D" w14:textId="77777777" w:rsidTr="006A01C1">
        <w:trPr>
          <w:gridAfter w:val="1"/>
          <w:wAfter w:w="14" w:type="dxa"/>
          <w:jc w:val="center"/>
        </w:trPr>
        <w:tc>
          <w:tcPr>
            <w:tcW w:w="9053" w:type="dxa"/>
          </w:tcPr>
          <w:p w14:paraId="7C853C8A" w14:textId="77777777" w:rsidR="006A01C1" w:rsidRPr="00B75A8A" w:rsidRDefault="006A01C1" w:rsidP="00BA3E3D">
            <w:pPr>
              <w:tabs>
                <w:tab w:val="left" w:pos="2268"/>
              </w:tabs>
              <w:jc w:val="center"/>
              <w:rPr>
                <w:rFonts w:asciiTheme="minorHAnsi" w:hAnsiTheme="minorHAnsi" w:cstheme="minorHAnsi"/>
                <w:b/>
                <w:bCs/>
                <w:sz w:val="22"/>
                <w:szCs w:val="22"/>
              </w:rPr>
            </w:pPr>
            <w:r>
              <w:rPr>
                <w:rFonts w:asciiTheme="minorHAnsi" w:hAnsiTheme="minorHAnsi"/>
                <w:b/>
                <w:sz w:val="22"/>
              </w:rPr>
              <w:t xml:space="preserve">ΟΜΟΣΠΟΝΔΙΑΚΗ ΔΗΜΟΣΙΑ ΥΠΗΡΕΣΙΑ ΥΓΕΙΑΣ, ΤΡΟΦΙΚΗΣ ΑΛΥΣΙΔΑΣ ΚΑΙ ΠΕΡΙΒΑΛΛΟΝΤΟΣ </w:t>
            </w:r>
          </w:p>
        </w:tc>
      </w:tr>
      <w:tr w:rsidR="006A01C1" w:rsidRPr="00B75A8A" w14:paraId="5C2F406C" w14:textId="77777777" w:rsidTr="006A01C1">
        <w:trPr>
          <w:gridAfter w:val="1"/>
          <w:wAfter w:w="14" w:type="dxa"/>
          <w:jc w:val="center"/>
        </w:trPr>
        <w:tc>
          <w:tcPr>
            <w:tcW w:w="9053" w:type="dxa"/>
          </w:tcPr>
          <w:p w14:paraId="5BA4CBE7" w14:textId="77777777" w:rsidR="006A01C1" w:rsidRPr="00B75A8A" w:rsidRDefault="006A01C1" w:rsidP="00BA3E3D">
            <w:pPr>
              <w:tabs>
                <w:tab w:val="left" w:pos="2268"/>
              </w:tabs>
              <w:jc w:val="center"/>
              <w:rPr>
                <w:rFonts w:asciiTheme="minorHAnsi" w:hAnsiTheme="minorHAnsi" w:cstheme="minorHAnsi"/>
                <w:sz w:val="22"/>
                <w:szCs w:val="22"/>
              </w:rPr>
            </w:pPr>
            <w:r>
              <w:rPr>
                <w:rFonts w:asciiTheme="minorHAnsi" w:hAnsiTheme="minorHAnsi"/>
                <w:sz w:val="22"/>
              </w:rPr>
              <w:t>________________________</w:t>
            </w:r>
          </w:p>
        </w:tc>
      </w:tr>
      <w:tr w:rsidR="006A01C1" w:rsidRPr="00B75A8A" w14:paraId="488D2117" w14:textId="77777777" w:rsidTr="006A01C1">
        <w:trPr>
          <w:gridAfter w:val="1"/>
          <w:wAfter w:w="14" w:type="dxa"/>
          <w:jc w:val="center"/>
        </w:trPr>
        <w:tc>
          <w:tcPr>
            <w:tcW w:w="9053" w:type="dxa"/>
          </w:tcPr>
          <w:p w14:paraId="1BC75178" w14:textId="77777777" w:rsidR="006A01C1" w:rsidRPr="00B75A8A" w:rsidRDefault="006A01C1" w:rsidP="00BA3E3D">
            <w:pPr>
              <w:tabs>
                <w:tab w:val="left" w:pos="2268"/>
              </w:tabs>
              <w:jc w:val="center"/>
              <w:rPr>
                <w:rFonts w:asciiTheme="minorHAnsi" w:hAnsiTheme="minorHAnsi" w:cstheme="minorHAnsi"/>
                <w:sz w:val="22"/>
                <w:szCs w:val="22"/>
              </w:rPr>
            </w:pPr>
          </w:p>
        </w:tc>
      </w:tr>
      <w:tr w:rsidR="006A01C1" w:rsidRPr="00B75A8A" w14:paraId="223497AF" w14:textId="77777777" w:rsidTr="006A01C1">
        <w:trPr>
          <w:gridAfter w:val="1"/>
          <w:wAfter w:w="14" w:type="dxa"/>
          <w:jc w:val="center"/>
        </w:trPr>
        <w:tc>
          <w:tcPr>
            <w:tcW w:w="9053" w:type="dxa"/>
          </w:tcPr>
          <w:p w14:paraId="693B478B" w14:textId="77777777" w:rsidR="006A01C1" w:rsidRPr="00B75A8A" w:rsidRDefault="006A01C1" w:rsidP="00BA3E3D">
            <w:pPr>
              <w:tabs>
                <w:tab w:val="left" w:pos="2268"/>
              </w:tabs>
              <w:jc w:val="center"/>
              <w:rPr>
                <w:rFonts w:asciiTheme="minorHAnsi" w:hAnsiTheme="minorHAnsi" w:cstheme="minorHAnsi"/>
                <w:b/>
                <w:bCs/>
                <w:sz w:val="22"/>
                <w:szCs w:val="22"/>
              </w:rPr>
            </w:pPr>
            <w:r>
              <w:rPr>
                <w:rFonts w:asciiTheme="minorHAnsi" w:hAnsiTheme="minorHAnsi"/>
                <w:b/>
                <w:color w:val="000000"/>
                <w:sz w:val="22"/>
              </w:rPr>
              <w:t>Βασιλικό διάταγμα για την τροποποίηση του βασιλικού διατάγματος της 28ης Οκτωβρίου 2016 σχετικά με την παρασκευή και τη διάθεση στην αγορά ηλεκτρονικών τσιγάρων</w:t>
            </w:r>
          </w:p>
        </w:tc>
      </w:tr>
      <w:tr w:rsidR="006A01C1" w:rsidRPr="006A01C1" w14:paraId="192BD51E" w14:textId="77777777" w:rsidTr="006A01C1">
        <w:trPr>
          <w:gridAfter w:val="1"/>
          <w:wAfter w:w="14" w:type="dxa"/>
          <w:jc w:val="center"/>
        </w:trPr>
        <w:tc>
          <w:tcPr>
            <w:tcW w:w="9053" w:type="dxa"/>
          </w:tcPr>
          <w:p w14:paraId="56ABD589" w14:textId="77777777" w:rsidR="006A01C1" w:rsidRPr="006A01C1" w:rsidRDefault="006A01C1" w:rsidP="00BA3E3D">
            <w:pPr>
              <w:rPr>
                <w:rFonts w:asciiTheme="minorHAnsi" w:hAnsiTheme="minorHAnsi" w:cstheme="minorHAnsi"/>
                <w:b/>
                <w:sz w:val="22"/>
                <w:szCs w:val="22"/>
                <w:lang w:val="nl-BE"/>
              </w:rPr>
            </w:pPr>
          </w:p>
        </w:tc>
      </w:tr>
      <w:tr w:rsidR="006A01C1" w:rsidRPr="00B75A8A" w14:paraId="0C31B05B" w14:textId="77777777" w:rsidTr="006A01C1">
        <w:trPr>
          <w:gridAfter w:val="1"/>
          <w:wAfter w:w="14" w:type="dxa"/>
          <w:jc w:val="center"/>
        </w:trPr>
        <w:tc>
          <w:tcPr>
            <w:tcW w:w="9053" w:type="dxa"/>
          </w:tcPr>
          <w:p w14:paraId="419BAC67" w14:textId="77777777" w:rsidR="006A01C1" w:rsidRPr="00B75A8A" w:rsidRDefault="006A01C1" w:rsidP="00BA3E3D">
            <w:pPr>
              <w:jc w:val="center"/>
              <w:rPr>
                <w:rFonts w:asciiTheme="minorHAnsi" w:hAnsiTheme="minorHAnsi" w:cstheme="minorHAnsi"/>
                <w:b/>
                <w:sz w:val="22"/>
                <w:szCs w:val="22"/>
              </w:rPr>
            </w:pPr>
            <w:r>
              <w:rPr>
                <w:rFonts w:asciiTheme="minorHAnsi" w:hAnsiTheme="minorHAnsi"/>
                <w:b/>
                <w:sz w:val="22"/>
              </w:rPr>
              <w:t>Ο ΦΙΛΙΠΠΟΣ, Βασιλιάς των Βέλγων,</w:t>
            </w:r>
          </w:p>
        </w:tc>
      </w:tr>
      <w:tr w:rsidR="006A01C1" w:rsidRPr="00B75A8A" w14:paraId="6F0AC032" w14:textId="77777777" w:rsidTr="006A01C1">
        <w:trPr>
          <w:gridAfter w:val="1"/>
          <w:wAfter w:w="14" w:type="dxa"/>
          <w:jc w:val="center"/>
        </w:trPr>
        <w:tc>
          <w:tcPr>
            <w:tcW w:w="9053" w:type="dxa"/>
          </w:tcPr>
          <w:p w14:paraId="69474ABA" w14:textId="77777777" w:rsidR="006A01C1" w:rsidRPr="00B75A8A" w:rsidRDefault="006A01C1" w:rsidP="00BA3E3D">
            <w:pPr>
              <w:jc w:val="center"/>
              <w:rPr>
                <w:rFonts w:asciiTheme="minorHAnsi" w:hAnsiTheme="minorHAnsi" w:cstheme="minorHAnsi"/>
                <w:bCs/>
                <w:sz w:val="22"/>
                <w:szCs w:val="22"/>
                <w:lang w:val="fr-BE"/>
              </w:rPr>
            </w:pPr>
          </w:p>
        </w:tc>
      </w:tr>
      <w:tr w:rsidR="006A01C1" w:rsidRPr="00B75A8A" w14:paraId="5B492FB4" w14:textId="77777777" w:rsidTr="006A01C1">
        <w:trPr>
          <w:gridAfter w:val="1"/>
          <w:wAfter w:w="14" w:type="dxa"/>
          <w:jc w:val="center"/>
        </w:trPr>
        <w:tc>
          <w:tcPr>
            <w:tcW w:w="9053" w:type="dxa"/>
          </w:tcPr>
          <w:p w14:paraId="0A7C3D52" w14:textId="77777777" w:rsidR="006A01C1" w:rsidRPr="00B75A8A" w:rsidRDefault="006A01C1" w:rsidP="00BA3E3D">
            <w:pPr>
              <w:pStyle w:val="Footer"/>
              <w:tabs>
                <w:tab w:val="clear" w:pos="4536"/>
                <w:tab w:val="clear" w:pos="9072"/>
                <w:tab w:val="left" w:pos="356"/>
                <w:tab w:val="left" w:pos="2268"/>
              </w:tabs>
              <w:jc w:val="center"/>
              <w:rPr>
                <w:rFonts w:asciiTheme="minorHAnsi" w:hAnsiTheme="minorHAnsi" w:cstheme="minorHAnsi"/>
                <w:sz w:val="22"/>
                <w:szCs w:val="22"/>
              </w:rPr>
            </w:pPr>
            <w:r>
              <w:rPr>
                <w:rFonts w:asciiTheme="minorHAnsi" w:hAnsiTheme="minorHAnsi"/>
                <w:sz w:val="22"/>
              </w:rPr>
              <w:t>Χαιρετίζει όλους τους πολίτες, παρόντες και μελλοντικούς.</w:t>
            </w:r>
          </w:p>
        </w:tc>
      </w:tr>
      <w:tr w:rsidR="006A01C1" w:rsidRPr="00C26B53" w14:paraId="2AE7EA7D" w14:textId="77777777" w:rsidTr="006A01C1">
        <w:trPr>
          <w:gridAfter w:val="1"/>
          <w:wAfter w:w="14" w:type="dxa"/>
          <w:jc w:val="center"/>
        </w:trPr>
        <w:tc>
          <w:tcPr>
            <w:tcW w:w="9053" w:type="dxa"/>
          </w:tcPr>
          <w:p w14:paraId="21B80015" w14:textId="77777777" w:rsidR="006A01C1" w:rsidRPr="00C26B53" w:rsidRDefault="006A01C1" w:rsidP="00BA3E3D">
            <w:pPr>
              <w:tabs>
                <w:tab w:val="left" w:pos="567"/>
                <w:tab w:val="left" w:pos="2268"/>
              </w:tabs>
              <w:rPr>
                <w:rFonts w:asciiTheme="minorHAnsi" w:hAnsiTheme="minorHAnsi" w:cstheme="minorHAnsi"/>
                <w:sz w:val="22"/>
                <w:szCs w:val="22"/>
                <w:lang w:val="nl-BE"/>
              </w:rPr>
            </w:pPr>
          </w:p>
        </w:tc>
      </w:tr>
      <w:tr w:rsidR="006A01C1" w:rsidRPr="00B75A8A" w14:paraId="231BE8B6" w14:textId="77777777" w:rsidTr="006A01C1">
        <w:trPr>
          <w:gridAfter w:val="1"/>
          <w:wAfter w:w="14" w:type="dxa"/>
          <w:trHeight w:val="824"/>
          <w:jc w:val="center"/>
        </w:trPr>
        <w:tc>
          <w:tcPr>
            <w:tcW w:w="9053" w:type="dxa"/>
          </w:tcPr>
          <w:p w14:paraId="1E1B947B" w14:textId="77777777" w:rsidR="006A01C1" w:rsidRPr="00B75A8A"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Έχοντας υπόψη τον νόμο της 24ης Ιανουαρίου 1977 περί προστασίας της υγείας των καταναλωτών όσον αφορά τα τρόφιμα και τα λοιπά προϊόντα, άρθρο 6 παράγραφος 1 στοιχείο α), που αντικαταστάθηκε από τον νόμο της 22ας Μαρτίου 1989, άρθρο 10 παράγραφος 1, που αντικαταστάθηκε από τον νόμο της 9ης Φεβρουαρίου 1994,</w:t>
            </w:r>
          </w:p>
        </w:tc>
      </w:tr>
      <w:tr w:rsidR="006A01C1" w:rsidRPr="006A01C1" w14:paraId="2A999859" w14:textId="77777777" w:rsidTr="006A01C1">
        <w:trPr>
          <w:gridAfter w:val="1"/>
          <w:wAfter w:w="14" w:type="dxa"/>
          <w:trHeight w:val="260"/>
          <w:jc w:val="center"/>
        </w:trPr>
        <w:tc>
          <w:tcPr>
            <w:tcW w:w="9053" w:type="dxa"/>
          </w:tcPr>
          <w:p w14:paraId="00BB402C"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7F77ECB9" w14:textId="77777777" w:rsidTr="006A01C1">
        <w:trPr>
          <w:gridAfter w:val="1"/>
          <w:wAfter w:w="14" w:type="dxa"/>
          <w:trHeight w:val="746"/>
          <w:jc w:val="center"/>
        </w:trPr>
        <w:tc>
          <w:tcPr>
            <w:tcW w:w="9053" w:type="dxa"/>
          </w:tcPr>
          <w:p w14:paraId="6176694B"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rPr>
            </w:pPr>
            <w:r>
              <w:rPr>
                <w:rFonts w:asciiTheme="minorHAnsi" w:hAnsiTheme="minorHAnsi"/>
                <w:sz w:val="22"/>
              </w:rPr>
              <w:t>έχοντας υπόψη το</w:t>
            </w:r>
            <w:r>
              <w:rPr>
                <w:rFonts w:asciiTheme="minorHAnsi" w:hAnsiTheme="minorHAnsi"/>
                <w:b/>
                <w:color w:val="000000"/>
                <w:sz w:val="22"/>
              </w:rPr>
              <w:t xml:space="preserve"> </w:t>
            </w:r>
            <w:r>
              <w:rPr>
                <w:rFonts w:asciiTheme="minorHAnsi" w:hAnsiTheme="minorHAnsi"/>
                <w:color w:val="000000"/>
                <w:sz w:val="22"/>
              </w:rPr>
              <w:t>βασιλικό διάταγμα της 28ης Οκτωβρίου 2016 σχετικά με την κατασκευή και τη διάθεση στην αγορά ηλεκτρονικών τσιγάρων, όπως τροποποιήθηκε με τον νόμο της 17ης Μαΐου 2017,</w:t>
            </w:r>
          </w:p>
          <w:p w14:paraId="16B25B38"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p w14:paraId="536243F7" w14:textId="77777777" w:rsidR="006A01C1" w:rsidRPr="009D2E87" w:rsidRDefault="006A01C1" w:rsidP="00BA3E3D">
            <w:pPr>
              <w:tabs>
                <w:tab w:val="left" w:pos="356"/>
                <w:tab w:val="left" w:pos="2268"/>
              </w:tabs>
              <w:jc w:val="both"/>
              <w:rPr>
                <w:rFonts w:asciiTheme="minorHAnsi" w:hAnsiTheme="minorHAnsi" w:cstheme="minorHAnsi"/>
                <w:color w:val="FF0000"/>
                <w:sz w:val="22"/>
                <w:szCs w:val="22"/>
                <w:lang w:val="nl-NL"/>
              </w:rPr>
            </w:pPr>
          </w:p>
          <w:p w14:paraId="7BD645A6" w14:textId="77777777" w:rsidR="006A01C1" w:rsidRDefault="006A01C1" w:rsidP="00BA3E3D">
            <w:pPr>
              <w:tabs>
                <w:tab w:val="left" w:pos="356"/>
                <w:tab w:val="left" w:pos="2268"/>
              </w:tabs>
              <w:jc w:val="both"/>
              <w:rPr>
                <w:rFonts w:asciiTheme="minorHAnsi" w:hAnsiTheme="minorHAnsi" w:cstheme="minorHAnsi"/>
                <w:bCs/>
                <w:color w:val="000000"/>
                <w:sz w:val="22"/>
                <w:szCs w:val="22"/>
              </w:rPr>
            </w:pPr>
            <w:r>
              <w:rPr>
                <w:rFonts w:asciiTheme="minorHAnsi" w:hAnsiTheme="minorHAnsi"/>
                <w:color w:val="000000"/>
                <w:sz w:val="22"/>
              </w:rPr>
              <w:t>έχοντας υπόψη την κοινοποίηση στην Ευρωπαϊκή Επιτροπή,</w:t>
            </w:r>
            <w:r>
              <w:rPr>
                <w:rFonts w:asciiTheme="minorHAnsi" w:hAnsiTheme="minorHAnsi"/>
                <w:sz w:val="22"/>
              </w:rPr>
              <w:t xml:space="preserve"> της </w:t>
            </w:r>
            <w:r>
              <w:rPr>
                <w:rFonts w:asciiTheme="minorHAnsi" w:hAnsiTheme="minorHAnsi"/>
                <w:sz w:val="22"/>
                <w:highlight w:val="yellow"/>
              </w:rPr>
              <w:t>XXX</w:t>
            </w:r>
            <w:r>
              <w:rPr>
                <w:rFonts w:asciiTheme="minorHAnsi" w:hAnsiTheme="minorHAnsi"/>
                <w:sz w:val="22"/>
              </w:rPr>
              <w:t xml:space="preserve">, </w:t>
            </w:r>
            <w:r>
              <w:rPr>
                <w:rFonts w:asciiTheme="minorHAnsi" w:hAnsiTheme="minorHAnsi"/>
                <w:color w:val="000000"/>
                <w:sz w:val="22"/>
              </w:rPr>
              <w:t>σύμφωνα με το άρθρο 5 παράγραφος 1 της οδηγίας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14:paraId="663AF939"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tc>
      </w:tr>
      <w:tr w:rsidR="006A01C1" w:rsidRPr="009D2E87" w14:paraId="2033CEFD" w14:textId="77777777" w:rsidTr="006A01C1">
        <w:trPr>
          <w:gridAfter w:val="1"/>
          <w:wAfter w:w="14" w:type="dxa"/>
          <w:trHeight w:val="206"/>
          <w:jc w:val="center"/>
        </w:trPr>
        <w:tc>
          <w:tcPr>
            <w:tcW w:w="9053" w:type="dxa"/>
          </w:tcPr>
          <w:p w14:paraId="36C1806D" w14:textId="77777777" w:rsidR="006A01C1" w:rsidRDefault="006A01C1" w:rsidP="00BA3E3D">
            <w:pPr>
              <w:tabs>
                <w:tab w:val="left" w:pos="356"/>
                <w:tab w:val="left" w:pos="2268"/>
              </w:tabs>
              <w:jc w:val="both"/>
              <w:rPr>
                <w:rFonts w:asciiTheme="minorHAnsi" w:hAnsiTheme="minorHAnsi" w:cstheme="minorHAnsi"/>
                <w:b/>
                <w:bCs/>
                <w:sz w:val="22"/>
                <w:szCs w:val="22"/>
              </w:rPr>
            </w:pPr>
            <w:r>
              <w:rPr>
                <w:rFonts w:asciiTheme="minorHAnsi" w:hAnsiTheme="minorHAnsi"/>
                <w:sz w:val="22"/>
              </w:rPr>
              <w:t>έχοντας υπόψη την κοινοποίηση της Ευρωπαϊκής Επιτροπής στις XXX, σύμφωνα με το άρθρο 24 παράγραφος 3 της οδηγίας 2014/40/ΕΕ του Ευρωπαϊκού Κοινοβουλίου και του Συμβουλίου της 3ης Απριλίου 2014</w:t>
            </w:r>
            <w:r>
              <w:t xml:space="preserve"> </w:t>
            </w:r>
            <w:r>
              <w:rPr>
                <w:rFonts w:asciiTheme="minorHAnsi" w:hAnsiTheme="minorHAnsi"/>
                <w:sz w:val="22"/>
              </w:rPr>
              <w:t>για την προσέγγιση των νομοθετικών, κανονιστικών και διοικητικών διατάξεων των κρατών μελών σχετικά με την κατασκευή, την παρουσίαση και την πώληση προϊόντων καπνού και συναφών προϊόντων</w:t>
            </w:r>
            <w:r>
              <w:t xml:space="preserve"> </w:t>
            </w:r>
            <w:r>
              <w:rPr>
                <w:rFonts w:asciiTheme="minorHAnsi" w:hAnsiTheme="minorHAnsi"/>
                <w:sz w:val="22"/>
              </w:rPr>
              <w:t>και την κατάργηση της οδηγίας 2001/37/ΕΚ,</w:t>
            </w:r>
          </w:p>
          <w:p w14:paraId="38689BF5" w14:textId="77777777" w:rsidR="006A01C1" w:rsidRPr="009D2E87" w:rsidRDefault="006A01C1" w:rsidP="00BA3E3D">
            <w:pPr>
              <w:tabs>
                <w:tab w:val="left" w:pos="356"/>
                <w:tab w:val="left" w:pos="2268"/>
              </w:tabs>
              <w:jc w:val="both"/>
              <w:rPr>
                <w:rFonts w:asciiTheme="minorHAnsi" w:hAnsiTheme="minorHAnsi" w:cstheme="minorHAnsi"/>
                <w:b/>
                <w:bCs/>
                <w:sz w:val="22"/>
                <w:szCs w:val="22"/>
                <w:lang w:val="nl-NL"/>
              </w:rPr>
            </w:pPr>
          </w:p>
        </w:tc>
      </w:tr>
      <w:tr w:rsidR="006A01C1" w:rsidRPr="00B75A8A" w14:paraId="3916B412" w14:textId="77777777" w:rsidTr="006A01C1">
        <w:trPr>
          <w:gridAfter w:val="1"/>
          <w:wAfter w:w="14" w:type="dxa"/>
          <w:jc w:val="center"/>
        </w:trPr>
        <w:tc>
          <w:tcPr>
            <w:tcW w:w="9053" w:type="dxa"/>
          </w:tcPr>
          <w:p w14:paraId="7E98703C" w14:textId="77777777" w:rsidR="006A01C1" w:rsidRPr="00B75A8A"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έχοντας υπόψη τη γνώμη της Επιθεώρησης Οικονομικών, που εκδόθηκε στις </w:t>
            </w:r>
            <w:r>
              <w:rPr>
                <w:rFonts w:asciiTheme="minorHAnsi" w:hAnsiTheme="minorHAnsi"/>
                <w:sz w:val="22"/>
                <w:highlight w:val="yellow"/>
              </w:rPr>
              <w:t>XXX</w:t>
            </w:r>
            <w:r>
              <w:rPr>
                <w:rFonts w:asciiTheme="minorHAnsi" w:hAnsiTheme="minorHAnsi"/>
                <w:sz w:val="22"/>
              </w:rPr>
              <w:t>,</w:t>
            </w:r>
          </w:p>
        </w:tc>
      </w:tr>
      <w:tr w:rsidR="006A01C1" w:rsidRPr="006A01C1" w14:paraId="1D60AC05" w14:textId="77777777" w:rsidTr="006A01C1">
        <w:trPr>
          <w:gridAfter w:val="1"/>
          <w:wAfter w:w="14" w:type="dxa"/>
          <w:jc w:val="center"/>
        </w:trPr>
        <w:tc>
          <w:tcPr>
            <w:tcW w:w="9053" w:type="dxa"/>
          </w:tcPr>
          <w:p w14:paraId="3706DD33"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03FAD2C3" w14:textId="77777777" w:rsidTr="006A01C1">
        <w:trPr>
          <w:gridAfter w:val="1"/>
          <w:wAfter w:w="14" w:type="dxa"/>
          <w:jc w:val="center"/>
        </w:trPr>
        <w:tc>
          <w:tcPr>
            <w:tcW w:w="9053" w:type="dxa"/>
          </w:tcPr>
          <w:p w14:paraId="20B40207" w14:textId="77777777" w:rsidR="006A01C1" w:rsidRDefault="006A01C1" w:rsidP="00BA3E3D">
            <w:pPr>
              <w:tabs>
                <w:tab w:val="left" w:pos="356"/>
                <w:tab w:val="left" w:pos="2268"/>
              </w:tabs>
              <w:jc w:val="both"/>
              <w:rPr>
                <w:rFonts w:asciiTheme="minorHAnsi" w:hAnsiTheme="minorHAnsi" w:cstheme="minorHAnsi"/>
                <w:color w:val="FF0000"/>
                <w:sz w:val="22"/>
                <w:szCs w:val="22"/>
              </w:rPr>
            </w:pPr>
            <w:r>
              <w:rPr>
                <w:rFonts w:asciiTheme="minorHAnsi" w:hAnsiTheme="minorHAnsi"/>
                <w:sz w:val="22"/>
              </w:rPr>
              <w:t xml:space="preserve">έχοντας υπόψη τη συμφωνία στην οποία κατέληξε ο υφυπουργός Προϋπολογισμού, η οποία εκδόθηκε έχοντας </w:t>
            </w:r>
            <w:r>
              <w:rPr>
                <w:rFonts w:asciiTheme="minorHAnsi" w:hAnsiTheme="minorHAnsi"/>
                <w:sz w:val="22"/>
                <w:highlight w:val="yellow"/>
              </w:rPr>
              <w:t>XXX</w:t>
            </w:r>
            <w:r>
              <w:rPr>
                <w:rFonts w:asciiTheme="minorHAnsi" w:hAnsiTheme="minorHAnsi"/>
                <w:sz w:val="22"/>
              </w:rPr>
              <w:t>,</w:t>
            </w:r>
          </w:p>
          <w:p w14:paraId="34BE8196" w14:textId="77777777" w:rsidR="006A01C1" w:rsidRDefault="006A01C1" w:rsidP="00BA3E3D">
            <w:pPr>
              <w:tabs>
                <w:tab w:val="left" w:pos="356"/>
                <w:tab w:val="left" w:pos="2268"/>
              </w:tabs>
              <w:jc w:val="both"/>
              <w:rPr>
                <w:rFonts w:asciiTheme="minorHAnsi" w:hAnsiTheme="minorHAnsi" w:cstheme="minorHAnsi"/>
                <w:color w:val="FF0000"/>
                <w:sz w:val="22"/>
                <w:szCs w:val="22"/>
                <w:lang w:val="nl-BE"/>
              </w:rPr>
            </w:pPr>
          </w:p>
          <w:p w14:paraId="0B7E366E" w14:textId="77777777" w:rsidR="006A01C1" w:rsidRPr="00B75A8A" w:rsidRDefault="006A01C1" w:rsidP="00BA3E3D">
            <w:pPr>
              <w:tabs>
                <w:tab w:val="left" w:pos="356"/>
                <w:tab w:val="left" w:pos="2268"/>
              </w:tabs>
              <w:jc w:val="both"/>
              <w:rPr>
                <w:rFonts w:asciiTheme="minorHAnsi" w:hAnsiTheme="minorHAnsi" w:cstheme="minorHAnsi"/>
                <w:sz w:val="22"/>
                <w:szCs w:val="22"/>
                <w:lang w:val="nl-BE"/>
              </w:rPr>
            </w:pPr>
          </w:p>
        </w:tc>
      </w:tr>
      <w:tr w:rsidR="006A01C1" w:rsidRPr="006A01C1" w14:paraId="2B82E80D" w14:textId="77777777" w:rsidTr="006A01C1">
        <w:trPr>
          <w:gridAfter w:val="1"/>
          <w:wAfter w:w="14" w:type="dxa"/>
          <w:jc w:val="center"/>
        </w:trPr>
        <w:tc>
          <w:tcPr>
            <w:tcW w:w="9053" w:type="dxa"/>
          </w:tcPr>
          <w:p w14:paraId="48742A2D"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6DB37ECF" w14:textId="77777777" w:rsidTr="006A01C1">
        <w:trPr>
          <w:gridAfter w:val="1"/>
          <w:wAfter w:w="14" w:type="dxa"/>
          <w:jc w:val="center"/>
        </w:trPr>
        <w:tc>
          <w:tcPr>
            <w:tcW w:w="9053" w:type="dxa"/>
          </w:tcPr>
          <w:p w14:paraId="580CFD2F" w14:textId="77777777" w:rsidR="006A01C1" w:rsidRPr="00F109D4"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έχοντας υπόψη τη γνωμοδότηση 72.095/1/V του Συμβουλίου της Επικρατείας, που εκδόθηκε στις </w:t>
            </w:r>
            <w:r>
              <w:rPr>
                <w:rFonts w:asciiTheme="minorHAnsi" w:hAnsiTheme="minorHAnsi"/>
                <w:sz w:val="22"/>
                <w:highlight w:val="yellow"/>
              </w:rPr>
              <w:t>XXX</w:t>
            </w:r>
            <w:r>
              <w:rPr>
                <w:rFonts w:asciiTheme="minorHAnsi" w:hAnsiTheme="minorHAnsi"/>
                <w:sz w:val="22"/>
              </w:rPr>
              <w:t>, σύμφωνα με το άρθρο 84 παράγραφος 1 εδάφιο 1 σημείο 2 των νόμων περί του Συμβουλίου της Επικρατείας, που συντονίστηκε στις 12 Ιανουαρίου 1973,</w:t>
            </w:r>
          </w:p>
          <w:p w14:paraId="0559D257" w14:textId="77777777" w:rsidR="006A01C1" w:rsidRDefault="006A01C1" w:rsidP="00BA3E3D">
            <w:pPr>
              <w:tabs>
                <w:tab w:val="left" w:pos="356"/>
                <w:tab w:val="left" w:pos="2268"/>
              </w:tabs>
              <w:jc w:val="both"/>
              <w:rPr>
                <w:rFonts w:asciiTheme="minorHAnsi" w:hAnsiTheme="minorHAnsi" w:cstheme="minorHAnsi"/>
                <w:sz w:val="22"/>
                <w:szCs w:val="22"/>
                <w:lang w:val="nl-NL"/>
              </w:rPr>
            </w:pPr>
          </w:p>
          <w:p w14:paraId="61E6F40C"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λαμβάνοντας υπόψη την εκρηκτική εισροή ηλεκτρονικών τσιγάρων μίας χρήσης στη βελγική και την ευρωπαϊκή αγορά,</w:t>
            </w:r>
          </w:p>
          <w:p w14:paraId="742D6326"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C418D23"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lastRenderedPageBreak/>
              <w:t>λαμβάνοντας υπόψη ότι τα ηλεκτρονικά τσιγάρα μίας χρήσης δεν διατίθενται στην αγορά και δεν προωθούνται ως μέσο διακοπής του καπνίσματος και δεν αποτελούν μέρος της βελγικής πολιτικής διακοπής του καπνίσματος,</w:t>
            </w:r>
          </w:p>
          <w:p w14:paraId="49D03395"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5357B9FD"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λαμβάνοντας υπόψη ότι, εκτός από τους σαφείς κινδύνους για την υγεία, τα ηλεκτρονικά τσιγάρα μιας χρήσης συνεπάγονται επίσης σημαντική οικολογική επιβάρυνση, </w:t>
            </w:r>
          </w:p>
          <w:p w14:paraId="6786F719"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3FC27244"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λαμβάνοντας υπόψη ότι τα προϊόντα αυτά είναι δημοφιλή μεταξύ των νέων που δεν έχουν πρόθεση να σταματήσουν το κάπνισμα και προωθούνται επίσης κυρίως σε αυτούς,</w:t>
            </w:r>
          </w:p>
          <w:p w14:paraId="21A68208"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BD732E5" w14:textId="77777777" w:rsidR="006A01C1"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λαμβάνοντας υπόψη ότι για τα ηλεκτρονικά τσιγάρα μίας χρήσης, διαπιστώνεται αναλογικά μεγαλύτερος αριθμός κανονιστικών παραβάσεων στον τομέα αυτό.</w:t>
            </w:r>
          </w:p>
          <w:p w14:paraId="59C82154" w14:textId="77777777" w:rsidR="006A01C1" w:rsidRPr="00B75A8A" w:rsidRDefault="006A01C1" w:rsidP="00BA3E3D">
            <w:pPr>
              <w:tabs>
                <w:tab w:val="left" w:pos="356"/>
                <w:tab w:val="left" w:pos="2268"/>
              </w:tabs>
              <w:jc w:val="both"/>
              <w:rPr>
                <w:rFonts w:asciiTheme="minorHAnsi" w:hAnsiTheme="minorHAnsi" w:cstheme="minorHAnsi"/>
                <w:sz w:val="22"/>
                <w:szCs w:val="22"/>
                <w:lang w:val="nl-NL"/>
              </w:rPr>
            </w:pPr>
          </w:p>
        </w:tc>
      </w:tr>
      <w:tr w:rsidR="006A01C1" w:rsidRPr="00B75A8A" w14:paraId="2B6CF8ED" w14:textId="77777777" w:rsidTr="006A01C1">
        <w:trPr>
          <w:gridAfter w:val="1"/>
          <w:wAfter w:w="14" w:type="dxa"/>
          <w:jc w:val="center"/>
        </w:trPr>
        <w:tc>
          <w:tcPr>
            <w:tcW w:w="9053" w:type="dxa"/>
          </w:tcPr>
          <w:p w14:paraId="1A14CF9A" w14:textId="77777777" w:rsidR="006A01C1" w:rsidRPr="00B75A8A" w:rsidRDefault="006A01C1" w:rsidP="00BA3E3D">
            <w:pPr>
              <w:tabs>
                <w:tab w:val="left" w:pos="356"/>
                <w:tab w:val="left" w:pos="567"/>
                <w:tab w:val="left" w:pos="2268"/>
              </w:tabs>
              <w:jc w:val="both"/>
              <w:rPr>
                <w:rFonts w:asciiTheme="minorHAnsi" w:hAnsiTheme="minorHAnsi" w:cstheme="minorHAnsi"/>
                <w:sz w:val="22"/>
                <w:szCs w:val="22"/>
              </w:rPr>
            </w:pPr>
            <w:r>
              <w:rPr>
                <w:rFonts w:asciiTheme="minorHAnsi" w:hAnsiTheme="minorHAnsi"/>
                <w:sz w:val="22"/>
              </w:rPr>
              <w:lastRenderedPageBreak/>
              <w:t xml:space="preserve">Κατόπιν προτάσεως του υπουργού Δημόσιας Υγείας, </w:t>
            </w:r>
          </w:p>
        </w:tc>
      </w:tr>
      <w:tr w:rsidR="006A01C1" w:rsidRPr="006A01C1" w14:paraId="385AA1DC" w14:textId="77777777" w:rsidTr="006A01C1">
        <w:trPr>
          <w:gridAfter w:val="1"/>
          <w:wAfter w:w="14" w:type="dxa"/>
          <w:jc w:val="center"/>
        </w:trPr>
        <w:tc>
          <w:tcPr>
            <w:tcW w:w="9053" w:type="dxa"/>
          </w:tcPr>
          <w:p w14:paraId="0E96557F"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BFD617E" w14:textId="77777777" w:rsidTr="006A01C1">
        <w:trPr>
          <w:gridAfter w:val="1"/>
          <w:wAfter w:w="14" w:type="dxa"/>
          <w:jc w:val="center"/>
        </w:trPr>
        <w:tc>
          <w:tcPr>
            <w:tcW w:w="9053" w:type="dxa"/>
          </w:tcPr>
          <w:p w14:paraId="08003BA8" w14:textId="77777777" w:rsidR="006A01C1" w:rsidRPr="00B75A8A" w:rsidRDefault="006A01C1" w:rsidP="00BA3E3D">
            <w:pPr>
              <w:tabs>
                <w:tab w:val="left" w:pos="356"/>
                <w:tab w:val="left" w:pos="567"/>
                <w:tab w:val="left" w:pos="2268"/>
              </w:tabs>
              <w:jc w:val="center"/>
              <w:rPr>
                <w:rFonts w:asciiTheme="minorHAnsi" w:hAnsiTheme="minorHAnsi" w:cstheme="minorHAnsi"/>
                <w:sz w:val="22"/>
                <w:szCs w:val="22"/>
              </w:rPr>
            </w:pPr>
            <w:r>
              <w:rPr>
                <w:rFonts w:asciiTheme="minorHAnsi" w:hAnsiTheme="minorHAnsi"/>
                <w:sz w:val="22"/>
              </w:rPr>
              <w:t>ΜΕ ΤΟ ΠΑΡΟΝ ΟΡΙΖΟΝΤΑΙ ΤΑ ΕΞΗΣ:</w:t>
            </w:r>
          </w:p>
        </w:tc>
      </w:tr>
      <w:tr w:rsidR="006A01C1" w:rsidRPr="006A01C1" w14:paraId="016C39B5" w14:textId="77777777" w:rsidTr="006A01C1">
        <w:trPr>
          <w:gridAfter w:val="1"/>
          <w:wAfter w:w="14" w:type="dxa"/>
          <w:jc w:val="center"/>
        </w:trPr>
        <w:tc>
          <w:tcPr>
            <w:tcW w:w="9053" w:type="dxa"/>
          </w:tcPr>
          <w:p w14:paraId="1291E0DD" w14:textId="77777777" w:rsidR="006A01C1" w:rsidRPr="006A01C1" w:rsidRDefault="006A01C1" w:rsidP="00BA3E3D">
            <w:pPr>
              <w:tabs>
                <w:tab w:val="left" w:pos="567"/>
                <w:tab w:val="left" w:pos="2268"/>
              </w:tabs>
              <w:jc w:val="both"/>
              <w:rPr>
                <w:rFonts w:asciiTheme="minorHAnsi" w:hAnsiTheme="minorHAnsi" w:cstheme="minorHAnsi"/>
                <w:b/>
                <w:sz w:val="22"/>
                <w:szCs w:val="22"/>
                <w:lang w:val="nl-BE"/>
              </w:rPr>
            </w:pPr>
          </w:p>
        </w:tc>
      </w:tr>
      <w:tr w:rsidR="006A01C1" w:rsidRPr="00B75A8A" w14:paraId="4740547E" w14:textId="77777777" w:rsidTr="006A01C1">
        <w:trPr>
          <w:gridAfter w:val="1"/>
          <w:wAfter w:w="14" w:type="dxa"/>
          <w:trHeight w:val="322"/>
          <w:jc w:val="center"/>
        </w:trPr>
        <w:tc>
          <w:tcPr>
            <w:tcW w:w="9053" w:type="dxa"/>
          </w:tcPr>
          <w:p w14:paraId="2FEE89CE" w14:textId="77777777" w:rsidR="006A01C1" w:rsidRPr="00A167E6"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b/>
                <w:sz w:val="22"/>
              </w:rPr>
              <w:t>Άρθρο 1.</w:t>
            </w:r>
            <w:r>
              <w:rPr>
                <w:rFonts w:asciiTheme="minorHAnsi" w:hAnsiTheme="minorHAnsi"/>
              </w:rPr>
              <w:t xml:space="preserve"> Στο </w:t>
            </w:r>
            <w:r>
              <w:rPr>
                <w:rFonts w:asciiTheme="minorHAnsi" w:hAnsiTheme="minorHAnsi"/>
                <w:sz w:val="22"/>
              </w:rPr>
              <w:t>άρθρο 4 του βασιλικού διατάγματος της 28ης Οκτωβρίου 2016 σχετικά με την παρασκευή και τη διάθεση στην αγορά ηλεκτρονικών τσιγάρων, πραγματοποιούνται οι ακόλουθες τροποποιήσεις:</w:t>
            </w:r>
          </w:p>
          <w:p w14:paraId="6D296E63" w14:textId="77777777" w:rsidR="006A01C1" w:rsidRPr="00AF540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(1) στην παράγραφο 1, η διάταξη του σημείου 2 καταργείται·</w:t>
            </w:r>
          </w:p>
          <w:p w14:paraId="697CCD67" w14:textId="77777777" w:rsidR="006A01C1" w:rsidRPr="00AF540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 xml:space="preserve">(2) παρεμβάλλεται παράγραφος 1/1 ως εξής: </w:t>
            </w:r>
          </w:p>
          <w:p w14:paraId="73E0CD32" w14:textId="77777777" w:rsidR="006A01C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 xml:space="preserve">«Απαγορεύεται η διάθεση ηλεκτρονικών τσιγάρων στην αγορά υπό τη μορφή ολοκληρωμένου προϊόντος μίας χρήσης. </w:t>
            </w:r>
          </w:p>
          <w:p w14:paraId="122CDCC5" w14:textId="77777777" w:rsidR="006A01C1" w:rsidRPr="00A167E6"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Ένα ολοκληρωμένο προϊόν μίας χρήσης είναι ένα προϊόν που αποτελείται από μία μόνο μονάδα και απορρίπτεται πλήρως μετά τη χρήση».</w:t>
            </w:r>
          </w:p>
          <w:p w14:paraId="5E1E30BB" w14:textId="77777777" w:rsidR="006A01C1" w:rsidRPr="00B75A8A" w:rsidRDefault="006A01C1" w:rsidP="00BA3E3D">
            <w:pPr>
              <w:tabs>
                <w:tab w:val="left" w:pos="567"/>
                <w:tab w:val="left" w:pos="2268"/>
              </w:tabs>
              <w:jc w:val="both"/>
              <w:rPr>
                <w:rFonts w:asciiTheme="minorHAnsi" w:hAnsiTheme="minorHAnsi" w:cstheme="minorHAnsi"/>
                <w:sz w:val="22"/>
                <w:szCs w:val="22"/>
                <w:lang w:val="nl-BE"/>
              </w:rPr>
            </w:pPr>
          </w:p>
        </w:tc>
      </w:tr>
      <w:tr w:rsidR="006A01C1" w:rsidRPr="005D72B1" w14:paraId="65E4FC4F" w14:textId="77777777" w:rsidTr="006A01C1">
        <w:trPr>
          <w:gridAfter w:val="1"/>
          <w:wAfter w:w="14" w:type="dxa"/>
          <w:trHeight w:val="1114"/>
          <w:jc w:val="center"/>
        </w:trPr>
        <w:tc>
          <w:tcPr>
            <w:tcW w:w="9053" w:type="dxa"/>
          </w:tcPr>
          <w:p w14:paraId="09F64875" w14:textId="77777777" w:rsidR="006A01C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b/>
                <w:sz w:val="22"/>
              </w:rPr>
              <w:t xml:space="preserve">Άρθρο 2. </w:t>
            </w:r>
            <w:r>
              <w:rPr>
                <w:rFonts w:asciiTheme="minorHAnsi" w:hAnsiTheme="minorHAnsi"/>
                <w:sz w:val="22"/>
              </w:rPr>
              <w:t>Το παρόν διάταγμα τίθεται σε ισχύ τρεις μήνες μετά τη δημοσίευσή του στην Επίσημη Εφημερίδα του Βελγίου, με εξαίρεση τους εμπόρους λιανικής πώλησης για τους οποίους το παρόν διάταγμα τίθεται σε ισχύ έξι μήνες μετά τη δημοσίευσή του στην Επίσημη Εφημερίδα του Βελγίου.</w:t>
            </w:r>
          </w:p>
          <w:p w14:paraId="48466C72" w14:textId="77777777" w:rsidR="006A01C1" w:rsidRPr="00E96D0F"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Οι διαδικασίες κοινοποίησης που εξακολουθούν να εκκρεμούν για τα ηλεκτρονικά τσιγάρα υπό τη μορφή ολοκληρωμένου προϊόντος μίας χρήσης διακόπτονται από τη δημοσίευση του παρόντος διατάγματος στην Επίσημη Εφημερίδα του Βελγίου.</w:t>
            </w:r>
          </w:p>
          <w:p w14:paraId="50BB373E"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rPr>
            </w:pPr>
            <w:r>
              <w:rPr>
                <w:rFonts w:asciiTheme="minorHAnsi" w:hAnsiTheme="minorHAnsi"/>
                <w:sz w:val="22"/>
              </w:rPr>
              <w:t xml:space="preserve">  Για τους κατασκευαστές ή τους εισαγωγείς που είχαν ήδη υποβάλει φάκελο κοινοποίησης για το προϊόν τους, αλλά για τους οποίους το τιμολόγιο δεν είχε ακόμη πληρωθεί κατά τη στιγμή της δημοσίευσης, το τέλος θα λήξει</w:t>
            </w:r>
            <w:r>
              <w:rPr>
                <w:rFonts w:asciiTheme="minorHAnsi" w:hAnsiTheme="minorHAnsi"/>
                <w:color w:val="FF0000"/>
                <w:sz w:val="22"/>
              </w:rPr>
              <w:t>.</w:t>
            </w:r>
          </w:p>
          <w:p w14:paraId="39431998"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rPr>
            </w:pPr>
            <w:r>
              <w:rPr>
                <w:rFonts w:asciiTheme="minorHAnsi" w:hAnsiTheme="minorHAnsi"/>
                <w:color w:val="FF0000"/>
                <w:sz w:val="22"/>
              </w:rPr>
              <w:t xml:space="preserve">  </w:t>
            </w:r>
          </w:p>
          <w:p w14:paraId="5E39AE6A" w14:textId="77777777" w:rsidR="006A01C1" w:rsidRPr="005D72B1" w:rsidRDefault="006A01C1" w:rsidP="00BA3E3D">
            <w:pPr>
              <w:tabs>
                <w:tab w:val="left" w:pos="567"/>
                <w:tab w:val="left" w:pos="2268"/>
              </w:tabs>
              <w:jc w:val="both"/>
              <w:rPr>
                <w:rFonts w:ascii="Garamond" w:hAnsi="Garamond"/>
                <w:bCs/>
                <w:sz w:val="22"/>
                <w:szCs w:val="22"/>
                <w:lang w:val="nl-BE"/>
              </w:rPr>
            </w:pPr>
          </w:p>
        </w:tc>
      </w:tr>
      <w:tr w:rsidR="006A01C1" w:rsidRPr="004F527A" w14:paraId="7CC695CD" w14:textId="77777777" w:rsidTr="006A01C1">
        <w:trPr>
          <w:trHeight w:val="322"/>
          <w:jc w:val="center"/>
        </w:trPr>
        <w:tc>
          <w:tcPr>
            <w:tcW w:w="9067" w:type="dxa"/>
            <w:gridSpan w:val="2"/>
          </w:tcPr>
          <w:p w14:paraId="3EA1F410" w14:textId="77777777" w:rsidR="006A01C1" w:rsidRDefault="006A01C1" w:rsidP="00BA3E3D">
            <w:pPr>
              <w:tabs>
                <w:tab w:val="left" w:pos="567"/>
                <w:tab w:val="left" w:pos="2268"/>
              </w:tabs>
              <w:jc w:val="both"/>
              <w:rPr>
                <w:rFonts w:asciiTheme="minorHAnsi" w:hAnsiTheme="minorHAnsi" w:cstheme="minorHAnsi"/>
                <w:b/>
                <w:sz w:val="22"/>
                <w:szCs w:val="22"/>
              </w:rPr>
            </w:pPr>
            <w:r>
              <w:rPr>
                <w:rFonts w:asciiTheme="minorHAnsi" w:hAnsiTheme="minorHAnsi"/>
                <w:b/>
                <w:sz w:val="22"/>
              </w:rPr>
              <w:t xml:space="preserve">Άρθρο 3. </w:t>
            </w:r>
            <w:r>
              <w:rPr>
                <w:rFonts w:asciiTheme="minorHAnsi" w:hAnsiTheme="minorHAnsi"/>
                <w:sz w:val="22"/>
              </w:rPr>
              <w:t>Ο υπουργός Δημόσιας Υγείας είναι αρμόδιος για την εφαρμογή του παρόντος διατάγματος</w:t>
            </w:r>
            <w:r>
              <w:rPr>
                <w:rFonts w:asciiTheme="minorHAnsi" w:hAnsiTheme="minorHAnsi"/>
              </w:rPr>
              <w:t>.</w:t>
            </w:r>
          </w:p>
          <w:p w14:paraId="661CDFE7" w14:textId="77777777" w:rsidR="006A01C1" w:rsidRPr="004F527A" w:rsidRDefault="006A01C1" w:rsidP="00BA3E3D">
            <w:pPr>
              <w:tabs>
                <w:tab w:val="left" w:pos="567"/>
                <w:tab w:val="left" w:pos="2268"/>
              </w:tabs>
              <w:jc w:val="both"/>
              <w:rPr>
                <w:rFonts w:ascii="Garamond" w:hAnsi="Garamond"/>
                <w:b/>
                <w:sz w:val="22"/>
                <w:szCs w:val="22"/>
              </w:rPr>
            </w:pPr>
            <w:r>
              <w:rPr>
                <w:rFonts w:asciiTheme="minorHAnsi" w:hAnsiTheme="minorHAnsi"/>
                <w:sz w:val="22"/>
              </w:rPr>
              <w:t xml:space="preserve"> </w:t>
            </w:r>
          </w:p>
        </w:tc>
      </w:tr>
      <w:tr w:rsidR="006A01C1" w:rsidRPr="006A01C1" w14:paraId="38557BCD" w14:textId="77777777" w:rsidTr="006A01C1">
        <w:trPr>
          <w:trHeight w:val="322"/>
          <w:jc w:val="center"/>
        </w:trPr>
        <w:tc>
          <w:tcPr>
            <w:tcW w:w="9067" w:type="dxa"/>
            <w:gridSpan w:val="2"/>
          </w:tcPr>
          <w:p w14:paraId="696DE776"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A18B32F" w14:textId="77777777" w:rsidTr="006A01C1">
        <w:trPr>
          <w:trHeight w:val="322"/>
          <w:jc w:val="center"/>
        </w:trPr>
        <w:tc>
          <w:tcPr>
            <w:tcW w:w="9067" w:type="dxa"/>
            <w:gridSpan w:val="2"/>
          </w:tcPr>
          <w:p w14:paraId="427B2A75" w14:textId="77777777" w:rsidR="006A01C1" w:rsidRPr="00B75A8A" w:rsidRDefault="006A01C1" w:rsidP="00BA3E3D">
            <w:pPr>
              <w:tabs>
                <w:tab w:val="left" w:pos="567"/>
                <w:tab w:val="left" w:pos="2268"/>
              </w:tabs>
              <w:rPr>
                <w:rFonts w:asciiTheme="minorHAnsi" w:hAnsiTheme="minorHAnsi" w:cstheme="minorHAnsi"/>
                <w:sz w:val="22"/>
                <w:szCs w:val="22"/>
              </w:rPr>
            </w:pPr>
            <w:r>
              <w:rPr>
                <w:rFonts w:asciiTheme="minorHAnsi" w:hAnsiTheme="minorHAnsi"/>
                <w:sz w:val="22"/>
              </w:rPr>
              <w:t xml:space="preserve">Κοινοποιήθηκε στις </w:t>
            </w:r>
          </w:p>
        </w:tc>
      </w:tr>
      <w:tr w:rsidR="006A01C1" w:rsidRPr="00B75A8A" w14:paraId="5E97B9EE" w14:textId="77777777" w:rsidTr="006A01C1">
        <w:trPr>
          <w:trHeight w:val="841"/>
          <w:jc w:val="center"/>
        </w:trPr>
        <w:tc>
          <w:tcPr>
            <w:tcW w:w="9067" w:type="dxa"/>
            <w:gridSpan w:val="2"/>
          </w:tcPr>
          <w:p w14:paraId="709EBC08"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14A07452"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A9B398A"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5FFB5579"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480AE3D7"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4D3839F"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216D66C5"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7D0C5EA4"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tc>
      </w:tr>
      <w:tr w:rsidR="006A01C1" w:rsidRPr="00B75A8A" w14:paraId="7FE5C68E" w14:textId="77777777" w:rsidTr="006A01C1">
        <w:trPr>
          <w:trHeight w:val="493"/>
          <w:jc w:val="center"/>
        </w:trPr>
        <w:tc>
          <w:tcPr>
            <w:tcW w:w="9067" w:type="dxa"/>
            <w:gridSpan w:val="2"/>
          </w:tcPr>
          <w:p w14:paraId="7DC4BF24" w14:textId="77777777" w:rsidR="006A01C1" w:rsidRPr="00B75A8A"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lastRenderedPageBreak/>
              <w:t>Εξ ονόματος του Βασιλιά:</w:t>
            </w:r>
          </w:p>
        </w:tc>
      </w:tr>
      <w:tr w:rsidR="006A01C1" w:rsidRPr="00B75A8A" w14:paraId="538071FE" w14:textId="77777777" w:rsidTr="006A01C1">
        <w:trPr>
          <w:trHeight w:val="191"/>
          <w:jc w:val="center"/>
        </w:trPr>
        <w:tc>
          <w:tcPr>
            <w:tcW w:w="9067" w:type="dxa"/>
            <w:gridSpan w:val="2"/>
          </w:tcPr>
          <w:p w14:paraId="04BF410C" w14:textId="77777777" w:rsidR="006A01C1" w:rsidRDefault="006A01C1" w:rsidP="00BA3E3D">
            <w:pPr>
              <w:tabs>
                <w:tab w:val="left" w:pos="567"/>
                <w:tab w:val="left" w:pos="2268"/>
              </w:tabs>
              <w:jc w:val="center"/>
              <w:rPr>
                <w:rFonts w:asciiTheme="minorHAnsi" w:hAnsiTheme="minorHAnsi" w:cstheme="minorHAnsi"/>
                <w:sz w:val="22"/>
                <w:lang w:val="nl-BE"/>
              </w:rPr>
            </w:pPr>
          </w:p>
          <w:p w14:paraId="10871EE4" w14:textId="29C363EF" w:rsidR="006A01C1"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Ο υπουργός Δημόσιας Υγείας,</w:t>
            </w:r>
          </w:p>
          <w:p w14:paraId="107771AC" w14:textId="77777777" w:rsidR="006A01C1" w:rsidRDefault="006A01C1" w:rsidP="00BA3E3D">
            <w:pPr>
              <w:tabs>
                <w:tab w:val="left" w:pos="567"/>
                <w:tab w:val="left" w:pos="2268"/>
              </w:tabs>
              <w:jc w:val="center"/>
              <w:rPr>
                <w:rFonts w:asciiTheme="minorHAnsi" w:hAnsiTheme="minorHAnsi" w:cstheme="minorHAnsi"/>
                <w:sz w:val="22"/>
                <w:lang w:val="nl-BE"/>
              </w:rPr>
            </w:pPr>
          </w:p>
          <w:p w14:paraId="18340A1B" w14:textId="77777777" w:rsidR="006A01C1" w:rsidRDefault="006A01C1" w:rsidP="00BA3E3D">
            <w:pPr>
              <w:tabs>
                <w:tab w:val="left" w:pos="567"/>
                <w:tab w:val="left" w:pos="2268"/>
              </w:tabs>
              <w:jc w:val="center"/>
              <w:rPr>
                <w:rFonts w:asciiTheme="minorHAnsi" w:hAnsiTheme="minorHAnsi" w:cstheme="minorHAnsi"/>
                <w:sz w:val="22"/>
                <w:lang w:val="nl-BE"/>
              </w:rPr>
            </w:pPr>
          </w:p>
          <w:p w14:paraId="4DD669ED" w14:textId="77777777" w:rsidR="006A01C1" w:rsidRDefault="006A01C1" w:rsidP="00BA3E3D">
            <w:pPr>
              <w:tabs>
                <w:tab w:val="left" w:pos="567"/>
                <w:tab w:val="left" w:pos="2268"/>
              </w:tabs>
              <w:jc w:val="center"/>
              <w:rPr>
                <w:rFonts w:asciiTheme="minorHAnsi" w:hAnsiTheme="minorHAnsi" w:cstheme="minorHAnsi"/>
                <w:sz w:val="22"/>
                <w:lang w:val="nl-BE"/>
              </w:rPr>
            </w:pPr>
          </w:p>
          <w:p w14:paraId="2CFF26CE" w14:textId="0621B849" w:rsidR="006A01C1" w:rsidRPr="00B75A8A"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Frank VANDENBROUCKE</w:t>
            </w:r>
          </w:p>
        </w:tc>
      </w:tr>
    </w:tbl>
    <w:p w14:paraId="0559B430" w14:textId="77777777" w:rsidR="00715252" w:rsidRPr="006A01C1" w:rsidRDefault="002F4214">
      <w:pPr>
        <w:rPr>
          <w:lang w:val="nl-BE"/>
        </w:rPr>
      </w:pPr>
    </w:p>
    <w:sectPr w:rsidR="00715252" w:rsidRPr="006A0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C1"/>
    <w:rsid w:val="002F4214"/>
    <w:rsid w:val="006A01C1"/>
    <w:rsid w:val="007F53A8"/>
    <w:rsid w:val="00A414C0"/>
    <w:rsid w:val="00DA62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F310"/>
  <w15:chartTrackingRefBased/>
  <w15:docId w15:val="{D3DB17BE-80D8-43E1-8C50-36CB2894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C1"/>
    <w:pPr>
      <w:spacing w:after="0" w:line="240" w:lineRule="auto"/>
    </w:pPr>
    <w:rPr>
      <w:rFonts w:ascii="Times New Roman" w:eastAsia="Times New Roman" w:hAnsi="Times New Roman" w:cs="Times New Roman"/>
      <w:sz w:val="20"/>
      <w:szCs w:val="20"/>
      <w:lang w:eastAsia="nl-NL"/>
    </w:rPr>
  </w:style>
  <w:style w:type="paragraph" w:styleId="Heading3">
    <w:name w:val="heading 3"/>
    <w:basedOn w:val="Normal"/>
    <w:next w:val="Normal"/>
    <w:link w:val="Heading3Char"/>
    <w:qFormat/>
    <w:rsid w:val="006A01C1"/>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01C1"/>
    <w:rPr>
      <w:rFonts w:ascii="Times New Roman" w:eastAsia="Times New Roman" w:hAnsi="Times New Roman" w:cs="Times New Roman"/>
      <w:b/>
      <w:sz w:val="20"/>
      <w:szCs w:val="20"/>
      <w:lang w:val="el-GR" w:eastAsia="nl-NL"/>
    </w:rPr>
  </w:style>
  <w:style w:type="paragraph" w:styleId="Footer">
    <w:name w:val="footer"/>
    <w:basedOn w:val="Normal"/>
    <w:link w:val="FooterChar"/>
    <w:uiPriority w:val="99"/>
    <w:rsid w:val="006A01C1"/>
    <w:pPr>
      <w:tabs>
        <w:tab w:val="center" w:pos="4536"/>
        <w:tab w:val="right" w:pos="9072"/>
      </w:tabs>
    </w:pPr>
  </w:style>
  <w:style w:type="character" w:customStyle="1" w:styleId="FooterChar">
    <w:name w:val="Footer Char"/>
    <w:basedOn w:val="DefaultParagraphFont"/>
    <w:link w:val="Footer"/>
    <w:uiPriority w:val="99"/>
    <w:rsid w:val="006A01C1"/>
    <w:rPr>
      <w:rFonts w:ascii="Times New Roman" w:eastAsia="Times New Roman" w:hAnsi="Times New Roman" w:cs="Times New Roman"/>
      <w:sz w:val="20"/>
      <w:szCs w:val="20"/>
      <w:lang w:val="el-G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Lefèvre (SPF Santé Publique - FOD Volksgezondheid)</dc:creator>
  <cp:keywords/>
  <dc:description/>
  <cp:lastModifiedBy>Liana Brili</cp:lastModifiedBy>
  <cp:revision>3</cp:revision>
  <dcterms:created xsi:type="dcterms:W3CDTF">2022-12-09T16:25:00Z</dcterms:created>
  <dcterms:modified xsi:type="dcterms:W3CDTF">2022-12-19T09:13:00Z</dcterms:modified>
</cp:coreProperties>
</file>