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FDF6A" w14:textId="231973C4" w:rsidR="00056AAB" w:rsidRDefault="00104411" w:rsidP="003667D0">
      <w:pPr>
        <w:tabs>
          <w:tab w:val="left" w:leader="dot" w:pos="3384"/>
          <w:tab w:val="left" w:leader="dot" w:pos="3888"/>
          <w:tab w:val="left" w:leader="dot" w:pos="4824"/>
        </w:tabs>
        <w:spacing w:line="276" w:lineRule="auto"/>
        <w:ind w:left="1296"/>
        <w:jc w:val="center"/>
        <w:textAlignment w:val="baseline"/>
        <w:rPr>
          <w:rFonts w:asciiTheme="minorHAnsi" w:eastAsia="Calibri" w:hAnsiTheme="minorHAnsi"/>
          <w:b/>
          <w:sz w:val="28"/>
        </w:rPr>
      </w:pPr>
      <w:r>
        <w:rPr>
          <w:rFonts w:asciiTheme="minorHAnsi" w:hAnsiTheme="minorHAnsi"/>
          <w:b/>
          <w:color w:val="000000"/>
          <w:sz w:val="28"/>
        </w:rPr>
        <w:t>KRÁLOVSKÝ VÝNOS</w:t>
      </w:r>
      <w:r>
        <w:rPr>
          <w:rFonts w:asciiTheme="minorHAnsi" w:hAnsiTheme="minorHAnsi"/>
          <w:b/>
          <w:color w:val="000000"/>
          <w:sz w:val="28"/>
        </w:rPr>
        <w:tab/>
        <w:t>/</w:t>
      </w:r>
      <w:r>
        <w:rPr>
          <w:rFonts w:asciiTheme="minorHAnsi" w:hAnsiTheme="minorHAnsi"/>
          <w:b/>
          <w:color w:val="000000"/>
          <w:sz w:val="28"/>
        </w:rPr>
        <w:tab/>
        <w:t>ze dne</w:t>
      </w:r>
      <w:r>
        <w:rPr>
          <w:rFonts w:asciiTheme="minorHAnsi" w:hAnsiTheme="minorHAnsi"/>
          <w:b/>
          <w:color w:val="000000"/>
          <w:sz w:val="28"/>
        </w:rPr>
        <w:tab/>
        <w:t>, kterým se schvaluje norma pro konstrukce odolné proti zemětřesení NCSR-</w:t>
      </w:r>
      <w:r>
        <w:rPr>
          <w:rFonts w:asciiTheme="minorHAnsi" w:hAnsiTheme="minorHAnsi"/>
          <w:b/>
          <w:sz w:val="28"/>
        </w:rPr>
        <w:t>23</w:t>
      </w:r>
    </w:p>
    <w:p w14:paraId="227AE49F" w14:textId="77777777" w:rsidR="003667D0" w:rsidRPr="006D4B4B" w:rsidRDefault="003667D0" w:rsidP="003667D0">
      <w:pPr>
        <w:tabs>
          <w:tab w:val="left" w:leader="dot" w:pos="3384"/>
          <w:tab w:val="left" w:leader="dot" w:pos="3888"/>
          <w:tab w:val="left" w:leader="dot" w:pos="4824"/>
        </w:tabs>
        <w:spacing w:line="276" w:lineRule="auto"/>
        <w:ind w:left="1296"/>
        <w:textAlignment w:val="baseline"/>
        <w:rPr>
          <w:rFonts w:asciiTheme="minorHAnsi" w:eastAsia="Calibri" w:hAnsiTheme="minorHAnsi"/>
          <w:b/>
          <w:sz w:val="28"/>
          <w:lang w:val="es-ES"/>
        </w:rPr>
      </w:pPr>
    </w:p>
    <w:p w14:paraId="418AC172" w14:textId="37EBFE33" w:rsidR="00A44FF2" w:rsidRDefault="00104411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Stálý výbor pro normy v oblasti ochrany před zemětřesením, meziresortní kolektivní orgán zřízený výnosem 3209/1974 ze dne 30. srpna, připojený při ministerstvu dopravy, mobility a městské agendy a v rámci generálního ředitelství Národního zeměpisného institutu, jak je stanoveno v královském výnosu 645/2020 ze dne 7. července, kterým se rozvíjí základní organizační struktura ministerstva dopravy, mobility a městské agendy mezi jeho funkcemi, je pověřen aktualizací nařízení týkající se ochrany před zemětřesením, jak je stanoveno v čl. 2 písm. B) královského výnosu 518/1984 ze dne 22. února, kterým se reorganizuje jeho složení.</w:t>
      </w:r>
    </w:p>
    <w:p w14:paraId="032C0763" w14:textId="4901726A" w:rsidR="00C25687" w:rsidRDefault="00757E5B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Dosud jsou stávající předpisy zahrnuty do „Normy pro konstrukce odolné proti zemětřesení: Obecná část a budovy (NCSE-02)“ schválené královským výnosem 997/2002 ze dne 27. září a do „Normy pro konstrukce odolné proti zemětřesení: Mosty (NCSP-07)“ schválené královským výnosem 637/2007 ze dne 18. května. Doba, která uplynula od jejich schválení, vyžaduje, aby byly z technických i regulačních důvodů revidovány a aktualizovány s cílem přizpůsobit předpisy současnému stavu znalostí v oblasti seismologie a seismického inženýrství, jakož i regulačnímu rámci, v němž musí být uplatňována.</w:t>
      </w:r>
    </w:p>
    <w:p w14:paraId="00D9E943" w14:textId="08D48EDA" w:rsidR="0008161F" w:rsidRDefault="0008161F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Stálý výbor pro normy v oblasti ochrany před zemětřesením vypracoval v rámci výkonu svých funkcí novou normu v oblasti ochrany budov před zemětřesením, která nahrazuje výše uvedené normy a začleňuje nejdůležitější aspekty evropských předpisů pro stavební výpočty v souladu s postupy stanovenými ve stavebních normách – Eurokódech a rozšiřuje jejich obsah o více strukturních typologií. Nová norma stanoví technické podmínky, které musí stavební konstrukce a inženýrské práce splňovat, aby jejich odolnost, když čelí seismickým jevům, zabránila vážným důsledkům pro zdraví a bezpečnost lidí, ekonomickým ztrátám a podporovala zachování základních služeb pro společnost v případě zemětřesení s vysokou intenzitou.</w:t>
      </w:r>
    </w:p>
    <w:p w14:paraId="6F2451EE" w14:textId="77777777" w:rsidR="004459F4" w:rsidRPr="004459F4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Tento královský výnos je v souladu se zásadami nezbytnosti, účinnosti, proporcionality, právní jistoty, transparentnosti a efektivity stanovenými v článku 129 zákona 39/2015 ze dne 1. října o společném správním postupu pro orgány veřejné správy. </w:t>
      </w:r>
    </w:p>
    <w:p w14:paraId="4A3F3D5F" w14:textId="0682A2D0" w:rsidR="001D206B" w:rsidRDefault="007F2FE2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Je v souladu se zásadami nezbytnosti a účinnosti, protože uplatňování nové normy týkající se ochrany před zemětřesením představuje s ohledem na předchozí předpisy pokrok ve znalostech a určení seismické aktivity a také objasnění používání pojmů a požadavků odolnosti proti zemětřesení a tažnosti, které musí být vyžadovány u stavebních konstrukcí v seismických zónách. Projekt nenarušuje hospodářskou soutěž na trhu, ale podporuje ji tím, že reguluje aspekty, na něž se stávající nařízení nevztahují. Je rovněž v souladu se zásadou proporcionality, neboť norma obsahuje pravidla nezbytná k uspokojení výše popsané potřeby, aniž by existovala jiná opatření, která méně omezují práva nebo ukládají méně povinností adresátům, a se zásadou právní jistoty vzhledem k jejich začlenění do právního řádu, a to v plném souladu s platnými vnitrostátními i evropskými předpisy. Zásada transparentnosti je zaručena, jelikož byly dodrženy všechny informační postupy uvedené ve vládním zákoně 50/1997 ze dne 27. listopadu a norma byla zveřejněna na portálu transparentnosti španělské vlády. A konečně, při uplatňování zásady efektivity, tato norma nevede ke zvýšení dodatečné administrativní zátěže ani zvýšení veřejných výdajů.</w:t>
      </w:r>
    </w:p>
    <w:p w14:paraId="53F4DA01" w14:textId="712176A3" w:rsidR="004459F4" w:rsidRPr="004459F4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lastRenderedPageBreak/>
        <w:t xml:space="preserve">Tento královský výnos se vydává podle ustanovení </w:t>
      </w:r>
      <w:r>
        <w:rPr>
          <w:rFonts w:asciiTheme="minorHAnsi" w:hAnsiTheme="minorHAnsi"/>
        </w:rPr>
        <w:t xml:space="preserve">v článku 149.1.13a španělské ústavy, </w:t>
      </w:r>
      <w:r>
        <w:rPr>
          <w:rFonts w:asciiTheme="minorHAnsi" w:hAnsiTheme="minorHAnsi"/>
          <w:color w:val="000000" w:themeColor="text1"/>
        </w:rPr>
        <w:t>který přisuzuje pravomoci státu v záležitostech základů a koordinace obecného plánování hospodářské činnosti.</w:t>
      </w:r>
    </w:p>
    <w:p w14:paraId="343DD835" w14:textId="77777777" w:rsidR="004459F4" w:rsidRPr="004459F4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Proces přípravy tohoto královského výnosu splnil postup stanovený zákonem vlády 50/1997 ze dne 27. listopadu a směrnicí Evropského parlamentu a Rady (EU) 2015/1535 ze dne 9. září o postupu při poskytování informací v oblasti technických předpisů a předpisů pro služby informační společnosti, jakož i královským výnosem č. 1337/1999 ze dne 31. července o poskytování informací v oblasti technických předpisů a předpisů týkajících se služeb informační společnosti. </w:t>
      </w:r>
    </w:p>
    <w:p w14:paraId="288E1E12" w14:textId="6459E5E4" w:rsidR="004459F4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Tento královský výnos je přijat z podnětu Stálého výboru pro normy v oblasti ochrany před zemětřesením.</w:t>
      </w:r>
    </w:p>
    <w:p w14:paraId="42144605" w14:textId="312B0DF6" w:rsidR="00056AAB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 w:themeColor="text1"/>
        </w:rPr>
        <w:t xml:space="preserve">S ohledem na výše uvedené, na návrh ministra dopravy, mobility a městské agendy </w:t>
      </w:r>
      <w:r>
        <w:rPr>
          <w:rFonts w:asciiTheme="minorHAnsi" w:hAnsiTheme="minorHAnsi"/>
          <w:color w:val="000000"/>
        </w:rPr>
        <w:t>a po projednání v Radě ministrů dne...</w:t>
      </w:r>
    </w:p>
    <w:p w14:paraId="01FC4263" w14:textId="77777777" w:rsidR="004459F4" w:rsidRPr="00033771" w:rsidRDefault="004459F4" w:rsidP="004459F4">
      <w:pPr>
        <w:suppressAutoHyphens/>
        <w:ind w:firstLine="425"/>
        <w:jc w:val="both"/>
        <w:rPr>
          <w:rFonts w:asciiTheme="minorHAnsi" w:eastAsia="Times New Roman" w:hAnsiTheme="minorHAnsi" w:cstheme="minorHAnsi"/>
          <w:color w:val="000000"/>
          <w:lang w:val="pt-PT"/>
        </w:rPr>
      </w:pPr>
    </w:p>
    <w:p w14:paraId="1ECEFAB2" w14:textId="77777777" w:rsidR="00056AAB" w:rsidRPr="006D4B4B" w:rsidRDefault="00104411" w:rsidP="00AD035F">
      <w:pPr>
        <w:spacing w:after="240" w:line="276" w:lineRule="auto"/>
        <w:jc w:val="center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</w:rPr>
        <w:t>TÍMTO NAŘIZUJI</w:t>
      </w:r>
    </w:p>
    <w:p w14:paraId="05744015" w14:textId="77777777" w:rsidR="00056AAB" w:rsidRPr="00D35EA2" w:rsidRDefault="00104411" w:rsidP="00AD035F">
      <w:pPr>
        <w:spacing w:after="240" w:line="276" w:lineRule="auto"/>
        <w:textAlignment w:val="baseline"/>
        <w:rPr>
          <w:rFonts w:asciiTheme="minorHAnsi" w:eastAsia="Times New Roman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Článek 1 Účel</w:t>
      </w:r>
    </w:p>
    <w:p w14:paraId="721FFEF1" w14:textId="46A6063B" w:rsidR="0046432E" w:rsidRDefault="00104411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Schvaluje se norma NCSR-23 pro konstrukce odolné proti zemětřesení, která stanoví základní pojmy a požadavky, jež musí splňovat konstrukce nacházející se v seismických zónách ve Španělsku, kromě dodržování ostatních platných předpisů týkajících se staveb. </w:t>
      </w:r>
    </w:p>
    <w:p w14:paraId="78734A0A" w14:textId="7654B8F0" w:rsidR="009C173C" w:rsidRPr="00870C22" w:rsidRDefault="009C173C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Stavby a konstrukce, které mohou být vystaveny zemětřesení, musí být projektovány, vybudovány a dokumentovány s ohledem na seismické zatížení v souladu s ustanoveními šesti příloh, které tvoří tuto normu týkající se ochrany před zemětřesením a které jsou uvedené níže:</w:t>
      </w:r>
    </w:p>
    <w:p w14:paraId="79EC5159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Příloha 1: Obecná pravidla, seismická aktivita a stavební pravidla.</w:t>
      </w:r>
    </w:p>
    <w:p w14:paraId="79F9BCF0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Příloha 2: Mosty</w:t>
      </w:r>
    </w:p>
    <w:p w14:paraId="7CD23BE5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Příloha 3: Hodnocení a uzpůsobení budov seismické aktivitě.</w:t>
      </w:r>
    </w:p>
    <w:p w14:paraId="2850B202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Příloha 4: Sila, nádrže a potrubí.</w:t>
      </w:r>
    </w:p>
    <w:p w14:paraId="3AC9CD45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Příloha 5: Základy, podpůrné konstrukce a geotechnické aspekty.</w:t>
      </w:r>
    </w:p>
    <w:p w14:paraId="6AD4A209" w14:textId="1CF81FB4" w:rsid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Příloha 6: Věže, stožáry a komíny.</w:t>
      </w:r>
    </w:p>
    <w:p w14:paraId="75E4EE37" w14:textId="77777777" w:rsidR="00870C22" w:rsidRPr="00033771" w:rsidRDefault="00870C22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</w:p>
    <w:p w14:paraId="7A592887" w14:textId="3BD133CC" w:rsidR="009C173C" w:rsidRPr="00870C22" w:rsidRDefault="009C173C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Alternativně může autor projektu a případné vedení projektu při využití svých pravomocí na základě své odpovědnosti a předchozího souhlasu vlastníka přijmout jiná řešení, která se částečně nebo zcela odchylují od postupů uvedených v předchozích přílohách (prostřednictvím různých systémů výpočtu, stavebních opatření atd.) za předpokladu, že je doloženo, že konstrukce splňuje požadavky této normy týkající se ochrany před zemětřesením a dosahuje přinejmenším hodnot rovnocenných s těmi, kterých by bylo dosaženo uplatněním postupů této normy.</w:t>
      </w:r>
    </w:p>
    <w:p w14:paraId="23196ECE" w14:textId="4C7A0717" w:rsidR="00056AAB" w:rsidRPr="00822C26" w:rsidRDefault="00104411" w:rsidP="00AD035F">
      <w:pPr>
        <w:spacing w:after="240" w:line="276" w:lineRule="auto"/>
        <w:textAlignment w:val="baseline"/>
        <w:rPr>
          <w:rFonts w:asciiTheme="minorHAnsi" w:eastAsia="Times New Roman" w:hAnsiTheme="minorHAnsi"/>
          <w:b/>
          <w:color w:val="000000"/>
          <w:lang w:val="el-GR"/>
        </w:rPr>
      </w:pPr>
      <w:r>
        <w:rPr>
          <w:rFonts w:asciiTheme="minorHAnsi" w:hAnsiTheme="minorHAnsi"/>
          <w:b/>
          <w:color w:val="000000"/>
        </w:rPr>
        <w:t>Článek 2 Oblast působnosti</w:t>
      </w:r>
    </w:p>
    <w:p w14:paraId="1B40A98A" w14:textId="0DDD90E1" w:rsidR="00A623A2" w:rsidRPr="00870C22" w:rsidRDefault="00104411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Požadavky na obsah této normy související s ochranou proti zemětřesení se vztahují na všechny projekty a stavební práce nových budov, mostů, věží, stožárů, komínů, sil, nádrží, potrubí, podpůrných konstrukcí a jejich základů, jakož i na geotechnické projekty. </w:t>
      </w:r>
    </w:p>
    <w:p w14:paraId="7968B2C8" w14:textId="3FBBAE08" w:rsidR="00A623A2" w:rsidRPr="00870C22" w:rsidRDefault="00A623A2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lastRenderedPageBreak/>
        <w:t>Stejně tak se tato norma vztahuje na seismické hodnocení stávajících budov a případně i na jejich úpravu v případech, kdy jsou prováděny práce na renovaci nebo restaurování staveb dostatečné závažnosti nebo pokud jsou taková posouzení či úpravy vyžadovány. Pro účely této normy v oblasti odolnosti proti zemětřesení zahrnuje uzpůsobení budov seismické aktivitě jak posílení nepoškozených konstrukcí, tak posílení konstrukcí poškozených zemětřesením.</w:t>
      </w:r>
    </w:p>
    <w:p w14:paraId="3286098A" w14:textId="1B39F053" w:rsidR="00A623A2" w:rsidRPr="00870C22" w:rsidRDefault="00A623A2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Podmínky, které mohou vyžadovat seismické posouzení jednotlivých budov – což může vést k zjištění přiměřenosti – nespadají do předmětu a oblasti působnosti této normy.</w:t>
      </w:r>
    </w:p>
    <w:p w14:paraId="2602E605" w14:textId="1659E960" w:rsidR="00A623A2" w:rsidRPr="008A2896" w:rsidRDefault="00104411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Je-li to vhodné, může být tato norma týkající se odolnosti proti zemětřesení použita i u jiných typů konstrukcí, které nejsou výslovně zahrnuty do její oblasti působnosti, pokud pro ně neexistují zvláštní pravidla nebo ustanovení a za předpokladu, že nejsou z její působnosti výslovně vyloučeny.</w:t>
      </w:r>
    </w:p>
    <w:p w14:paraId="163A6949" w14:textId="735DB3B4" w:rsidR="00671CE6" w:rsidRPr="00D35EA2" w:rsidRDefault="00671CE6" w:rsidP="00AD035F">
      <w:pPr>
        <w:pStyle w:val="parrafo"/>
        <w:shd w:val="clear" w:color="auto" w:fill="FFFFFF"/>
        <w:spacing w:before="0" w:beforeAutospacing="0" w:after="240" w:afterAutospacing="0"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</w:rPr>
        <w:t>Jediné přechodné ustanovení. Aplikace na návrhy a práce.</w:t>
      </w:r>
    </w:p>
    <w:p w14:paraId="7E1DEF06" w14:textId="77777777" w:rsidR="006D4B4B" w:rsidRPr="00870C22" w:rsidRDefault="006D4B4B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Tento královský výnos se nevztahuje na stavební práce na projektech, jejichž vypracování nebo studie v oblasti veřejné správy, případně udělení zakázky v jiných případech, byly provedeny před vstupem tohoto královského výnosu v platnost, jakož i na stavební práce, které byly zahájeny ve lhůtě nepřesahující dva roky od tohoto vstupu v platnost, s výjimkou případů, kdy se příslušná veřejná správa nebo zadavatel přihlásí k plnění normy dobrovolně. </w:t>
      </w:r>
    </w:p>
    <w:p w14:paraId="7A84DDAE" w14:textId="781A6671" w:rsidR="00870C22" w:rsidRPr="006D4B4B" w:rsidRDefault="006D4B4B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 xml:space="preserve">Tento královský výnos se nepoužije v oblasti stavebních prací na projektech, které požádaly o obecní stavební povolení, nebo o něj požádají do devíti měsíců od vstupu tohoto královského výnosu v platnost. V takovém případě se použije královský výnos 997/2002 ze dne 27. září, kterým se schvaluje norma pro konstrukce odolné proti zemětřesení: Obecná část a budovy (NCSE-02). Tyto práce musejí být zahájeny v maximální době účinnosti uvedeného povolení v souladu s příslušnými právními předpisy, a pokud k zahájení nedojde, ve lhůtě nepřesahující šest měsíců ode dne udělení uvedeného povolení. Projekty musí být jinak přizpůsobeny ustanovením tohoto královského výnosu. </w:t>
      </w:r>
    </w:p>
    <w:p w14:paraId="620031EA" w14:textId="77777777" w:rsidR="008A1694" w:rsidRPr="00D35EA2" w:rsidRDefault="008A1694" w:rsidP="00AD035F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Jediné ustanovení o zrušení. Zrušení právních předpisů</w:t>
      </w:r>
    </w:p>
    <w:p w14:paraId="3C87D465" w14:textId="41A1036B" w:rsidR="002B1514" w:rsidRPr="00870C22" w:rsidRDefault="002B1514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Vstupem tohoto královského výnosu v platnost se zrušuje královský výnos 997/2002 ze dne 27. září, kterou se schvaluje norma pro konstrukce odolné proti zemětřesení: obecná část a budovy (NCSE-02) a královský výnos č. 637/2007 ze dne 18. května, kterým se schvaluje norma pro budovy odolné proti zemětřesení: Mosty (NCSP-07).</w:t>
      </w:r>
    </w:p>
    <w:p w14:paraId="590D095E" w14:textId="77777777" w:rsidR="00870C22" w:rsidRPr="00033771" w:rsidRDefault="00870C22" w:rsidP="00870C22">
      <w:pPr>
        <w:spacing w:after="120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</w:p>
    <w:p w14:paraId="41EC003B" w14:textId="24B0084C" w:rsidR="00EC6A57" w:rsidRPr="00D35EA2" w:rsidRDefault="00EC6A57" w:rsidP="00AD035F">
      <w:pPr>
        <w:spacing w:after="240" w:line="276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První závěrečné ustanovení. Svěření pravomocí</w:t>
      </w:r>
    </w:p>
    <w:p w14:paraId="15D1B399" w14:textId="52F39719" w:rsidR="00EC6A57" w:rsidRPr="00870C22" w:rsidRDefault="00EC6A57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Tento královský výnos má základní povahu a je vydána podle ustanovení článku 149.1.13a španělské ústavy, který svěřuje státu výlučnou pravomoc týkající se základů a koordinace obecného plánování hospodářské činnosti. </w:t>
      </w:r>
    </w:p>
    <w:p w14:paraId="28E3B818" w14:textId="77777777" w:rsidR="00671CE6" w:rsidRPr="00AD035F" w:rsidRDefault="002B1514" w:rsidP="00AD035F">
      <w:pPr>
        <w:spacing w:after="240" w:line="276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 xml:space="preserve">Druhé závěrečné ustanovení. </w:t>
      </w:r>
      <w:r>
        <w:rPr>
          <w:rFonts w:asciiTheme="minorHAnsi" w:hAnsiTheme="minorHAnsi"/>
          <w:b/>
          <w:color w:val="333333"/>
        </w:rPr>
        <w:t>Prováděcí orgán</w:t>
      </w:r>
    </w:p>
    <w:p w14:paraId="431A3D72" w14:textId="7CF39534" w:rsidR="00671CE6" w:rsidRPr="00870C22" w:rsidRDefault="00671CE6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Držitel ministerstva dopravy, mobility a městské agendy je oprávněn vydávat nezbytná ustanovení pro vypracování a uplatňování ustanovení tohoto královského výnosu.</w:t>
      </w:r>
    </w:p>
    <w:p w14:paraId="3568A83D" w14:textId="72D1D66B" w:rsidR="00391221" w:rsidRDefault="00391221" w:rsidP="00391221">
      <w:pPr>
        <w:spacing w:after="240" w:line="276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lastRenderedPageBreak/>
        <w:t>Třetí závěrečné ustanovení. Oprávnění k aktualizaci dodatků E, F a G přílohy 1 normy pro budovy odolné proti zemětřesení.</w:t>
      </w:r>
    </w:p>
    <w:p w14:paraId="272F5E7E" w14:textId="319390A4" w:rsidR="00391221" w:rsidRPr="00870C22" w:rsidRDefault="00391221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Vedoucí činitel ministerstva dopravy, mobility a městské agendy je oprávněn aktualizovat mapu nebezpečnosti stanovenou v dodatcích E a F přílohy 1 a seznam norem uvedený v dodatku G k příloze 1, pokud jsou tyto aktualizace určeny k uvedení tohoto obsahu do souladu s technickým pokrokem nebo s právními předpisy Společenství.</w:t>
      </w:r>
    </w:p>
    <w:p w14:paraId="60B41840" w14:textId="4C5BA609" w:rsidR="002B1514" w:rsidRPr="00D35EA2" w:rsidRDefault="00671CE6" w:rsidP="00AD035F">
      <w:pPr>
        <w:spacing w:after="240" w:line="276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Čtvrté závěrečné ustanovení. Vstup v platnost</w:t>
      </w:r>
    </w:p>
    <w:p w14:paraId="78134748" w14:textId="2E12FD18" w:rsidR="00066186" w:rsidRPr="00870C22" w:rsidRDefault="00066186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Tento královský výnos nabývá účinnosti dne </w:t>
      </w:r>
      <w:r>
        <w:rPr>
          <w:rFonts w:asciiTheme="minorHAnsi" w:hAnsiTheme="minorHAnsi"/>
          <w:color w:val="000000"/>
          <w:highlight w:val="yellow"/>
        </w:rPr>
        <w:t>1. července 2023.</w:t>
      </w:r>
      <w:r>
        <w:rPr>
          <w:rFonts w:asciiTheme="minorHAnsi" w:hAnsiTheme="minorHAnsi"/>
          <w:color w:val="000000"/>
        </w:rPr>
        <w:t xml:space="preserve"> </w:t>
      </w:r>
    </w:p>
    <w:p w14:paraId="16A294E9" w14:textId="77777777" w:rsidR="00056AAB" w:rsidRPr="00033771" w:rsidRDefault="00056AAB" w:rsidP="00870C22">
      <w:pPr>
        <w:spacing w:after="120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</w:p>
    <w:sectPr w:rsidR="00056AAB" w:rsidRPr="00033771" w:rsidSect="00AD035F">
      <w:pgSz w:w="11904" w:h="16843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Symbo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B4E5C"/>
    <w:multiLevelType w:val="hybridMultilevel"/>
    <w:tmpl w:val="8282418A"/>
    <w:lvl w:ilvl="0" w:tplc="9EE2D7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5081E"/>
    <w:multiLevelType w:val="hybridMultilevel"/>
    <w:tmpl w:val="A1AA6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764CB"/>
    <w:multiLevelType w:val="hybridMultilevel"/>
    <w:tmpl w:val="648E0C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63DD5"/>
    <w:multiLevelType w:val="hybridMultilevel"/>
    <w:tmpl w:val="7E6A3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F6DA7"/>
    <w:multiLevelType w:val="hybridMultilevel"/>
    <w:tmpl w:val="5952024C"/>
    <w:lvl w:ilvl="0" w:tplc="8BDE2D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924DB"/>
    <w:multiLevelType w:val="hybridMultilevel"/>
    <w:tmpl w:val="38A47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93A6A"/>
    <w:multiLevelType w:val="hybridMultilevel"/>
    <w:tmpl w:val="68D8974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EFEF88C">
      <w:numFmt w:val="bullet"/>
      <w:lvlText w:val="−"/>
      <w:lvlJc w:val="left"/>
      <w:pPr>
        <w:ind w:left="1800" w:hanging="360"/>
      </w:pPr>
      <w:rPr>
        <w:rFonts w:ascii="Symbol" w:eastAsia="Symbol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BE5E98"/>
    <w:multiLevelType w:val="multilevel"/>
    <w:tmpl w:val="6BF032CE"/>
    <w:lvl w:ilvl="0">
      <w:start w:val="1"/>
      <w:numFmt w:val="lowerLetter"/>
      <w:lvlText w:val="%1)"/>
      <w:lvlJc w:val="left"/>
      <w:pPr>
        <w:tabs>
          <w:tab w:val="left" w:pos="288"/>
        </w:tabs>
        <w:ind w:left="720"/>
      </w:pPr>
      <w:rPr>
        <w:rFonts w:ascii="Times New Roman" w:eastAsia="Times New Roman" w:hAnsi="Times New Roman"/>
        <w:i/>
        <w:strike w:val="0"/>
        <w:color w:val="000000"/>
        <w:spacing w:val="-1"/>
        <w:w w:val="100"/>
        <w:sz w:val="2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2145648">
    <w:abstractNumId w:val="7"/>
  </w:num>
  <w:num w:numId="2" w16cid:durableId="122771378">
    <w:abstractNumId w:val="6"/>
  </w:num>
  <w:num w:numId="3" w16cid:durableId="851191015">
    <w:abstractNumId w:val="1"/>
  </w:num>
  <w:num w:numId="4" w16cid:durableId="1200095656">
    <w:abstractNumId w:val="5"/>
  </w:num>
  <w:num w:numId="5" w16cid:durableId="781075475">
    <w:abstractNumId w:val="3"/>
  </w:num>
  <w:num w:numId="6" w16cid:durableId="1567036530">
    <w:abstractNumId w:val="2"/>
  </w:num>
  <w:num w:numId="7" w16cid:durableId="153647272">
    <w:abstractNumId w:val="0"/>
  </w:num>
  <w:num w:numId="8" w16cid:durableId="642393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AAB"/>
    <w:rsid w:val="00002183"/>
    <w:rsid w:val="0003132D"/>
    <w:rsid w:val="00033771"/>
    <w:rsid w:val="0003636B"/>
    <w:rsid w:val="00056AAB"/>
    <w:rsid w:val="00066186"/>
    <w:rsid w:val="0008161F"/>
    <w:rsid w:val="000E2974"/>
    <w:rsid w:val="00104411"/>
    <w:rsid w:val="00130D08"/>
    <w:rsid w:val="00136068"/>
    <w:rsid w:val="0013710F"/>
    <w:rsid w:val="00152A30"/>
    <w:rsid w:val="001C12F0"/>
    <w:rsid w:val="001C2399"/>
    <w:rsid w:val="001D206B"/>
    <w:rsid w:val="001F1C94"/>
    <w:rsid w:val="00210209"/>
    <w:rsid w:val="002A3B32"/>
    <w:rsid w:val="002B1514"/>
    <w:rsid w:val="002C6DA3"/>
    <w:rsid w:val="002D0987"/>
    <w:rsid w:val="002D2E92"/>
    <w:rsid w:val="002E7538"/>
    <w:rsid w:val="0030003E"/>
    <w:rsid w:val="00342738"/>
    <w:rsid w:val="00365BA2"/>
    <w:rsid w:val="003667D0"/>
    <w:rsid w:val="00391221"/>
    <w:rsid w:val="003D354D"/>
    <w:rsid w:val="003F52BD"/>
    <w:rsid w:val="00401E8F"/>
    <w:rsid w:val="00434546"/>
    <w:rsid w:val="004459F4"/>
    <w:rsid w:val="00455175"/>
    <w:rsid w:val="0046432E"/>
    <w:rsid w:val="004B0B49"/>
    <w:rsid w:val="004B543F"/>
    <w:rsid w:val="004B66B6"/>
    <w:rsid w:val="004C145B"/>
    <w:rsid w:val="004C422D"/>
    <w:rsid w:val="004D7B7B"/>
    <w:rsid w:val="004E3665"/>
    <w:rsid w:val="004F7A2A"/>
    <w:rsid w:val="004F7A3E"/>
    <w:rsid w:val="00503AEE"/>
    <w:rsid w:val="00520FBD"/>
    <w:rsid w:val="0056199D"/>
    <w:rsid w:val="00561DF5"/>
    <w:rsid w:val="005941F1"/>
    <w:rsid w:val="005B5A4A"/>
    <w:rsid w:val="006258F9"/>
    <w:rsid w:val="00627472"/>
    <w:rsid w:val="00635ED0"/>
    <w:rsid w:val="0066229B"/>
    <w:rsid w:val="00671CE6"/>
    <w:rsid w:val="00684B40"/>
    <w:rsid w:val="006D4B4B"/>
    <w:rsid w:val="006F452F"/>
    <w:rsid w:val="00751B2B"/>
    <w:rsid w:val="00757E5B"/>
    <w:rsid w:val="007759A4"/>
    <w:rsid w:val="007779ED"/>
    <w:rsid w:val="007C0BC6"/>
    <w:rsid w:val="007C1533"/>
    <w:rsid w:val="007D1EA2"/>
    <w:rsid w:val="007D4EDB"/>
    <w:rsid w:val="007E79FC"/>
    <w:rsid w:val="007F2FE2"/>
    <w:rsid w:val="00812799"/>
    <w:rsid w:val="00816242"/>
    <w:rsid w:val="00822C26"/>
    <w:rsid w:val="0085711C"/>
    <w:rsid w:val="00870C22"/>
    <w:rsid w:val="0087216F"/>
    <w:rsid w:val="00875897"/>
    <w:rsid w:val="00875F75"/>
    <w:rsid w:val="008A1694"/>
    <w:rsid w:val="008A2896"/>
    <w:rsid w:val="008A5EAC"/>
    <w:rsid w:val="008F3B9A"/>
    <w:rsid w:val="008F448A"/>
    <w:rsid w:val="0090284B"/>
    <w:rsid w:val="0092197D"/>
    <w:rsid w:val="00941C30"/>
    <w:rsid w:val="00961FB7"/>
    <w:rsid w:val="0099627E"/>
    <w:rsid w:val="009A14BF"/>
    <w:rsid w:val="009C173C"/>
    <w:rsid w:val="00A03734"/>
    <w:rsid w:val="00A11575"/>
    <w:rsid w:val="00A23F54"/>
    <w:rsid w:val="00A4123A"/>
    <w:rsid w:val="00A44FF2"/>
    <w:rsid w:val="00A623A2"/>
    <w:rsid w:val="00A65116"/>
    <w:rsid w:val="00A8506E"/>
    <w:rsid w:val="00A86943"/>
    <w:rsid w:val="00A953ED"/>
    <w:rsid w:val="00AA0AA7"/>
    <w:rsid w:val="00AB2735"/>
    <w:rsid w:val="00AB4370"/>
    <w:rsid w:val="00AC62C6"/>
    <w:rsid w:val="00AD035F"/>
    <w:rsid w:val="00AD4F83"/>
    <w:rsid w:val="00AE18FE"/>
    <w:rsid w:val="00AE64D3"/>
    <w:rsid w:val="00B06375"/>
    <w:rsid w:val="00B15BD6"/>
    <w:rsid w:val="00B66C50"/>
    <w:rsid w:val="00B8158C"/>
    <w:rsid w:val="00B85F2E"/>
    <w:rsid w:val="00BC4DEC"/>
    <w:rsid w:val="00BF08C0"/>
    <w:rsid w:val="00C24625"/>
    <w:rsid w:val="00C25687"/>
    <w:rsid w:val="00C42C4C"/>
    <w:rsid w:val="00C56500"/>
    <w:rsid w:val="00C56E96"/>
    <w:rsid w:val="00C67310"/>
    <w:rsid w:val="00C67639"/>
    <w:rsid w:val="00C726AF"/>
    <w:rsid w:val="00C8179D"/>
    <w:rsid w:val="00CF1EDD"/>
    <w:rsid w:val="00D047F0"/>
    <w:rsid w:val="00D05ABE"/>
    <w:rsid w:val="00D06621"/>
    <w:rsid w:val="00D13113"/>
    <w:rsid w:val="00D32AC2"/>
    <w:rsid w:val="00D35EA2"/>
    <w:rsid w:val="00D3777E"/>
    <w:rsid w:val="00D42767"/>
    <w:rsid w:val="00D67613"/>
    <w:rsid w:val="00D85648"/>
    <w:rsid w:val="00DC7ED2"/>
    <w:rsid w:val="00DD25A7"/>
    <w:rsid w:val="00DF0C32"/>
    <w:rsid w:val="00E2216E"/>
    <w:rsid w:val="00E4356E"/>
    <w:rsid w:val="00E44A93"/>
    <w:rsid w:val="00E65D34"/>
    <w:rsid w:val="00E72C90"/>
    <w:rsid w:val="00E920E0"/>
    <w:rsid w:val="00EC6A57"/>
    <w:rsid w:val="00EE3876"/>
    <w:rsid w:val="00EE3B24"/>
    <w:rsid w:val="00EF3F4C"/>
    <w:rsid w:val="00F03832"/>
    <w:rsid w:val="00F04B63"/>
    <w:rsid w:val="00F82079"/>
    <w:rsid w:val="00F95923"/>
    <w:rsid w:val="00FC7390"/>
    <w:rsid w:val="00FD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122A2"/>
  <w15:docId w15:val="{5A6698CD-469E-4174-8D24-404E854D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B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242"/>
    <w:rPr>
      <w:rFonts w:ascii="Segoe UI" w:hAnsi="Segoe UI" w:cs="Segoe UI"/>
      <w:sz w:val="18"/>
      <w:szCs w:val="18"/>
    </w:rPr>
  </w:style>
  <w:style w:type="paragraph" w:customStyle="1" w:styleId="parrafo">
    <w:name w:val="parrafo"/>
    <w:basedOn w:val="Normal"/>
    <w:rsid w:val="00671CE6"/>
    <w:pPr>
      <w:spacing w:before="100" w:beforeAutospacing="1" w:after="100" w:afterAutospacing="1"/>
    </w:pPr>
    <w:rPr>
      <w:rFonts w:eastAsia="Times New Roman"/>
      <w:sz w:val="24"/>
      <w:szCs w:val="24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8571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71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71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1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11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1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18A3F-B80B-403D-ADAD-BBAEBBAA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Groba López Mónica</dc:creator>
  <cp:lastModifiedBy>Anastasia Stavroulaki</cp:lastModifiedBy>
  <cp:revision>16</cp:revision>
  <cp:lastPrinted>2021-08-26T09:18:00Z</cp:lastPrinted>
  <dcterms:created xsi:type="dcterms:W3CDTF">2022-09-20T11:25:00Z</dcterms:created>
  <dcterms:modified xsi:type="dcterms:W3CDTF">2023-03-31T12:35:00Z</dcterms:modified>
</cp:coreProperties>
</file>