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ОБЩИ РАЗПОРЕДБИ</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МИНИСТЕРСТВО НА ЗЕМЕДЕЛИЕТО, РИБАРСТВОТО И ХРАНИТЕ</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Кралски указ 840/2024 от 27 август 2024 г. за изменение на Кралски указ 1051/2022 от 27 декември 2022 г. за определяне на правилата за устойчиво подхранване в селскостопанските почви.</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С Кралски указ 1051/2022 от 27 декември 2022 г. за определяне на правилата за устойчиво подхранване в селскостопанските почви се установяват някои основни правила за рационалното наторяване на култури чрез минимални добри селскостопански практики, които следва да се вземат предвид при прилагането на хранителни вещества в селскостопанските почви. В допълнение се установява общ регистър на производителите и другите икономически оператори на продукти за наторяване с двойната цел — като се подобрява надзорът на пазара в съответствие с разпоредбите на Регламент (ЕС) 2019/1009 на Европейския парламент и на Съвета от 5 юни 2019 г. за определяне на правила за предоставяне на пазара на ЕС продукти за наторяване и Кралски указ 506/2013 от 26 юни 2013 г. относно продуктите за наторяване, както и с Регламент (ЕС) 2019/1020 на Европейския парламент и на Съвета от 20 юни 2019 г. относно надзора на пазара и съответствието на продуктите, като същевременно се улеснява събирането на данни с цел подобряване на изчисляването на емисиите във въздуха, дължащи се на използването на продукти за наторяване. Наред с други въпроси, с настоящия кралски указ се регламентира професията „съветник по наторяване“, която не е регламентирана професия съгласно член 36 от Конституцията на Испания.</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След като повече от година се прилага настоящата наредба, понастоящем е необходимо да се улесни изпълнението на някои технически аспекти, да се засили съгласуваността с други наредби в сектора, като например Закон 7/2022 от 8 април 2022 г. относно отпадъците и замърсените почви за кръговата икономика или секторните регионални разпоредби, и да се разясни неясната формулировка. За тази цел се изменят разпоредбите, отнасящи се до регистъра на стопанството, плана за наторяване и тези, с които се улеснява използването на оборски тор и органични торове.</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По този начин са включени определени стимули за използването на цифровия регистър на стопанствата, тъй като той не е задължителен, а информацията в плана за наторяване, която трябва да бъде включена в регистъра на стопанствата, е подробна, като се уточнява също, че една от ключовите точки е определянето на дозата.</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Въвеждат се нови и по-добре изготвени мерки за намаляване на емисиите на амоняк и се вземат предвид други технологии за намаляване на риска от излужване.</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За да се улесни използването на оборски тор, торове и други органични материали, разпоредбите относно подреждането или прилагането по отношение на времето за заравяне, дерогациите и периодите на прилагане са облекчени. В същото време в списъка на приетите отпадъци се добавят нови отпадъци, като се изменят техните изисквания в съответствие с пазара и се поддържат критериите за безопасност и агрономическа ефективност.</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Настоящият кралски указ е изготвен в съответствие с принципите на добро регулиране, установени в член 129 от Закон 39/2015 от 1 октомври 2015 г. за </w:t>
      </w:r>
      <w:r>
        <w:rPr>
          <w:rStyle w:val="BodyTextChar"/>
          <w:sz w:val="20"/>
        </w:rPr>
        <w:lastRenderedPageBreak/>
        <w:t>общата административна процедура на публичните администрации. В съответствие с принципите на необходимост и ефективност, проектът е обоснован от необходимостта от по-добро прилагане на разпоредбите на Европейския съюз в Испания, като настоящата наредба е най-подходящият инструмент за гарантиране на неговото постигане, тъй като е задължително наредбата да е предвидена в основен регламент. Тя също така е в съответствие с принципа на пропорционалност и с цел ограничаване на регулирането до основния минимум, за да се намали регулаторният интензитет. На свой ред, принципът на правна сигурност е гарантиран чрез въвеждането в обща разпоредба на нови разпоредби, които са в съответствие с останалата част от правната система. Освен това, в съответствие с принципа на прозрачност, по време на обработката на наредбата бяха проведени консултации със субектите, представляващи засегнатите сектори, и беше проведена процедурата за публично изслушване и предоставяне на публична информация. И накрая, принципът на ефективност се счита за изпълнен, тъй като не се налагат нови административни тежести в сравнение с настоящата наредба.</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Разпоредбите на настоящия кралски указ са основни наредби и се издават по силата на член 149, параграф 1, правила 13, 16 и 23 от Конституцията на Испания, с които се предоставя на държавата изключителна компетентност по въпроси, съответно, свързани с основанията и координацията на общото планиране на икономическата дейност, основанията и общата координация в областта на здравеопазването, както и основното законодателство в областта на опазването на околната среда, без да се засягат правомощията на автономните области да установяват допълнителни правила за защита.</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Настоящата наредба се издава в съответствие с разпоредбите на шестнадесетата окончателна разпоредба на Закон 30/2022 от 23 декември 2022 г. за регламентиране на системата за управление на общата селскостопанска политика и свързаните с нея въпроси.</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Наредбата беше предмет на процеса на консултации с автономните области и градовете Ceuta и Melilla въз основа на общото задължение за сътрудничество между публичните администрации, наложено с член 3, параграф 1, буква к) от Закон 40/2015 от 1 октомври 2015 г. за правния режим на публичния сектор.</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Тя също така беше предмет на процедурата за предоставяне на информация относно техническите стандарти и регламенти, предвидена в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регламентирана с Кралски указ 1337/1999 от 31 юли 1999 г. за регламентиране на предаването на информация в сферата на техническите регламенти и правила относно услугите на информационното общество.</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По силата на гореизложеното, по предложение на министъра на земеделието, рибарството и храните, съгласувано с Държавния съвет, и след разискване на Министерския съвет на неговото заседание от 27 август 2024 г.,</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С НАСТОЯЩОТО ПОСТАНОВЯВАМ СЛЕДНОТО:</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Член единствен. </w:t>
      </w:r>
      <w:r>
        <w:rPr>
          <w:rStyle w:val="BodyTextChar"/>
          <w:i/>
          <w:sz w:val="20"/>
        </w:rPr>
        <w:t>Изменение на Кралски указ 1051/2022 от 27 декември 2022 г. за определяне на правилата за устойчиво подхранване в селскостопанските почви.</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Кралски указ 1051/2022 от 27 декември 2022 г. за определяне на правилата за устойчиво подхранване в селскостопанските почви се изменя, както следва:</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lastRenderedPageBreak/>
        <w:t>Първо. Член 3, буква г) гласи следното:</w:t>
      </w:r>
    </w:p>
    <w:p w14:paraId="24D5FBD1" w14:textId="198E1DDF" w:rsidR="00503C92" w:rsidRPr="00F122A6" w:rsidRDefault="0037644B" w:rsidP="00EE0D48">
      <w:pPr>
        <w:pStyle w:val="BodyText"/>
        <w:spacing w:after="140"/>
        <w:ind w:left="1560" w:right="1830"/>
        <w:jc w:val="both"/>
        <w:rPr>
          <w:sz w:val="20"/>
        </w:rPr>
      </w:pPr>
      <w:r>
        <w:rPr>
          <w:rStyle w:val="BodyTextChar"/>
          <w:sz w:val="20"/>
        </w:rPr>
        <w:t>„г) Компост: материал, получен от аеробната и термофилна биологична обработка на разделно събрани биоразградими отпадъци, които, когато са получени чрез аеробното компостиране в съответствие с изискванията за категория 3 съставни материали (КСМ3) от приложение II към Регламент (ЕС) 2019/1009 на Европейския парламент и на Съвета от 5 юни 2019 г., придобива статут „край на отпадъка“, ако отговаря и на изискванията на регламентите за продукта.“</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Второ. Член 5, буква а) гласи следното:</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„а) Следната подробна информация за плана за наторяване, посочен в член 6, когато е задължително той да бъде изготвен, в началото на селскостопанската година: очакван добив, предишна култура, изисквания за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xml:space="preserve"> и K</w:t>
      </w:r>
      <w:r>
        <w:rPr>
          <w:rStyle w:val="BodyTextChar"/>
          <w:sz w:val="20"/>
          <w:vertAlign w:val="subscript"/>
        </w:rPr>
        <w:t>2</w:t>
      </w:r>
      <w:r>
        <w:rPr>
          <w:rStyle w:val="BodyTextChar"/>
          <w:sz w:val="20"/>
        </w:rPr>
        <w:t>O, както и датата, на която планът е бил изготвен.“</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Трето. Член 6, параграф 4 гласи следното:</w:t>
      </w:r>
    </w:p>
    <w:p w14:paraId="71A37E88" w14:textId="77777777" w:rsidR="00503C92" w:rsidRPr="00F122A6" w:rsidRDefault="0037644B" w:rsidP="00EE0D48">
      <w:pPr>
        <w:pStyle w:val="BodyText"/>
        <w:ind w:left="1560" w:right="1830"/>
        <w:jc w:val="both"/>
        <w:rPr>
          <w:sz w:val="20"/>
        </w:rPr>
      </w:pPr>
      <w:r>
        <w:rPr>
          <w:rStyle w:val="BodyTextChar"/>
          <w:sz w:val="20"/>
        </w:rPr>
        <w:t>„4. Планът включва препоръчителната доза от различните хранителни вещества, времето, когато те са предназначени да бъдат прилагани, както и вида на торовете или материалите, метода на прилагане и машините за разпределяне.“</w:t>
      </w:r>
    </w:p>
    <w:p w14:paraId="283A1B19" w14:textId="77777777" w:rsidR="00503C92" w:rsidRPr="00F122A6" w:rsidRDefault="0037644B" w:rsidP="00EE0D48">
      <w:pPr>
        <w:pStyle w:val="BodyText"/>
        <w:ind w:left="1560" w:right="1830"/>
        <w:jc w:val="both"/>
        <w:rPr>
          <w:sz w:val="20"/>
        </w:rPr>
      </w:pPr>
      <w:r>
        <w:rPr>
          <w:rStyle w:val="BodyTextChar"/>
          <w:sz w:val="20"/>
        </w:rPr>
        <w:t>Четвърто. Член 9, параграф 2, буква ж) гласи следното:</w:t>
      </w:r>
    </w:p>
    <w:p w14:paraId="582E52F1" w14:textId="77777777" w:rsidR="00503C92" w:rsidRPr="00F122A6" w:rsidRDefault="0037644B" w:rsidP="00EE0D48">
      <w:pPr>
        <w:pStyle w:val="BodyText"/>
        <w:ind w:left="1560" w:right="1830"/>
        <w:jc w:val="both"/>
        <w:rPr>
          <w:sz w:val="20"/>
        </w:rPr>
      </w:pPr>
      <w:r>
        <w:rPr>
          <w:rStyle w:val="BodyTextChar"/>
          <w:sz w:val="20"/>
        </w:rPr>
        <w:t>„ж) По принцип купчините не могат да остават в загражденията в продължение на повече от 10 дни. Ако натрупаният материал е компостиран или смелен, този период може да бъде удължен до 20 дни. Загражденията, до които машината не може да достигне поради валежи, се освобождават от това задължение, докато това обстоятелство не престане да съществува.“</w:t>
      </w:r>
    </w:p>
    <w:p w14:paraId="0430BE9F" w14:textId="77777777" w:rsidR="00503C92" w:rsidRPr="00F122A6" w:rsidRDefault="0037644B" w:rsidP="00EE0D48">
      <w:pPr>
        <w:pStyle w:val="BodyText"/>
        <w:ind w:left="1560" w:right="1830"/>
        <w:jc w:val="both"/>
        <w:rPr>
          <w:sz w:val="20"/>
        </w:rPr>
      </w:pPr>
      <w:r>
        <w:rPr>
          <w:rStyle w:val="BodyTextChar"/>
          <w:sz w:val="20"/>
        </w:rPr>
        <w:t>Пето. Член 10, параграф 2 и член 10, параграф 3, първата и последната алинеи гласят следното:</w:t>
      </w:r>
    </w:p>
    <w:p w14:paraId="5D0D8FC9" w14:textId="77777777" w:rsidR="00503C92" w:rsidRPr="00F122A6" w:rsidRDefault="0037644B" w:rsidP="00EE0D48">
      <w:pPr>
        <w:pStyle w:val="BodyText"/>
        <w:spacing w:after="0"/>
        <w:ind w:left="1560" w:right="1830"/>
        <w:jc w:val="both"/>
        <w:rPr>
          <w:sz w:val="20"/>
        </w:rPr>
      </w:pPr>
      <w:r>
        <w:rPr>
          <w:rStyle w:val="BodyTextChar"/>
          <w:sz w:val="20"/>
        </w:rPr>
        <w:t>„2. Забранява се прилагането на други органични или органо-минерални материали, включително отпадъци, като се използват пластини, вентилатори и системи водни оръдия, ако влагата на тези материали е 90 % или повече и съдържанието на амонячен азот в тях надвишава 0,1 % от свежото вещество.“</w:t>
      </w:r>
    </w:p>
    <w:p w14:paraId="6C51EA6F" w14:textId="77777777" w:rsidR="00503C92" w:rsidRPr="00F122A6" w:rsidRDefault="0037644B" w:rsidP="00EE0D48">
      <w:pPr>
        <w:pStyle w:val="BodyText"/>
        <w:spacing w:after="0"/>
        <w:ind w:left="1560" w:right="1830"/>
        <w:jc w:val="both"/>
        <w:rPr>
          <w:sz w:val="20"/>
        </w:rPr>
      </w:pPr>
      <w:r>
        <w:rPr>
          <w:rStyle w:val="BodyTextChar"/>
          <w:sz w:val="20"/>
        </w:rPr>
        <w:t>„3. „Оборският тор и органичните или органо-минералните продукти или материали, включително отпадъците, трябва да бъдат заровени възможно най-скоро след прилагането и винаги в рамките на първите 24 часа чрез лемежен плуг, дискова брана, ротационен плуг или оборудване, с което се осигурява еквивалентна работа, освен ако не се прилага едно от следните обстоятелства:“</w:t>
      </w:r>
    </w:p>
    <w:p w14:paraId="1D9B8B0E" w14:textId="77777777" w:rsidR="00503C92" w:rsidRPr="00F122A6" w:rsidRDefault="0037644B" w:rsidP="00EE0D48">
      <w:pPr>
        <w:pStyle w:val="BodyText"/>
        <w:ind w:left="1560" w:right="1830"/>
        <w:jc w:val="both"/>
        <w:rPr>
          <w:sz w:val="20"/>
        </w:rPr>
      </w:pPr>
      <w:r>
        <w:rPr>
          <w:rStyle w:val="BodyTextChar"/>
          <w:sz w:val="20"/>
        </w:rPr>
        <w:t>„Компетентните органи на автономните области, като вземат предвид агроклиматичните характеристики на техните територии и вида на използвания материал, могат да определят максимален период от по-малко от 24 часа за извършването на това заравяне, когато това е задължително“.</w:t>
      </w:r>
    </w:p>
    <w:p w14:paraId="73324CC2" w14:textId="77777777" w:rsidR="00503C92" w:rsidRPr="00F122A6" w:rsidRDefault="0037644B" w:rsidP="00EE0D48">
      <w:pPr>
        <w:pStyle w:val="BodyText"/>
        <w:ind w:left="1560" w:right="1830"/>
        <w:jc w:val="both"/>
        <w:rPr>
          <w:sz w:val="20"/>
        </w:rPr>
      </w:pPr>
      <w:r>
        <w:rPr>
          <w:rStyle w:val="BodyTextChar"/>
          <w:sz w:val="20"/>
        </w:rPr>
        <w:t>Шесто. Член 12, параграфи 2, 3 и 4 гласят следното:</w:t>
      </w:r>
    </w:p>
    <w:p w14:paraId="6BB7A2EA" w14:textId="77777777" w:rsidR="00503C92" w:rsidRPr="00F122A6" w:rsidRDefault="0037644B" w:rsidP="00EE0D48">
      <w:pPr>
        <w:pStyle w:val="BodyText"/>
        <w:spacing w:after="0"/>
        <w:ind w:left="1560" w:right="1830"/>
        <w:jc w:val="both"/>
        <w:rPr>
          <w:sz w:val="20"/>
        </w:rPr>
      </w:pPr>
      <w:r>
        <w:rPr>
          <w:rStyle w:val="BodyTextChar"/>
          <w:sz w:val="20"/>
        </w:rPr>
        <w:t>„2. Използването на продукти за наторяване, които произвеждат по-малко емисии на амоняк, по-малко емисии на парникови газове или намаляват риска от просмукване на нитрати, се насърчава, доколкото е възможно, като се вземат предвид характеристиките на почвата, климата и културите.</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 xml:space="preserve">Когато се използват урея или азотни разтвори на урея, най-малко един от методите, изброени в приложение V, част Б, всеки друг метод, за който е доказана подобна ефективност към момента на намаляване на емисиите на амоняк или </w:t>
      </w:r>
      <w:r>
        <w:rPr>
          <w:rStyle w:val="BodyTextChar"/>
          <w:sz w:val="20"/>
        </w:rPr>
        <w:lastRenderedPageBreak/>
        <w:t>воденето на цифров регистър на стопанството, следва да бъде изпълнен, без това да е задължително съгласно останалите разпоредби на настоящия кралски указ.</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t>Ако в рамките на една година се установи, че азотът, доставян с урея или азотни разтвори на урея, надвишава 30 % от общия азот, пуснат на пазара на национално равнище, през следващия сезон стопанствата, които прилагат повече от 20 % от техните нужди от азот чрез използване на урея или азотни разтвори на урея, избират от методите в приложение V, част Б, тези, с които се осигурява намаляване на емисиите с най-малко 30 % в сравнение с референтната техника, в съответствие с оценките на насоките, разработени от Работната група на Икономическата комисия за Европа на Организацията на обединените нации (ИКЕ на ООН) относно реактивния азот „Възможности за намаляване на емисиите на амоняк“. За тази цел, с решение на Генерална дирекция „Селскостопанско производство и пазари“, количеството азот, предлагано на пазара под формата на урея и азотни разтвори на урея като дял от общото количество, се публикува ежегодно. В случай че министерството на екологичния преход и демографското предизвикателство определя национални коефициенти за намаляване на тези техники, те заменят посочените в горепосочените насоки на ИКЕ на ООН.“</w:t>
      </w:r>
    </w:p>
    <w:p w14:paraId="696818E4" w14:textId="77777777" w:rsidR="00503C92" w:rsidRPr="00F122A6" w:rsidRDefault="0037644B" w:rsidP="00EE0D48">
      <w:pPr>
        <w:pStyle w:val="BodyText"/>
        <w:ind w:left="1560" w:right="1830"/>
        <w:jc w:val="both"/>
        <w:rPr>
          <w:sz w:val="20"/>
        </w:rPr>
      </w:pPr>
      <w:r>
        <w:rPr>
          <w:rStyle w:val="BodyTextChar"/>
          <w:sz w:val="20"/>
        </w:rPr>
        <w:t>Седмо. Член 15, параграф 1 се преформулира и се вмъква нов параграф 6, който гласи следното:</w:t>
      </w:r>
    </w:p>
    <w:p w14:paraId="598FC1FC" w14:textId="77777777" w:rsidR="00503C92" w:rsidRPr="00F122A6" w:rsidRDefault="0037644B" w:rsidP="00EE0D48">
      <w:pPr>
        <w:pStyle w:val="BodyText"/>
        <w:spacing w:after="0"/>
        <w:ind w:left="1560" w:right="1830"/>
        <w:jc w:val="both"/>
        <w:rPr>
          <w:sz w:val="20"/>
        </w:rPr>
      </w:pPr>
      <w:r>
        <w:rPr>
          <w:rStyle w:val="BodyTextChar"/>
          <w:sz w:val="20"/>
        </w:rPr>
        <w:t>„1. Материалите, посочени в предходния член, когато се използват като подобрители на почвата, следва да бъдат прилагани само върху необработвани почви и, когато са прилагани върху дървесни насаждения или върху трайни полски култури, като банани и папая, това следва да бъде правено директно върху почвата и преди края на зимния покой. В случай на постоянни пасища, те могат да бъдат прилагани с разрешението на автономната област. Когато са прилагани за използването на техните хранителни вещества като торове, ако са прилагани върху земя със засадена култура, те не следва да влизат в контакт с частта от културата, предназначена за консумация.“</w:t>
      </w:r>
    </w:p>
    <w:p w14:paraId="7B11D49C" w14:textId="77777777" w:rsidR="00503C92" w:rsidRPr="00F122A6" w:rsidRDefault="0037644B" w:rsidP="00EE0D48">
      <w:pPr>
        <w:pStyle w:val="BodyText"/>
        <w:ind w:left="1560" w:right="1830"/>
        <w:jc w:val="both"/>
        <w:rPr>
          <w:sz w:val="20"/>
        </w:rPr>
      </w:pPr>
      <w:r>
        <w:rPr>
          <w:rStyle w:val="BodyTextChar"/>
          <w:sz w:val="20"/>
        </w:rPr>
        <w:t>„6. В автономните области, в които няма приложимо законодателство преди наредбата, предвидена в настоящото правило, се прилагат течни оползотворими отпадъци, с изключение на утайки, които се използват за осигуряването на хранителни вещества за културите, като се дава възможност за период от най-малко два месеца между прилагането и прибирането на реколтата. Този срок обаче може да бъде намален на 21 дни в следните случаи:</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t>реколтата не е предназначена за консумация от хора или животни; или</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с формата на отглеждане или системата за прилагане на материала се осигурява, че отпадъците не влизат в контакт с ядливите части на културата.“</w:t>
      </w:r>
    </w:p>
    <w:p w14:paraId="5D11DE93" w14:textId="77777777" w:rsidR="00503C92" w:rsidRPr="00F122A6" w:rsidRDefault="0037644B" w:rsidP="00EE0D48">
      <w:pPr>
        <w:pStyle w:val="BodyText"/>
        <w:ind w:left="1560" w:right="1830"/>
        <w:jc w:val="both"/>
        <w:rPr>
          <w:sz w:val="20"/>
        </w:rPr>
      </w:pPr>
      <w:r>
        <w:rPr>
          <w:rStyle w:val="BodyTextChar"/>
          <w:sz w:val="20"/>
        </w:rPr>
        <w:t>Осмо. Член 20, първа алинея гласи следното:</w:t>
      </w:r>
    </w:p>
    <w:p w14:paraId="1194A18B" w14:textId="77777777" w:rsidR="00503C92" w:rsidRPr="00F122A6" w:rsidRDefault="0037644B" w:rsidP="00EE0D48">
      <w:pPr>
        <w:pStyle w:val="BodyText"/>
        <w:ind w:left="1560" w:right="1830"/>
        <w:jc w:val="both"/>
        <w:rPr>
          <w:sz w:val="20"/>
        </w:rPr>
      </w:pPr>
      <w:r>
        <w:rPr>
          <w:rStyle w:val="BodyTextChar"/>
          <w:sz w:val="20"/>
        </w:rPr>
        <w:t xml:space="preserve">„Консултациите относно различните аспекти на наторяването, посочени в настоящия кралски указ, се предоставят от техническо лице, което може да докаже неговия или нейния статут на съветник по наторяването в съответствие с изискванията, установени в член 21. Когато компетентният орган на автономната област обаче предвижда това, задълженията за провеждане на консултации могат да бъдат изпълнени, ако собственикът на стопанството използва софтуер за предоставянето на препоръки във връзка с наторяването, одобрен от този компетентен орган, в съответствие с минималните изисквания, определени в приложение III, част III, при условие че собственикът води цифров регистър на </w:t>
      </w:r>
      <w:r>
        <w:rPr>
          <w:rStyle w:val="BodyTextChar"/>
          <w:sz w:val="20"/>
        </w:rPr>
        <w:lastRenderedPageBreak/>
        <w:t>стопанството.“</w:t>
      </w:r>
    </w:p>
    <w:p w14:paraId="0E0619CE" w14:textId="77777777" w:rsidR="00503C92" w:rsidRPr="00F122A6" w:rsidRDefault="0037644B" w:rsidP="00EE0D48">
      <w:pPr>
        <w:pStyle w:val="BodyText"/>
        <w:spacing w:after="180"/>
        <w:ind w:left="1560" w:right="1830"/>
        <w:jc w:val="both"/>
        <w:rPr>
          <w:sz w:val="20"/>
        </w:rPr>
      </w:pPr>
      <w:r>
        <w:rPr>
          <w:rStyle w:val="BodyTextChar"/>
          <w:sz w:val="20"/>
        </w:rPr>
        <w:t>Девето. Единствената преходна разпоредба гласи следното:</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t xml:space="preserve">„Единствена преходна разпоредба. </w:t>
      </w:r>
      <w:r>
        <w:rPr>
          <w:rStyle w:val="BodyTextChar"/>
          <w:i/>
          <w:sz w:val="20"/>
        </w:rPr>
        <w:t>Заявление за отпадъците чрез операция R1001 „Оползотворяване на отпадъците при селскостопанските почви и градинарството“.</w:t>
      </w:r>
    </w:p>
    <w:p w14:paraId="1D7846FC" w14:textId="720A5B50" w:rsidR="00503C92" w:rsidRPr="00F122A6" w:rsidRDefault="0037644B" w:rsidP="00EE0D48">
      <w:pPr>
        <w:pStyle w:val="BodyText"/>
        <w:ind w:left="1560" w:right="1830"/>
        <w:jc w:val="both"/>
        <w:rPr>
          <w:sz w:val="20"/>
        </w:rPr>
      </w:pPr>
      <w:r>
        <w:rPr>
          <w:rStyle w:val="BodyTextChar"/>
          <w:sz w:val="20"/>
        </w:rPr>
        <w:t>В случай на отпадъци, за които е налице разрешение от компетентния орган по околната среда, следва да бъдат управлявани като R1001 „Оползотворяване на отпадъците при селскостопанските почви и градинарството“, като за тази цел се удостоверява документация с описание на процеса и аналитичните характеристики, преди влизането в сила на настоящия кралски указ, производителят на отпадъците разполага със срок от 3 години, считано от публикуването на настоящия кралски указ, за да продължи неговото управление, както и да представи доклад за изменението, когато е целесъобразно, на приложение VIII.“</w:t>
      </w:r>
    </w:p>
    <w:p w14:paraId="2A47F4D6" w14:textId="77777777" w:rsidR="00503C92" w:rsidRPr="00F122A6" w:rsidRDefault="0037644B" w:rsidP="00EE0D48">
      <w:pPr>
        <w:pStyle w:val="BodyText"/>
        <w:ind w:left="1560" w:right="1830"/>
        <w:jc w:val="both"/>
        <w:rPr>
          <w:sz w:val="20"/>
        </w:rPr>
      </w:pPr>
      <w:r>
        <w:rPr>
          <w:rStyle w:val="BodyTextChar"/>
          <w:sz w:val="20"/>
        </w:rPr>
        <w:t>Десето. Подточка iii) от приложение II гласи следното:</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ако се използват техники за намаляване на просмукването, като полимери, инхибитори и др., продукти със забавено освобождаване могат да бъдат изключени от забраната за прилагане през определени периоди“.</w:t>
      </w:r>
    </w:p>
    <w:p w14:paraId="7DE01383" w14:textId="0A5F5024" w:rsidR="00503C92" w:rsidRPr="00F122A6" w:rsidRDefault="0037644B" w:rsidP="00EE0D48">
      <w:pPr>
        <w:pStyle w:val="BodyText"/>
        <w:ind w:left="1560" w:right="1830"/>
        <w:jc w:val="both"/>
        <w:rPr>
          <w:sz w:val="20"/>
        </w:rPr>
      </w:pPr>
      <w:r>
        <w:rPr>
          <w:rStyle w:val="BodyTextChar"/>
          <w:sz w:val="20"/>
        </w:rPr>
        <w:t>Единадесето. Първа алинея на част III от приложение III гласи следното:</w:t>
      </w:r>
    </w:p>
    <w:p w14:paraId="18597F81" w14:textId="77777777" w:rsidR="00503C92" w:rsidRPr="00F122A6" w:rsidRDefault="0037644B" w:rsidP="00EE0D48">
      <w:pPr>
        <w:pStyle w:val="BodyText"/>
        <w:spacing w:after="140"/>
        <w:ind w:left="1560" w:right="1830"/>
        <w:jc w:val="both"/>
        <w:rPr>
          <w:sz w:val="20"/>
        </w:rPr>
      </w:pPr>
      <w:r>
        <w:rPr>
          <w:rStyle w:val="BodyTextChar"/>
          <w:sz w:val="20"/>
        </w:rPr>
        <w:t>„Задълженията за провеждане на консултации, установени с настоящия кралски указ, се считат за изпълнени, когато земеделският стопанин води цифров регистър на стопанството и ако се използват инструменти или ИТ приложения за изготвяне на изчисленията на нуждите от хранителни вещества на културите и представяне на предложение за тор, при условие че те са одобрени от компетентния орган на автономната област, където те следва да бъдат използвани“.</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Дванадесето. Последният ред от таблицата, посочена в параграф 1 на част А от приложение ІV, се заменя със следните два реда, а параграф 2 гласи следното:</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Колона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Колона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Колона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Тежки метали</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Гранични стойности (mg/kg ms)</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Гранични стойности (mg/kg ms), посочени в член 8, параграф 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„Общо количество арсен (As)</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Хром (Cr)</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Стойностите на тежките метали на отпадъците, използвани в почвите, следва да бъдат вписвани в регистъра на стопанството, посочен в член 5 от настоящия кралски указ.“</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Тринадесето. Следният ред се добавя в края на таблицата в част Б от приложение IV със следното съдържание:</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t>„Хром (Cr)</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Четиринадесето. Добавя се ред в края на таблицата, посочена в параграф 1 на част В от приложение IV, със следното съдържание:</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lastRenderedPageBreak/>
              <w:t>„Хром (Cr)</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Петнадесето. В приложение V, част А, букви е) и ж) се изменят и две нови букви з) и и) се добавят със следното съдържание:</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„е) Използване на подкиселена торова течност или инхиботори на уреаза.</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Използване на инхиботори на уреаза или инхибитори на нитрификация, с професионален надзор в случай на директно прилагане върху почвата.</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Компостиране или биологично разграждане, с които се осигурява окончателно съдържание на амонячен азот, по-малко от 0,6 %, изразено като азот (N), по отношение на масата на материала в свежо тегло.</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Заравяне на оборски тор в рамките на първите 12 часа след прилагане чрез лемежен плуг, дискова брана, ротационен плуг или оборудване, с което се осигурява еквивалентна работа, с изключение при директно засяване, при консервационно земеделие или при пасища.“</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Шестнадесето. В част 1, параграф 1 от приложение VIII букви а) и д) гласят, както следва, и се добавят нови букви ж), з), и) и й) със следното съдържание:</w:t>
      </w:r>
    </w:p>
    <w:p w14:paraId="63F8109E" w14:textId="20477922" w:rsidR="00503C92" w:rsidRPr="00F122A6" w:rsidRDefault="0037644B" w:rsidP="00EE0D48">
      <w:pPr>
        <w:pStyle w:val="BodyText"/>
        <w:spacing w:after="140"/>
        <w:ind w:left="1560" w:right="1830"/>
        <w:jc w:val="both"/>
        <w:rPr>
          <w:sz w:val="20"/>
        </w:rPr>
      </w:pPr>
      <w:r>
        <w:rPr>
          <w:rStyle w:val="BodyTextChar"/>
          <w:sz w:val="20"/>
        </w:rPr>
        <w:t>„а) Материали, които, без да са били използвани в производството на продукт за наторяване, отговарят на всички изисквания на КСМ 3, 4, 5, 6, 12, 13 и 14 от приложение II към Регламент (ЕС) 2019/1009. За оползотворяването в почвата като отпадък не е необходимо да се спазва изискването на точка 2 от КСМ 1, когато се прилага за изброените по-горе категории.“</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„д) Утайката, включена в приложение I към Заповед AAA/1072/2013 от 7 юни 2013 г., при условие че е била третирана в съответствие с разпоредбите на Кралски указ 1310/1990 от 29 октомври 1990 г.“</w:t>
      </w:r>
    </w:p>
    <w:p w14:paraId="782CCBF9" w14:textId="77777777" w:rsidR="00503C92" w:rsidRPr="00F122A6" w:rsidRDefault="0037644B" w:rsidP="00EE0D48">
      <w:pPr>
        <w:pStyle w:val="BodyText"/>
        <w:spacing w:after="0"/>
        <w:ind w:left="1560" w:right="1830"/>
        <w:jc w:val="both"/>
        <w:rPr>
          <w:sz w:val="20"/>
        </w:rPr>
      </w:pPr>
      <w:r>
        <w:rPr>
          <w:rStyle w:val="BodyTextChar"/>
          <w:sz w:val="20"/>
        </w:rPr>
        <w:t>„ж) Материали, които, въпреки че не са в съответствие с изискванията за третиране, определени в категории 3, 4 и 5 съставни материали, както е приложимо, от Регламент (ЕС) 2019/1009, са в съответствие с изискванията за входящи материали по отношение на стабилността, примесите и замърсителите.</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Отпадъци от пресовъчна инсталация.</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Винена утайка.</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Смеси от горепосочените, при условие че са спазени най-ограничителните ограничения за всеки от компонентите.“</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Седемнадесето. Параграфи 1 и 2 от част 2 към приложение VIII се преформулират и се добавят два нови параграфа 7 и 8, както следва:</w:t>
      </w:r>
    </w:p>
    <w:p w14:paraId="2BF2A9A1" w14:textId="77777777" w:rsidR="00503C92" w:rsidRPr="00F122A6" w:rsidRDefault="0037644B" w:rsidP="00EE0D48">
      <w:pPr>
        <w:pStyle w:val="BodyText"/>
        <w:ind w:left="1560" w:right="1830"/>
        <w:jc w:val="both"/>
        <w:rPr>
          <w:sz w:val="20"/>
        </w:rPr>
      </w:pPr>
      <w:r>
        <w:rPr>
          <w:rStyle w:val="BodyTextChar"/>
          <w:sz w:val="20"/>
        </w:rPr>
        <w:t>„1. Материали от категории 3, 4 и 5 съставни материали, получени в съответствие с приложение II към Регламент (ЕС) 2019/1009 на Европейския парламент и на Съвета от 5 юни 2019 г.:</w:t>
      </w:r>
    </w:p>
    <w:p w14:paraId="17625A3C" w14:textId="77777777" w:rsidR="00503C92" w:rsidRPr="00F122A6" w:rsidRDefault="0037644B" w:rsidP="00EE0D48">
      <w:pPr>
        <w:pStyle w:val="BodyText"/>
        <w:ind w:left="1560" w:right="1830"/>
        <w:jc w:val="both"/>
        <w:rPr>
          <w:sz w:val="20"/>
        </w:rPr>
      </w:pPr>
      <w:r>
        <w:rPr>
          <w:rStyle w:val="BodyTextChar"/>
          <w:sz w:val="20"/>
        </w:rPr>
        <w:t>Отговарят на всички изисквания от това приложение, включително произхода на входящите материали, и следните параметри:</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Общо органично вещество ≥ 25 % в сухото вещество.</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Да се обяви съдържанието на </w:t>
      </w:r>
      <w:r>
        <w:rPr>
          <w:rStyle w:val="BodyTextChar"/>
          <w:i/>
          <w:sz w:val="20"/>
        </w:rPr>
        <w:t>Salmonella</w:t>
      </w:r>
      <w:r>
        <w:rPr>
          <w:rStyle w:val="BodyTextChar"/>
          <w:sz w:val="20"/>
        </w:rPr>
        <w:t>.</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Да се обяви съдържанието на </w:t>
      </w:r>
      <w:r>
        <w:rPr>
          <w:rStyle w:val="BodyTextChar"/>
          <w:i/>
          <w:sz w:val="20"/>
        </w:rPr>
        <w:t>Escherichia coli</w:t>
      </w:r>
      <w:r>
        <w:rPr>
          <w:rStyle w:val="BodyTextChar"/>
          <w:sz w:val="20"/>
        </w:rPr>
        <w:t>.</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Да се предостави анализ на хранителните вещества, които осигуряват, по-специално, азот, фосфор (изразен като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и калий (изразен като K</w:t>
      </w:r>
      <w:r>
        <w:rPr>
          <w:rStyle w:val="BodyTextChar"/>
          <w:sz w:val="20"/>
          <w:vertAlign w:val="subscript"/>
        </w:rPr>
        <w:t>2</w:t>
      </w:r>
      <w:r>
        <w:rPr>
          <w:rStyle w:val="BodyTextChar"/>
          <w:sz w:val="20"/>
        </w:rPr>
        <w:t>O), както и pH и електрическа проводимост.</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t xml:space="preserve">Да бъдат в съответствие с всички допълнителни изисквания, </w:t>
      </w:r>
      <w:r>
        <w:rPr>
          <w:rStyle w:val="BodyTextChar"/>
          <w:sz w:val="20"/>
        </w:rPr>
        <w:lastRenderedPageBreak/>
        <w:t>включени в неговото разрешение за оползотворяване на отпадъци R1001.“</w:t>
      </w:r>
    </w:p>
    <w:p w14:paraId="27038D19" w14:textId="77777777" w:rsidR="00503C92" w:rsidRPr="00F122A6" w:rsidRDefault="0037644B" w:rsidP="00EE0D48">
      <w:pPr>
        <w:pStyle w:val="BodyText"/>
        <w:ind w:left="1560" w:right="1830"/>
        <w:jc w:val="both"/>
        <w:rPr>
          <w:sz w:val="20"/>
        </w:rPr>
      </w:pPr>
      <w:r>
        <w:rPr>
          <w:rStyle w:val="BodyTextChar"/>
          <w:sz w:val="20"/>
        </w:rPr>
        <w:t>2. По същия начин, всеки компостиран или смлян материал, който следва да бъде прилаган върху селскостопанска почва и е получен от входящи материали, различни от посочените в предходния параграф, следва да бъде в съответствие с изискванията за примеси и стабилност, определени съответно в категория CMC3 или CMC5 от Регламент (ЕС) 2019/1009 на Европейския парламент и на Съвета от 5 юни 2019 г., в допълнение към спазването на следните параметри:</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Общо органично вещество ≥ 25 % в сухото вещество.</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Да се обяви съдържанието на </w:t>
      </w:r>
      <w:r>
        <w:rPr>
          <w:rStyle w:val="BodyTextChar"/>
          <w:i/>
          <w:sz w:val="20"/>
        </w:rPr>
        <w:t>Salmonella</w:t>
      </w:r>
      <w:r>
        <w:rPr>
          <w:rStyle w:val="BodyTextChar"/>
          <w:sz w:val="20"/>
        </w:rPr>
        <w:t>.</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Да се обяви съдържанието на </w:t>
      </w:r>
      <w:r>
        <w:rPr>
          <w:rStyle w:val="BodyTextChar"/>
          <w:i/>
          <w:sz w:val="20"/>
        </w:rPr>
        <w:t>Escherichia coli</w:t>
      </w:r>
      <w:r>
        <w:rPr>
          <w:rStyle w:val="BodyTextChar"/>
          <w:sz w:val="20"/>
        </w:rPr>
        <w:t>.</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Да се предостави анализ на хранителните вещества, които осигуряват, по-специално, азот, фосфор (изразен като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и калий (изразен като K</w:t>
      </w:r>
      <w:r>
        <w:rPr>
          <w:rStyle w:val="BodyTextChar"/>
          <w:sz w:val="20"/>
          <w:vertAlign w:val="subscript"/>
        </w:rPr>
        <w:t>2</w:t>
      </w:r>
      <w:r>
        <w:rPr>
          <w:rStyle w:val="BodyTextChar"/>
          <w:sz w:val="20"/>
        </w:rPr>
        <w:t>O), както и pH и електрическа проводимост.</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Да бъдат в съответствие с всички допълнителни изисквания, включени в неговото разрешение за оползотворяване на отпадъци R1001.“</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Отпадъци от пресовъчна инсталация.</w:t>
      </w:r>
    </w:p>
    <w:p w14:paraId="28AE5BA8" w14:textId="3B2C33EB" w:rsidR="00503C92" w:rsidRPr="00F122A6" w:rsidRDefault="0037644B" w:rsidP="00EE0D48">
      <w:pPr>
        <w:pStyle w:val="BodyText"/>
        <w:ind w:left="1560" w:right="1830"/>
        <w:jc w:val="both"/>
        <w:rPr>
          <w:sz w:val="20"/>
        </w:rPr>
      </w:pPr>
      <w:r>
        <w:rPr>
          <w:rStyle w:val="BodyTextChar"/>
          <w:sz w:val="20"/>
        </w:rPr>
        <w:t>Това е течността, състояща се от водата за измиване на маслините и водата за измиване на маслата, получени чрез двустепенната система за екстракция, и отговаряща на всички допълнителни изисквания, включени в разрешението за нейното възстановяване R1001.</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Винена утайка.</w:t>
      </w:r>
    </w:p>
    <w:p w14:paraId="29227E47" w14:textId="2A06893C" w:rsidR="00503C92" w:rsidRPr="00F122A6" w:rsidRDefault="0037644B" w:rsidP="00EE0D48">
      <w:pPr>
        <w:pStyle w:val="BodyText"/>
        <w:ind w:left="1560" w:right="1830"/>
        <w:jc w:val="both"/>
        <w:rPr>
          <w:sz w:val="20"/>
        </w:rPr>
      </w:pPr>
      <w:r>
        <w:rPr>
          <w:rStyle w:val="BodyTextChar"/>
          <w:sz w:val="20"/>
        </w:rPr>
        <w:t>Това са органични утайки, състоящи се от дрожди, бактерии и други остатъчни вещества, които се образуват по време на процеса на винопроизводство и които трябва да отговарят на всички допълнителни изисквания, включени в разрешението за тяхното възстановяване R1001.“</w:t>
      </w:r>
    </w:p>
    <w:p w14:paraId="2B531F85" w14:textId="45C3DAE0" w:rsidR="00503C92" w:rsidRPr="00F122A6" w:rsidRDefault="0037644B" w:rsidP="00EE0D48">
      <w:pPr>
        <w:pStyle w:val="BodyText"/>
        <w:ind w:left="1560" w:right="1830"/>
        <w:jc w:val="both"/>
        <w:rPr>
          <w:sz w:val="20"/>
        </w:rPr>
      </w:pPr>
      <w:r>
        <w:rPr>
          <w:rStyle w:val="BodyTextChar"/>
          <w:sz w:val="20"/>
        </w:rPr>
        <w:t>Осемнадесето. Приложение IX, параграфи 1 и 4 гласят следното:</w:t>
      </w:r>
    </w:p>
    <w:p w14:paraId="2EECEDDC" w14:textId="333324DB" w:rsidR="00503C92" w:rsidRPr="00F122A6" w:rsidRDefault="0037644B" w:rsidP="00EE0D48">
      <w:pPr>
        <w:pStyle w:val="BodyText"/>
        <w:spacing w:after="0"/>
        <w:ind w:left="1560" w:right="1830"/>
        <w:jc w:val="both"/>
        <w:rPr>
          <w:sz w:val="20"/>
        </w:rPr>
      </w:pPr>
      <w:r>
        <w:rPr>
          <w:rStyle w:val="BodyTextChar"/>
          <w:sz w:val="20"/>
        </w:rPr>
        <w:t>„1. Като цяло, дозата и честотата на напояване следва да бъдат адаптирани към нуждите на културата, както и да бъдат адаптирани към капацитета за задържане на влагата на почвата, за да се избегне загубата на хранителни вещества чрез просмукване, като за отправна точка се използват препоръките на консултантските служби към напоителя на автономната област или Агроклиматичната информационна система за напояване (SIAR) на министерството на земеделието, рибарството и храните, в случай че се намират в автономните области, в които някои от тях осъществяват дейност; препоръчва се използването на сензори за проверка на съдържанието на влагата на почвата като помощен инструмент за познаване на състоянието на почвата. В случай че използваният за наторяването материал сам по себе си осигурява значително количество вода за културата (например, при използване на течен оборски тор), обемът на водата, вложена в него, ще бъде взет предвид за изчисляването на дозата вода за напояване и честотата на нейното прилагане.“</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При култури с локализирано напояване, наторяването ще се извършва чрез разтваряне на хранителните вещества във водата за напояване и тяхното прилагане върху почвата през водата. Те ще бъдат дозирани частично, по време на периода на вегетативна активност на културата, докато получените концентрации и частичните количества могат да бъдат адаптирани към времето на максималното изискване в рамките на цикъла на отглеждане.“</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lastRenderedPageBreak/>
        <w:t xml:space="preserve">Единствена заключителна разпоредба. </w:t>
      </w:r>
      <w:r>
        <w:rPr>
          <w:rStyle w:val="BodyTextChar"/>
          <w:i/>
          <w:sz w:val="20"/>
        </w:rPr>
        <w:t>Влизане в сила.</w:t>
      </w:r>
    </w:p>
    <w:p w14:paraId="79EF3419" w14:textId="77777777" w:rsidR="00503C92" w:rsidRPr="00F122A6" w:rsidRDefault="0037644B" w:rsidP="00EE0D48">
      <w:pPr>
        <w:pStyle w:val="BodyText"/>
        <w:ind w:left="1560" w:right="1830"/>
        <w:jc w:val="both"/>
        <w:rPr>
          <w:sz w:val="20"/>
        </w:rPr>
      </w:pPr>
      <w:r>
        <w:rPr>
          <w:rStyle w:val="BodyTextChar"/>
          <w:sz w:val="20"/>
        </w:rPr>
        <w:t>Настоящият кралски указ влиза в сила в деня след обнародването му в „Държавен вестник“.</w:t>
      </w:r>
    </w:p>
    <w:p w14:paraId="68AE9113" w14:textId="77777777" w:rsidR="00503C92" w:rsidRPr="00F122A6" w:rsidRDefault="0037644B" w:rsidP="00EE0D48">
      <w:pPr>
        <w:pStyle w:val="BodyText"/>
        <w:ind w:left="1560" w:right="1830"/>
        <w:jc w:val="both"/>
        <w:rPr>
          <w:sz w:val="20"/>
        </w:rPr>
      </w:pPr>
      <w:r>
        <w:rPr>
          <w:rStyle w:val="BodyTextChar"/>
          <w:sz w:val="20"/>
        </w:rPr>
        <w:t>Съставено в Мадрид на 27 август 2024 г.</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t>Министър на земеделието, рибарството и храните,</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60F86DA3" w14:textId="77777777" w:rsidR="0037644B" w:rsidRDefault="0037644B" w:rsidP="00EE0D48">
      <w:pPr>
        <w:pStyle w:val="Bodytext30"/>
        <w:spacing w:line="319" w:lineRule="auto"/>
        <w:ind w:left="1560" w:right="1830"/>
        <w:jc w:val="center"/>
        <w:rPr>
          <w:rStyle w:val="Bodytext3"/>
        </w:rPr>
      </w:pPr>
    </w:p>
    <w:p w14:paraId="61F764BC" w14:textId="77777777" w:rsidR="0037644B" w:rsidRDefault="0037644B" w:rsidP="00EE0D48">
      <w:pPr>
        <w:pStyle w:val="Bodytext30"/>
        <w:spacing w:line="319" w:lineRule="auto"/>
        <w:ind w:left="1560" w:right="1830"/>
        <w:jc w:val="center"/>
        <w:rPr>
          <w:rStyle w:val="Bodytext3"/>
        </w:rPr>
      </w:pPr>
    </w:p>
    <w:p w14:paraId="3E44A77D" w14:textId="77777777" w:rsidR="0037644B" w:rsidRDefault="0037644B" w:rsidP="00EE0D48">
      <w:pPr>
        <w:pStyle w:val="Bodytext30"/>
        <w:spacing w:line="319" w:lineRule="auto"/>
        <w:ind w:left="1560" w:right="1830"/>
        <w:jc w:val="center"/>
        <w:rPr>
          <w:sz w:val="20"/>
          <w:szCs w:val="19"/>
        </w:rPr>
      </w:pPr>
    </w:p>
    <w:p w14:paraId="1827295C" w14:textId="77777777" w:rsidR="0037644B" w:rsidRDefault="0037644B" w:rsidP="00EE0D48">
      <w:pPr>
        <w:pStyle w:val="Bodytext30"/>
        <w:spacing w:line="319" w:lineRule="auto"/>
        <w:ind w:left="1560" w:right="1830"/>
        <w:jc w:val="center"/>
        <w:rPr>
          <w:sz w:val="20"/>
          <w:szCs w:val="19"/>
        </w:rPr>
      </w:pPr>
    </w:p>
    <w:p w14:paraId="5A349AF9" w14:textId="77777777" w:rsidR="0037644B" w:rsidRDefault="0037644B" w:rsidP="00EE0D48">
      <w:pPr>
        <w:pStyle w:val="Bodytext30"/>
        <w:spacing w:line="319" w:lineRule="auto"/>
        <w:ind w:left="1560" w:right="1830"/>
        <w:jc w:val="center"/>
        <w:rPr>
          <w:sz w:val="20"/>
          <w:szCs w:val="19"/>
        </w:rPr>
      </w:pPr>
    </w:p>
    <w:p w14:paraId="013E16BD" w14:textId="77777777" w:rsidR="0037644B" w:rsidRDefault="0037644B" w:rsidP="00EE0D48">
      <w:pPr>
        <w:pStyle w:val="Bodytext30"/>
        <w:spacing w:line="319" w:lineRule="auto"/>
        <w:ind w:left="1560" w:right="1830"/>
        <w:jc w:val="center"/>
        <w:rPr>
          <w:sz w:val="20"/>
          <w:szCs w:val="19"/>
        </w:rPr>
      </w:pPr>
    </w:p>
    <w:p w14:paraId="47D23BCC" w14:textId="77777777" w:rsidR="0037644B" w:rsidRDefault="0037644B" w:rsidP="00EE0D48">
      <w:pPr>
        <w:pStyle w:val="Bodytext30"/>
        <w:spacing w:line="319" w:lineRule="auto"/>
        <w:ind w:left="1560" w:right="1830"/>
        <w:jc w:val="center"/>
        <w:rPr>
          <w:sz w:val="20"/>
          <w:szCs w:val="19"/>
        </w:rPr>
      </w:pPr>
    </w:p>
    <w:p w14:paraId="08EBBFCD" w14:textId="77777777" w:rsidR="0037644B" w:rsidRDefault="0037644B" w:rsidP="00EE0D48">
      <w:pPr>
        <w:pStyle w:val="Bodytext30"/>
        <w:spacing w:line="319" w:lineRule="auto"/>
        <w:ind w:left="1560" w:right="1830"/>
        <w:jc w:val="center"/>
        <w:rPr>
          <w:sz w:val="20"/>
          <w:szCs w:val="19"/>
        </w:rPr>
      </w:pPr>
    </w:p>
    <w:p w14:paraId="78E11E5C" w14:textId="77777777" w:rsidR="0037644B" w:rsidRDefault="0037644B" w:rsidP="00EE0D48">
      <w:pPr>
        <w:pStyle w:val="Bodytext30"/>
        <w:spacing w:line="319" w:lineRule="auto"/>
        <w:ind w:left="1560" w:right="1830"/>
        <w:jc w:val="center"/>
        <w:rPr>
          <w:sz w:val="20"/>
          <w:szCs w:val="19"/>
        </w:rPr>
      </w:pPr>
    </w:p>
    <w:p w14:paraId="6D570AF4" w14:textId="77777777" w:rsidR="0037644B" w:rsidRDefault="0037644B" w:rsidP="00EE0D48">
      <w:pPr>
        <w:pStyle w:val="Bodytext30"/>
        <w:spacing w:line="319" w:lineRule="auto"/>
        <w:ind w:left="1560" w:right="1830"/>
        <w:jc w:val="center"/>
        <w:rPr>
          <w:sz w:val="20"/>
          <w:szCs w:val="19"/>
        </w:rPr>
      </w:pPr>
    </w:p>
    <w:p w14:paraId="672532C9" w14:textId="77777777" w:rsidR="0037644B" w:rsidRDefault="0037644B" w:rsidP="00EE0D48">
      <w:pPr>
        <w:pStyle w:val="Bodytext30"/>
        <w:spacing w:line="319" w:lineRule="auto"/>
        <w:ind w:left="1560" w:right="1830"/>
        <w:jc w:val="center"/>
        <w:rPr>
          <w:sz w:val="20"/>
          <w:szCs w:val="19"/>
        </w:rPr>
      </w:pPr>
    </w:p>
    <w:p w14:paraId="1E0DDD30" w14:textId="77777777" w:rsidR="0037644B" w:rsidRDefault="0037644B" w:rsidP="00EE0D48">
      <w:pPr>
        <w:pStyle w:val="Bodytext30"/>
        <w:spacing w:line="319" w:lineRule="auto"/>
        <w:ind w:left="1560" w:right="1830"/>
        <w:jc w:val="center"/>
        <w:rPr>
          <w:sz w:val="20"/>
          <w:szCs w:val="19"/>
        </w:rPr>
      </w:pPr>
    </w:p>
    <w:p w14:paraId="1DC8D61F" w14:textId="77777777" w:rsidR="0037644B" w:rsidRDefault="0037644B" w:rsidP="00EE0D48">
      <w:pPr>
        <w:pStyle w:val="Bodytext30"/>
        <w:spacing w:line="319" w:lineRule="auto"/>
        <w:ind w:left="1560" w:right="1830"/>
        <w:jc w:val="center"/>
        <w:rPr>
          <w:sz w:val="20"/>
          <w:szCs w:val="19"/>
        </w:rPr>
      </w:pPr>
    </w:p>
    <w:p w14:paraId="585369E3" w14:textId="77777777" w:rsidR="0037644B" w:rsidRDefault="0037644B" w:rsidP="00EE0D48">
      <w:pPr>
        <w:pStyle w:val="Bodytext30"/>
        <w:spacing w:line="319" w:lineRule="auto"/>
        <w:ind w:left="1560" w:right="1830"/>
        <w:jc w:val="center"/>
        <w:rPr>
          <w:sz w:val="20"/>
          <w:szCs w:val="19"/>
        </w:rPr>
      </w:pPr>
    </w:p>
    <w:p w14:paraId="39068B9D" w14:textId="39B94AF9" w:rsidR="0037644B" w:rsidRPr="00F122A6" w:rsidRDefault="0037644B" w:rsidP="00EE0D48">
      <w:pPr>
        <w:pStyle w:val="Bodytext30"/>
        <w:spacing w:line="319" w:lineRule="auto"/>
        <w:ind w:left="1560" w:right="1830"/>
        <w:jc w:val="center"/>
        <w:rPr>
          <w:sz w:val="20"/>
          <w:szCs w:val="19"/>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3C93C6CB">
                <wp:simplePos x="0" y="0"/>
                <wp:positionH relativeFrom="page">
                  <wp:posOffset>377825</wp:posOffset>
                </wp:positionH>
                <wp:positionV relativeFrom="paragraph">
                  <wp:posOffset>5000625</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4509"/>
                              <w:gridCol w:w="2887"/>
                            </w:tblGrid>
                            <w:tr w:rsidR="00F122A6" w14:paraId="4C7B1FE4" w14:textId="77777777" w:rsidTr="001A30DD">
                              <w:tc>
                                <w:tcPr>
                                  <w:tcW w:w="3234" w:type="dxa"/>
                                  <w:vAlign w:val="bottom"/>
                                </w:tcPr>
                                <w:p w14:paraId="200D134E" w14:textId="77777777" w:rsidR="00F122A6" w:rsidRPr="001A30DD" w:rsidRDefault="006A23BF"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ДЪРЖАВЕН ВЕСТНИК</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left:0;text-align:left;margin-left:29.75pt;margin-top:393.75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4509"/>
                        <w:gridCol w:w="2887"/>
                      </w:tblGrid>
                      <w:tr w:rsidR="00F122A6" w14:paraId="4C7B1FE4" w14:textId="77777777" w:rsidTr="001A30DD">
                        <w:tc>
                          <w:tcPr>
                            <w:tcW w:w="3234" w:type="dxa"/>
                            <w:vAlign w:val="bottom"/>
                          </w:tcPr>
                          <w:p w14:paraId="200D134E" w14:textId="77777777" w:rsidR="00F122A6" w:rsidRPr="001A30DD" w:rsidRDefault="006A23BF"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ДЪРЖАВЕН ВЕСТНИК</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RPr="00F122A6"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1EDD" w14:textId="77777777" w:rsidR="006A23BF" w:rsidRDefault="006A23BF">
      <w:r>
        <w:separator/>
      </w:r>
    </w:p>
  </w:endnote>
  <w:endnote w:type="continuationSeparator" w:id="0">
    <w:p w14:paraId="3F02847B" w14:textId="77777777" w:rsidR="006A23BF" w:rsidRDefault="006A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r>
                            <w:rPr>
                              <w:rStyle w:val="Bodytext2"/>
                            </w:rPr>
                            <w:t>cve: BOE-A-2024-17371</w:t>
                          </w:r>
                        </w:p>
                        <w:p w14:paraId="141DFE5A" w14:textId="77777777" w:rsidR="00F122A6" w:rsidRDefault="00F122A6" w:rsidP="00F122A6">
                          <w:pPr>
                            <w:pStyle w:val="Bodytext20"/>
                          </w:pPr>
                          <w:r>
                            <w:rPr>
                              <w:rStyle w:val="Bodytext2"/>
                            </w:rPr>
                            <w:t xml:space="preserve">Може да бъде проверено на адрес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Може да бъде проверено на адрес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2174" w14:textId="77777777" w:rsidR="006A23BF" w:rsidRDefault="006A23BF"/>
  </w:footnote>
  <w:footnote w:type="continuationSeparator" w:id="0">
    <w:p w14:paraId="1D6473CF" w14:textId="77777777" w:rsidR="006A23BF" w:rsidRDefault="006A2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ДЪРЖАВЕН ВЕСТНИК</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28.8.2024 г.</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Разд. I. Страница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2A3619"/>
    <w:rsid w:val="0037644B"/>
    <w:rsid w:val="003A02E8"/>
    <w:rsid w:val="00503C92"/>
    <w:rsid w:val="00695D6F"/>
    <w:rsid w:val="006A23BF"/>
    <w:rsid w:val="007C7F14"/>
    <w:rsid w:val="008A217F"/>
    <w:rsid w:val="008D51C9"/>
    <w:rsid w:val="00973FEB"/>
    <w:rsid w:val="00A51493"/>
    <w:rsid w:val="00BB487E"/>
    <w:rsid w:val="00C10FCF"/>
    <w:rsid w:val="00EE0D48"/>
    <w:rsid w:val="00F122A6"/>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bg-BG"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3214</Words>
  <Characters>18185</Characters>
  <Application>Microsoft Office Word</Application>
  <DocSecurity>0</DocSecurity>
  <Lines>362</Lines>
  <Paragraphs>107</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2024-10-10T11:08:00Z</dcterms:created>
  <dcterms:modified xsi:type="dcterms:W3CDTF">2024-10-10T11:08:00Z</dcterms:modified>
</cp:coreProperties>
</file>