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868E" w14:textId="1491DFB4">
      <w:pPr>
        <w:pStyle w:val="P68B1DB1-P68B1DB1-Title11"/>
        <w:spacing w:before="0"/>
        <w:ind w:left="0"/>
        <w:jc w:val="right"/>
        <w:rPr>
          <w:i/>
          <w:iCs/>
          <w:color w:val="FF0000"/>
          <w:sz w:val="24"/>
          <w:szCs w:val="24"/>
          <w:u w:val="none"/>
        </w:rPr>
      </w:pPr>
      <w:r>
        <w:t xml:space="preserve">To je strojni prevod.</w:t>
      </w:r>
    </w:p>
    <w:p w14:paraId="48A46481" w14:textId="77777777">
      <w:pPr>
        <w:pStyle w:val="P68B1DB1-Title1"/>
        <w:spacing w:before="0"/>
        <w:ind w:left="0"/>
      </w:pPr>
    </w:p>
    <w:p w14:paraId="5DDBFD33" w14:textId="3AD4A40E">
      <w:pPr>
        <w:pStyle w:val="P68B1DB1-Title1"/>
        <w:spacing w:before="0"/>
        <w:ind w:left="0"/>
      </w:pPr>
      <w:r>
        <w:t xml:space="preserve">Sodna praksa v zvezi z Direktivo (EU) 2015/1535</w:t>
      </w:r>
    </w:p>
    <w:p w14:paraId="5AFCD03C" w14:textId="77777777">
      <w:pPr>
        <w:pStyle w:val="BodyText"/>
      </w:pPr>
    </w:p>
    <w:p w14:paraId="55805DA1" w14:textId="3A3D4AA9">
      <w:pPr>
        <w:pStyle w:val="BodyText"/>
      </w:pPr>
      <w:r>
        <w:t xml:space="preserve">V tem dokumentu so opredeljene glavne sodbe in sklepi Sodišča Evropske unije v zvezi s področjem uporabe in uporabo Direktive (EU) 2015/1535, ki določa postopek za zbiranje informacij na področju tehničnih predpisov in pravil o storitvah informacijske družbe. Njegov namen je služiti kot vodilo za uprave držav članic, industrijo in državljane.</w:t>
      </w:r>
    </w:p>
    <w:p w14:paraId="4F3E66AE" w14:textId="77777777">
      <w:pPr>
        <w:pStyle w:val="BodyText"/>
        <w:rPr>
          <w:sz w:val="22"/>
          <w:szCs w:val="18"/>
        </w:rPr>
      </w:pPr>
    </w:p>
    <w:p w14:paraId="53D6EBA0" w14:textId="77777777">
      <w:pPr>
        <w:pStyle w:val="BodyText"/>
      </w:pPr>
      <w:r>
        <w:t xml:space="preserve">Ker ta dokument ni izčrpen, nekaterih ustreznih odločitev ni mogoče vključiti.</w:t>
      </w:r>
    </w:p>
    <w:p w14:paraId="771A43E5" w14:textId="77777777">
      <w:pPr>
        <w:pStyle w:val="BodyText"/>
      </w:pPr>
    </w:p>
    <w:p w14:paraId="45186CE0" w14:textId="45ABA22D">
      <w:pPr>
        <w:pStyle w:val="BodyText"/>
      </w:pPr>
      <w:r>
        <w:t xml:space="preserve">Sodbe so predstavljene v kronološkem vrstnem redu, dokument pa je sestavljen iz štirih delov:</w:t>
      </w:r>
    </w:p>
    <w:p w14:paraId="267A7D41" w14:textId="77777777">
      <w:pPr>
        <w:pStyle w:val="P68B1DB1-Normal4"/>
        <w:spacing w:after="0" w:line="278" w:lineRule="auto"/>
        <w:rPr>
          <w:rFonts w:ascii="Times New Roman" w:hAnsi="Times New Roman" w:cs="Times New Roman"/>
        </w:rPr>
      </w:pPr>
      <w:bookmarkStart w:id="0" w:name="_Hlk194503326"/>
    </w:p>
    <w:p w14:paraId="7D859DD3" w14:textId="68537153">
      <w:pPr>
        <w:pStyle w:val="P68B1DB1-TOC12"/>
        <w:tabs>
          <w:tab w:val="left" w:pos="440"/>
          <w:tab w:val="right" w:leader="dot" w:pos="9016"/>
        </w:tabs>
        <w:rPr>
          <w:rFonts w:eastAsiaTheme="minorEastAsia"/>
          <w:b w:val="0"/>
          <w:bCs w:val="0"/>
          <w:caps w:val="0"/>
          <w:kern w:val="2"/>
          <w:sz w:val="24"/>
          <w:szCs w:val="24"/>
          <w14:ligatures w14:val="standardContextual"/>
        </w:rPr>
      </w:pPr>
      <w:r>
        <w:fldChar w:fldCharType="begin"/>
      </w:r>
      <w:r>
        <w:rPr>
          <w:rFonts w:ascii="Times New Roman" w:hAnsi="Times New Roman" w:cs="Times New Roman"/>
        </w:rPr>
        <w:instrText xml:space="preserve"> TOC \o "2-2" \h \z \t "Heading 1,1" </w:instrText>
      </w:r>
      <w:r>
        <w:rPr>
          <w:rFonts w:ascii="Times New Roman" w:hAnsi="Times New Roman" w:cs="Times New Roman"/>
        </w:rPr>
        <w:fldChar w:fldCharType="separate"/>
      </w:r>
      <w:hyperlink w:anchor="_Toc203035665" w:history="1">
        <w:r>
          <w:rPr>
            <w:rStyle w:val="Hyperlink"/>
          </w:rPr>
          <w:t>I.</w:t>
        </w:r>
        <w:r>
          <w:rPr>
            <w:rFonts w:eastAsiaTheme="minorEastAsia"/>
            <w:b w:val="0"/>
            <w:bCs w:val="0"/>
            <w:caps w:val="0"/>
            <w:kern w:val="2"/>
            <w:sz w:val="24"/>
            <w:szCs w:val="24"/>
            <w14:ligatures w14:val="standardContextual"/>
          </w:rPr>
          <w:tab/>
        </w:r>
        <w:r>
          <w:rPr>
            <w:rStyle w:val="Hyperlink"/>
          </w:rPr>
          <w:t>Classification as Technical Regulation</w:t>
        </w:r>
        <w:r>
          <w:rPr>
            <w:webHidden/>
          </w:rPr>
          <w:tab/>
        </w:r>
        <w:r>
          <w:rPr>
            <w:webHidden/>
          </w:rPr>
          <w:fldChar w:fldCharType="begin"/>
        </w:r>
        <w:r>
          <w:rPr>
            <w:webHidden/>
          </w:rPr>
          <w:instrText xml:space="preserve"> PAGEREF _Toc203035665 \h </w:instrText>
        </w:r>
        <w:r>
          <w:rPr>
            <w:webHidden/>
          </w:rPr>
        </w:r>
        <w:r>
          <w:rPr>
            <w:webHidden/>
          </w:rPr>
          <w:fldChar w:fldCharType="separate"/>
        </w:r>
        <w:r>
          <w:rPr>
            <w:webHidden/>
          </w:rPr>
          <w:t>4</w:t>
        </w:r>
        <w:r>
          <w:rPr>
            <w:webHidden/>
          </w:rPr>
          <w:fldChar w:fldCharType="end"/>
        </w:r>
      </w:hyperlink>
    </w:p>
    <w:p w14:paraId="0A04A47D" w14:textId="2BCBBFA9">
      <w:pPr>
        <w:pStyle w:val="TOC2"/>
        <w:tabs>
          <w:tab w:val="left" w:pos="660"/>
          <w:tab w:val="right" w:leader="dot" w:pos="9016"/>
        </w:tabs>
        <w:rPr>
          <w:rFonts w:eastAsiaTheme="minorEastAsia"/>
          <w:smallCaps w:val="0"/>
          <w:kern w:val="2"/>
          <w:sz w:val="24"/>
          <w:szCs w:val="24"/>
          <w14:ligatures w14:val="standardContextual"/>
        </w:rPr>
      </w:pPr>
      <w:hyperlink w:anchor="_Toc203035666" w:history="1">
        <w:r>
          <w:rPr>
            <w:rStyle w:val="Hyperlink"/>
            <w:bCs/>
          </w:rPr>
          <w:t>a.</w:t>
        </w:r>
        <w:r>
          <w:rPr>
            <w:rFonts w:eastAsiaTheme="minorEastAsia"/>
            <w:smallCaps w:val="0"/>
            <w:kern w:val="2"/>
            <w:sz w:val="24"/>
            <w:szCs w:val="24"/>
            <w14:ligatures w14:val="standardContextual"/>
          </w:rPr>
          <w:tab/>
        </w:r>
        <w:r>
          <w:rPr>
            <w:rStyle w:val="Hyperlink"/>
          </w:rPr>
          <w:t>Common Criteria for Technical Regulations</w:t>
        </w:r>
        <w:r>
          <w:rPr>
            <w:webHidden/>
          </w:rPr>
          <w:tab/>
        </w:r>
        <w:r>
          <w:rPr>
            <w:webHidden/>
          </w:rPr>
          <w:fldChar w:fldCharType="begin"/>
        </w:r>
        <w:r>
          <w:rPr>
            <w:webHidden/>
          </w:rPr>
          <w:instrText xml:space="preserve"> PAGEREF _Toc203035666 \h </w:instrText>
        </w:r>
        <w:r>
          <w:rPr>
            <w:webHidden/>
          </w:rPr>
        </w:r>
        <w:r>
          <w:rPr>
            <w:webHidden/>
          </w:rPr>
          <w:fldChar w:fldCharType="separate"/>
        </w:r>
        <w:r>
          <w:rPr>
            <w:webHidden/>
          </w:rPr>
          <w:t>4</w:t>
        </w:r>
        <w:r>
          <w:rPr>
            <w:webHidden/>
          </w:rPr>
          <w:fldChar w:fldCharType="end"/>
        </w:r>
      </w:hyperlink>
    </w:p>
    <w:p w14:paraId="6F26F433" w14:textId="185E7FA5">
      <w:pPr>
        <w:pStyle w:val="TOC2"/>
        <w:tabs>
          <w:tab w:val="left" w:pos="660"/>
          <w:tab w:val="right" w:leader="dot" w:pos="9016"/>
        </w:tabs>
        <w:rPr>
          <w:rFonts w:eastAsiaTheme="minorEastAsia"/>
          <w:smallCaps w:val="0"/>
          <w:kern w:val="2"/>
          <w:sz w:val="24"/>
          <w:szCs w:val="24"/>
          <w14:ligatures w14:val="standardContextual"/>
        </w:rPr>
      </w:pPr>
      <w:hyperlink w:anchor="_Toc203035667" w:history="1">
        <w:r>
          <w:rPr>
            <w:rStyle w:val="Hyperlink"/>
            <w:bCs/>
          </w:rPr>
          <w:t>b.</w:t>
        </w:r>
        <w:r>
          <w:rPr>
            <w:rFonts w:eastAsiaTheme="minorEastAsia"/>
            <w:smallCaps w:val="0"/>
            <w:kern w:val="2"/>
            <w:sz w:val="24"/>
            <w:szCs w:val="24"/>
            <w14:ligatures w14:val="standardContextual"/>
          </w:rPr>
          <w:tab/>
        </w:r>
        <w:r>
          <w:rPr>
            <w:rStyle w:val="Hyperlink"/>
          </w:rPr>
          <w:t>Technical Specifications</w:t>
        </w:r>
        <w:r>
          <w:rPr>
            <w:webHidden/>
          </w:rPr>
          <w:tab/>
        </w:r>
        <w:r>
          <w:rPr>
            <w:webHidden/>
          </w:rPr>
          <w:fldChar w:fldCharType="begin"/>
        </w:r>
        <w:r>
          <w:rPr>
            <w:webHidden/>
          </w:rPr>
          <w:instrText xml:space="preserve"> PAGEREF _Toc203035667 \h </w:instrText>
        </w:r>
        <w:r>
          <w:rPr>
            <w:webHidden/>
          </w:rPr>
        </w:r>
        <w:r>
          <w:rPr>
            <w:webHidden/>
          </w:rPr>
          <w:fldChar w:fldCharType="separate"/>
        </w:r>
        <w:r>
          <w:rPr>
            <w:webHidden/>
          </w:rPr>
          <w:t>6</w:t>
        </w:r>
        <w:r>
          <w:rPr>
            <w:webHidden/>
          </w:rPr>
          <w:fldChar w:fldCharType="end"/>
        </w:r>
      </w:hyperlink>
    </w:p>
    <w:p w14:paraId="4473297C" w14:textId="5097F959">
      <w:pPr>
        <w:pStyle w:val="TOC2"/>
        <w:tabs>
          <w:tab w:val="left" w:pos="660"/>
          <w:tab w:val="right" w:leader="dot" w:pos="9016"/>
        </w:tabs>
        <w:rPr>
          <w:rFonts w:eastAsiaTheme="minorEastAsia"/>
          <w:smallCaps w:val="0"/>
          <w:kern w:val="2"/>
          <w:sz w:val="24"/>
          <w:szCs w:val="24"/>
          <w14:ligatures w14:val="standardContextual"/>
        </w:rPr>
      </w:pPr>
      <w:hyperlink w:anchor="_Toc203035668" w:history="1">
        <w:r>
          <w:rPr>
            <w:rStyle w:val="Hyperlink"/>
            <w:bCs/>
          </w:rPr>
          <w:t>c.</w:t>
        </w:r>
        <w:r>
          <w:rPr>
            <w:rFonts w:eastAsiaTheme="minorEastAsia"/>
            <w:smallCaps w:val="0"/>
            <w:kern w:val="2"/>
            <w:sz w:val="24"/>
            <w:szCs w:val="24"/>
            <w14:ligatures w14:val="standardContextual"/>
          </w:rPr>
          <w:tab/>
        </w:r>
        <w:r>
          <w:rPr>
            <w:rStyle w:val="Hyperlink"/>
          </w:rPr>
          <w:t>Other Requirements</w:t>
        </w:r>
        <w:r>
          <w:rPr>
            <w:webHidden/>
          </w:rPr>
          <w:tab/>
        </w:r>
        <w:r>
          <w:rPr>
            <w:webHidden/>
          </w:rPr>
          <w:fldChar w:fldCharType="begin"/>
        </w:r>
        <w:r>
          <w:rPr>
            <w:webHidden/>
          </w:rPr>
          <w:instrText xml:space="preserve"> PAGEREF _Toc203035668 \h </w:instrText>
        </w:r>
        <w:r>
          <w:rPr>
            <w:webHidden/>
          </w:rPr>
        </w:r>
        <w:r>
          <w:rPr>
            <w:webHidden/>
          </w:rPr>
          <w:fldChar w:fldCharType="separate"/>
        </w:r>
        <w:r>
          <w:rPr>
            <w:webHidden/>
          </w:rPr>
          <w:t>14</w:t>
        </w:r>
        <w:r>
          <w:rPr>
            <w:webHidden/>
          </w:rPr>
          <w:fldChar w:fldCharType="end"/>
        </w:r>
      </w:hyperlink>
    </w:p>
    <w:p w14:paraId="110B55B0" w14:textId="4A4EB9AB">
      <w:pPr>
        <w:pStyle w:val="TOC2"/>
        <w:tabs>
          <w:tab w:val="left" w:pos="660"/>
          <w:tab w:val="right" w:leader="dot" w:pos="9016"/>
        </w:tabs>
        <w:rPr>
          <w:rFonts w:eastAsiaTheme="minorEastAsia"/>
          <w:smallCaps w:val="0"/>
          <w:kern w:val="2"/>
          <w:sz w:val="24"/>
          <w:szCs w:val="24"/>
          <w14:ligatures w14:val="standardContextual"/>
        </w:rPr>
      </w:pPr>
      <w:hyperlink w:anchor="_Toc203035669" w:history="1">
        <w:r>
          <w:rPr>
            <w:rStyle w:val="Hyperlink"/>
            <w:bCs/>
          </w:rPr>
          <w:t>d.</w:t>
        </w:r>
        <w:r>
          <w:rPr>
            <w:rFonts w:eastAsiaTheme="minorEastAsia"/>
            <w:smallCaps w:val="0"/>
            <w:kern w:val="2"/>
            <w:sz w:val="24"/>
            <w:szCs w:val="24"/>
            <w14:ligatures w14:val="standardContextual"/>
          </w:rPr>
          <w:tab/>
        </w:r>
        <w:r>
          <w:rPr>
            <w:rStyle w:val="Hyperlink"/>
          </w:rPr>
          <w:t>Rules on Services</w:t>
        </w:r>
        <w:r>
          <w:rPr>
            <w:webHidden/>
          </w:rPr>
          <w:tab/>
        </w:r>
        <w:r>
          <w:rPr>
            <w:webHidden/>
          </w:rPr>
          <w:fldChar w:fldCharType="begin"/>
        </w:r>
        <w:r>
          <w:rPr>
            <w:webHidden/>
          </w:rPr>
          <w:instrText xml:space="preserve"> PAGEREF _Toc203035669 \h </w:instrText>
        </w:r>
        <w:r>
          <w:rPr>
            <w:webHidden/>
          </w:rPr>
        </w:r>
        <w:r>
          <w:rPr>
            <w:webHidden/>
          </w:rPr>
          <w:fldChar w:fldCharType="separate"/>
        </w:r>
        <w:r>
          <w:rPr>
            <w:webHidden/>
          </w:rPr>
          <w:t>21</w:t>
        </w:r>
        <w:r>
          <w:rPr>
            <w:webHidden/>
          </w:rPr>
          <w:fldChar w:fldCharType="end"/>
        </w:r>
      </w:hyperlink>
    </w:p>
    <w:p w14:paraId="7AE2FA08" w14:textId="1FC0EAA8">
      <w:pPr>
        <w:pStyle w:val="TOC2"/>
        <w:tabs>
          <w:tab w:val="left" w:pos="660"/>
          <w:tab w:val="right" w:leader="dot" w:pos="9016"/>
        </w:tabs>
        <w:rPr>
          <w:rFonts w:eastAsiaTheme="minorEastAsia"/>
          <w:smallCaps w:val="0"/>
          <w:kern w:val="2"/>
          <w:sz w:val="24"/>
          <w:szCs w:val="24"/>
          <w14:ligatures w14:val="standardContextual"/>
        </w:rPr>
      </w:pPr>
      <w:hyperlink w:anchor="_Toc203035670" w:history="1">
        <w:r>
          <w:rPr>
            <w:rStyle w:val="Hyperlink"/>
            <w:bCs/>
          </w:rPr>
          <w:t>e.</w:t>
        </w:r>
        <w:r>
          <w:rPr>
            <w:rFonts w:eastAsiaTheme="minorEastAsia"/>
            <w:smallCaps w:val="0"/>
            <w:kern w:val="2"/>
            <w:sz w:val="24"/>
            <w:szCs w:val="24"/>
            <w14:ligatures w14:val="standardContextual"/>
          </w:rPr>
          <w:tab/>
        </w:r>
        <w:r>
          <w:rPr>
            <w:rStyle w:val="Hyperlink"/>
          </w:rPr>
          <w:t>Prohibition Provisions</w:t>
        </w:r>
        <w:r>
          <w:rPr>
            <w:webHidden/>
          </w:rPr>
          <w:tab/>
        </w:r>
        <w:r>
          <w:rPr>
            <w:webHidden/>
          </w:rPr>
          <w:fldChar w:fldCharType="begin"/>
        </w:r>
        <w:r>
          <w:rPr>
            <w:webHidden/>
          </w:rPr>
          <w:instrText xml:space="preserve"> PAGEREF _Toc203035670 \h </w:instrText>
        </w:r>
        <w:r>
          <w:rPr>
            <w:webHidden/>
          </w:rPr>
        </w:r>
        <w:r>
          <w:rPr>
            <w:webHidden/>
          </w:rPr>
          <w:fldChar w:fldCharType="separate"/>
        </w:r>
        <w:r>
          <w:rPr>
            <w:webHidden/>
          </w:rPr>
          <w:t>31</w:t>
        </w:r>
        <w:r>
          <w:rPr>
            <w:webHidden/>
          </w:rPr>
          <w:fldChar w:fldCharType="end"/>
        </w:r>
      </w:hyperlink>
    </w:p>
    <w:p w14:paraId="709EEE7A" w14:textId="670F7D1D">
      <w:pPr>
        <w:pStyle w:val="TOC2"/>
        <w:tabs>
          <w:tab w:val="left" w:pos="660"/>
          <w:tab w:val="right" w:leader="dot" w:pos="9016"/>
        </w:tabs>
        <w:rPr>
          <w:rFonts w:eastAsiaTheme="minorEastAsia"/>
          <w:smallCaps w:val="0"/>
          <w:kern w:val="2"/>
          <w:sz w:val="24"/>
          <w:szCs w:val="24"/>
          <w14:ligatures w14:val="standardContextual"/>
        </w:rPr>
      </w:pPr>
      <w:hyperlink w:anchor="_Toc203035671" w:history="1">
        <w:r>
          <w:rPr>
            <w:rStyle w:val="Hyperlink"/>
            <w:bCs/>
          </w:rPr>
          <w:t>f.</w:t>
        </w:r>
        <w:r>
          <w:rPr>
            <w:rFonts w:eastAsiaTheme="minorEastAsia"/>
            <w:smallCaps w:val="0"/>
            <w:kern w:val="2"/>
            <w:sz w:val="24"/>
            <w:szCs w:val="24"/>
            <w14:ligatures w14:val="standardContextual"/>
          </w:rPr>
          <w:tab/>
        </w:r>
        <w:r>
          <w:rPr>
            <w:rStyle w:val="Hyperlink"/>
          </w:rPr>
          <w:t>De Facto Technical Regulations</w:t>
        </w:r>
        <w:r>
          <w:rPr>
            <w:webHidden/>
          </w:rPr>
          <w:tab/>
        </w:r>
        <w:r>
          <w:rPr>
            <w:webHidden/>
          </w:rPr>
          <w:fldChar w:fldCharType="begin"/>
        </w:r>
        <w:r>
          <w:rPr>
            <w:webHidden/>
          </w:rPr>
          <w:instrText xml:space="preserve"> PAGEREF _Toc203035671 \h </w:instrText>
        </w:r>
        <w:r>
          <w:rPr>
            <w:webHidden/>
          </w:rPr>
        </w:r>
        <w:r>
          <w:rPr>
            <w:webHidden/>
          </w:rPr>
          <w:fldChar w:fldCharType="separate"/>
        </w:r>
        <w:r>
          <w:rPr>
            <w:webHidden/>
          </w:rPr>
          <w:t>34</w:t>
        </w:r>
        <w:r>
          <w:rPr>
            <w:webHidden/>
          </w:rPr>
          <w:fldChar w:fldCharType="end"/>
        </w:r>
      </w:hyperlink>
    </w:p>
    <w:p w14:paraId="1C2FBBFA" w14:textId="2ED58CFC">
      <w:pPr>
        <w:pStyle w:val="TOC2"/>
        <w:tabs>
          <w:tab w:val="left" w:pos="660"/>
          <w:tab w:val="right" w:leader="dot" w:pos="9016"/>
        </w:tabs>
        <w:rPr>
          <w:rFonts w:eastAsiaTheme="minorEastAsia"/>
          <w:smallCaps w:val="0"/>
          <w:kern w:val="2"/>
          <w:sz w:val="24"/>
          <w:szCs w:val="24"/>
          <w14:ligatures w14:val="standardContextual"/>
        </w:rPr>
      </w:pPr>
      <w:hyperlink w:anchor="_Toc203035672" w:history="1">
        <w:r>
          <w:rPr>
            <w:rStyle w:val="Hyperlink"/>
            <w:bCs/>
          </w:rPr>
          <w:t>g.</w:t>
        </w:r>
        <w:r>
          <w:rPr>
            <w:rFonts w:eastAsiaTheme="minorEastAsia"/>
            <w:smallCaps w:val="0"/>
            <w:kern w:val="2"/>
            <w:sz w:val="24"/>
            <w:szCs w:val="24"/>
            <w14:ligatures w14:val="standardContextual"/>
          </w:rPr>
          <w:tab/>
        </w:r>
        <w:r>
          <w:rPr>
            <w:rStyle w:val="Hyperlink"/>
          </w:rPr>
          <w:t>Excluded Matters</w:t>
        </w:r>
        <w:r>
          <w:rPr>
            <w:webHidden/>
          </w:rPr>
          <w:tab/>
        </w:r>
        <w:r>
          <w:rPr>
            <w:webHidden/>
          </w:rPr>
          <w:fldChar w:fldCharType="begin"/>
        </w:r>
        <w:r>
          <w:rPr>
            <w:webHidden/>
          </w:rPr>
          <w:instrText xml:space="preserve"> PAGEREF _Toc203035672 \h </w:instrText>
        </w:r>
        <w:r>
          <w:rPr>
            <w:webHidden/>
          </w:rPr>
        </w:r>
        <w:r>
          <w:rPr>
            <w:webHidden/>
          </w:rPr>
          <w:fldChar w:fldCharType="separate"/>
        </w:r>
        <w:r>
          <w:rPr>
            <w:webHidden/>
          </w:rPr>
          <w:t>37</w:t>
        </w:r>
        <w:r>
          <w:rPr>
            <w:webHidden/>
          </w:rPr>
          <w:fldChar w:fldCharType="end"/>
        </w:r>
      </w:hyperlink>
    </w:p>
    <w:p w14:paraId="6E4B30D2" w14:textId="492D7E3B">
      <w:pPr>
        <w:pStyle w:val="TOC1"/>
        <w:tabs>
          <w:tab w:val="left" w:pos="440"/>
          <w:tab w:val="right" w:leader="dot" w:pos="9016"/>
        </w:tabs>
        <w:rPr>
          <w:rFonts w:eastAsiaTheme="minorEastAsia"/>
          <w:b w:val="0"/>
          <w:bCs w:val="0"/>
          <w:caps w:val="0"/>
          <w:kern w:val="2"/>
          <w:sz w:val="24"/>
          <w:szCs w:val="24"/>
          <w14:ligatures w14:val="standardContextual"/>
        </w:rPr>
      </w:pPr>
      <w:hyperlink w:anchor="_Toc203035673" w:history="1">
        <w:r>
          <w:rPr>
            <w:rStyle w:val="Hyperlink"/>
          </w:rPr>
          <w:t>II.</w:t>
        </w:r>
        <w:r>
          <w:rPr>
            <w:rFonts w:eastAsiaTheme="minorEastAsia"/>
            <w:b w:val="0"/>
            <w:bCs w:val="0"/>
            <w:caps w:val="0"/>
            <w:kern w:val="2"/>
            <w:sz w:val="24"/>
            <w:szCs w:val="24"/>
            <w14:ligatures w14:val="standardContextual"/>
          </w:rPr>
          <w:tab/>
        </w:r>
        <w:r>
          <w:rPr>
            <w:rStyle w:val="Hyperlink"/>
          </w:rPr>
          <w:t>Notification Obligation</w:t>
        </w:r>
        <w:r>
          <w:rPr>
            <w:webHidden/>
          </w:rPr>
          <w:tab/>
        </w:r>
        <w:r>
          <w:rPr>
            <w:webHidden/>
          </w:rPr>
          <w:fldChar w:fldCharType="begin"/>
        </w:r>
        <w:r>
          <w:rPr>
            <w:webHidden/>
          </w:rPr>
          <w:instrText xml:space="preserve"> PAGEREF _Toc203035673 \h </w:instrText>
        </w:r>
        <w:r>
          <w:rPr>
            <w:webHidden/>
          </w:rPr>
        </w:r>
        <w:r>
          <w:rPr>
            <w:webHidden/>
          </w:rPr>
          <w:fldChar w:fldCharType="separate"/>
        </w:r>
        <w:r>
          <w:rPr>
            <w:webHidden/>
          </w:rPr>
          <w:t>39</w:t>
        </w:r>
        <w:r>
          <w:rPr>
            <w:webHidden/>
          </w:rPr>
          <w:fldChar w:fldCharType="end"/>
        </w:r>
      </w:hyperlink>
    </w:p>
    <w:p w14:paraId="559CE1AC" w14:textId="73AB7DFD">
      <w:pPr>
        <w:pStyle w:val="TOC2"/>
        <w:tabs>
          <w:tab w:val="left" w:pos="660"/>
          <w:tab w:val="right" w:leader="dot" w:pos="9016"/>
        </w:tabs>
        <w:rPr>
          <w:rFonts w:eastAsiaTheme="minorEastAsia"/>
          <w:smallCaps w:val="0"/>
          <w:kern w:val="2"/>
          <w:sz w:val="24"/>
          <w:szCs w:val="24"/>
          <w14:ligatures w14:val="standardContextual"/>
        </w:rPr>
      </w:pPr>
      <w:hyperlink w:anchor="_Toc203035674" w:history="1">
        <w:r>
          <w:rPr>
            <w:rStyle w:val="Hyperlink"/>
            <w:bCs/>
          </w:rPr>
          <w:t>a.</w:t>
        </w:r>
        <w:r>
          <w:rPr>
            <w:rFonts w:eastAsiaTheme="minorEastAsia"/>
            <w:smallCaps w:val="0"/>
            <w:kern w:val="2"/>
            <w:sz w:val="24"/>
            <w:szCs w:val="24"/>
            <w14:ligatures w14:val="standardContextual"/>
          </w:rPr>
          <w:tab/>
        </w:r>
        <w:r>
          <w:rPr>
            <w:rStyle w:val="Hyperlink"/>
          </w:rPr>
          <w:t>Notification at the Draft Stage</w:t>
        </w:r>
        <w:r>
          <w:rPr>
            <w:webHidden/>
          </w:rPr>
          <w:tab/>
        </w:r>
        <w:r>
          <w:rPr>
            <w:webHidden/>
          </w:rPr>
          <w:fldChar w:fldCharType="begin"/>
        </w:r>
        <w:r>
          <w:rPr>
            <w:webHidden/>
          </w:rPr>
          <w:instrText xml:space="preserve"> PAGEREF _Toc203035674 \h </w:instrText>
        </w:r>
        <w:r>
          <w:rPr>
            <w:webHidden/>
          </w:rPr>
        </w:r>
        <w:r>
          <w:rPr>
            <w:webHidden/>
          </w:rPr>
          <w:fldChar w:fldCharType="separate"/>
        </w:r>
        <w:r>
          <w:rPr>
            <w:webHidden/>
          </w:rPr>
          <w:t>39</w:t>
        </w:r>
        <w:r>
          <w:rPr>
            <w:webHidden/>
          </w:rPr>
          <w:fldChar w:fldCharType="end"/>
        </w:r>
      </w:hyperlink>
    </w:p>
    <w:p w14:paraId="7E8A6736" w14:textId="71519B8A">
      <w:pPr>
        <w:pStyle w:val="TOC2"/>
        <w:tabs>
          <w:tab w:val="left" w:pos="660"/>
          <w:tab w:val="right" w:leader="dot" w:pos="9016"/>
        </w:tabs>
        <w:rPr>
          <w:rFonts w:eastAsiaTheme="minorEastAsia"/>
          <w:smallCaps w:val="0"/>
          <w:kern w:val="2"/>
          <w:sz w:val="24"/>
          <w:szCs w:val="24"/>
          <w14:ligatures w14:val="standardContextual"/>
        </w:rPr>
      </w:pPr>
      <w:hyperlink w:anchor="_Toc203035675" w:history="1">
        <w:r>
          <w:rPr>
            <w:rStyle w:val="Hyperlink"/>
            <w:bCs/>
          </w:rPr>
          <w:t>b.</w:t>
        </w:r>
        <w:r>
          <w:rPr>
            <w:rFonts w:eastAsiaTheme="minorEastAsia"/>
            <w:smallCaps w:val="0"/>
            <w:kern w:val="2"/>
            <w:sz w:val="24"/>
            <w:szCs w:val="24"/>
            <w14:ligatures w14:val="standardContextual"/>
          </w:rPr>
          <w:tab/>
        </w:r>
        <w:r>
          <w:rPr>
            <w:rStyle w:val="Hyperlink"/>
          </w:rPr>
          <w:t>Notifications of New Technical Regulations</w:t>
        </w:r>
        <w:r>
          <w:rPr>
            <w:webHidden/>
          </w:rPr>
          <w:tab/>
        </w:r>
        <w:r>
          <w:rPr>
            <w:webHidden/>
          </w:rPr>
          <w:fldChar w:fldCharType="begin"/>
        </w:r>
        <w:r>
          <w:rPr>
            <w:webHidden/>
          </w:rPr>
          <w:instrText xml:space="preserve"> PAGEREF _Toc203035675 \h </w:instrText>
        </w:r>
        <w:r>
          <w:rPr>
            <w:webHidden/>
          </w:rPr>
        </w:r>
        <w:r>
          <w:rPr>
            <w:webHidden/>
          </w:rPr>
          <w:fldChar w:fldCharType="separate"/>
        </w:r>
        <w:r>
          <w:rPr>
            <w:webHidden/>
          </w:rPr>
          <w:t>41</w:t>
        </w:r>
        <w:r>
          <w:rPr>
            <w:webHidden/>
          </w:rPr>
          <w:fldChar w:fldCharType="end"/>
        </w:r>
      </w:hyperlink>
    </w:p>
    <w:p w14:paraId="1EA679C1" w14:textId="584C8B1D">
      <w:pPr>
        <w:pStyle w:val="TOC2"/>
        <w:tabs>
          <w:tab w:val="left" w:pos="660"/>
          <w:tab w:val="right" w:leader="dot" w:pos="9016"/>
        </w:tabs>
        <w:rPr>
          <w:rFonts w:eastAsiaTheme="minorEastAsia"/>
          <w:smallCaps w:val="0"/>
          <w:kern w:val="2"/>
          <w:sz w:val="24"/>
          <w:szCs w:val="24"/>
          <w14:ligatures w14:val="standardContextual"/>
        </w:rPr>
      </w:pPr>
      <w:hyperlink w:anchor="_Toc203035676" w:history="1">
        <w:r>
          <w:rPr>
            <w:rStyle w:val="Hyperlink"/>
            <w:bCs/>
          </w:rPr>
          <w:t>c.</w:t>
        </w:r>
        <w:r>
          <w:rPr>
            <w:rFonts w:eastAsiaTheme="minorEastAsia"/>
            <w:smallCaps w:val="0"/>
            <w:kern w:val="2"/>
            <w:sz w:val="24"/>
            <w:szCs w:val="24"/>
            <w14:ligatures w14:val="standardContextual"/>
          </w:rPr>
          <w:tab/>
        </w:r>
        <w:r>
          <w:rPr>
            <w:rStyle w:val="Hyperlink"/>
          </w:rPr>
          <w:t>Notification of the Full Text</w:t>
        </w:r>
        <w:r>
          <w:rPr>
            <w:webHidden/>
          </w:rPr>
          <w:tab/>
        </w:r>
        <w:r>
          <w:rPr>
            <w:webHidden/>
          </w:rPr>
          <w:fldChar w:fldCharType="begin"/>
        </w:r>
        <w:r>
          <w:rPr>
            <w:webHidden/>
          </w:rPr>
          <w:instrText xml:space="preserve"> PAGEREF _Toc203035676 \h </w:instrText>
        </w:r>
        <w:r>
          <w:rPr>
            <w:webHidden/>
          </w:rPr>
        </w:r>
        <w:r>
          <w:rPr>
            <w:webHidden/>
          </w:rPr>
          <w:fldChar w:fldCharType="separate"/>
        </w:r>
        <w:r>
          <w:rPr>
            <w:webHidden/>
          </w:rPr>
          <w:t>43</w:t>
        </w:r>
        <w:r>
          <w:rPr>
            <w:webHidden/>
          </w:rPr>
          <w:fldChar w:fldCharType="end"/>
        </w:r>
      </w:hyperlink>
    </w:p>
    <w:p w14:paraId="7399B3C2" w14:textId="37BC6B70">
      <w:pPr>
        <w:pStyle w:val="TOC2"/>
        <w:tabs>
          <w:tab w:val="left" w:pos="660"/>
          <w:tab w:val="right" w:leader="dot" w:pos="9016"/>
        </w:tabs>
        <w:rPr>
          <w:rFonts w:eastAsiaTheme="minorEastAsia"/>
          <w:smallCaps w:val="0"/>
          <w:kern w:val="2"/>
          <w:sz w:val="24"/>
          <w:szCs w:val="24"/>
          <w14:ligatures w14:val="standardContextual"/>
        </w:rPr>
      </w:pPr>
      <w:hyperlink w:anchor="_Toc203035677" w:history="1">
        <w:r>
          <w:rPr>
            <w:rStyle w:val="Hyperlink"/>
            <w:bCs/>
          </w:rPr>
          <w:t>d.</w:t>
        </w:r>
        <w:r>
          <w:rPr>
            <w:rFonts w:eastAsiaTheme="minorEastAsia"/>
            <w:smallCaps w:val="0"/>
            <w:kern w:val="2"/>
            <w:sz w:val="24"/>
            <w:szCs w:val="24"/>
            <w14:ligatures w14:val="standardContextual"/>
          </w:rPr>
          <w:tab/>
        </w:r>
        <w:r>
          <w:rPr>
            <w:rStyle w:val="Hyperlink"/>
          </w:rPr>
          <w:t>Notification of Concerned Basic Provisions</w:t>
        </w:r>
        <w:r>
          <w:rPr>
            <w:webHidden/>
          </w:rPr>
          <w:tab/>
        </w:r>
        <w:r>
          <w:rPr>
            <w:webHidden/>
          </w:rPr>
          <w:fldChar w:fldCharType="begin"/>
        </w:r>
        <w:r>
          <w:rPr>
            <w:webHidden/>
          </w:rPr>
          <w:instrText xml:space="preserve"> PAGEREF _Toc203035677 \h </w:instrText>
        </w:r>
        <w:r>
          <w:rPr>
            <w:webHidden/>
          </w:rPr>
        </w:r>
        <w:r>
          <w:rPr>
            <w:webHidden/>
          </w:rPr>
          <w:fldChar w:fldCharType="separate"/>
        </w:r>
        <w:r>
          <w:rPr>
            <w:webHidden/>
          </w:rPr>
          <w:t>44</w:t>
        </w:r>
        <w:r>
          <w:rPr>
            <w:webHidden/>
          </w:rPr>
          <w:fldChar w:fldCharType="end"/>
        </w:r>
      </w:hyperlink>
    </w:p>
    <w:p w14:paraId="6A9200BA" w14:textId="09F270C1">
      <w:pPr>
        <w:pStyle w:val="TOC2"/>
        <w:tabs>
          <w:tab w:val="left" w:pos="660"/>
          <w:tab w:val="right" w:leader="dot" w:pos="9016"/>
        </w:tabs>
        <w:rPr>
          <w:rFonts w:eastAsiaTheme="minorEastAsia"/>
          <w:smallCaps w:val="0"/>
          <w:kern w:val="2"/>
          <w:sz w:val="24"/>
          <w:szCs w:val="24"/>
          <w14:ligatures w14:val="standardContextual"/>
        </w:rPr>
      </w:pPr>
      <w:hyperlink w:anchor="_Toc203035678" w:history="1">
        <w:r>
          <w:rPr>
            <w:rStyle w:val="Hyperlink"/>
            <w:bCs/>
          </w:rPr>
          <w:t>e.</w:t>
        </w:r>
        <w:r>
          <w:rPr>
            <w:rFonts w:eastAsiaTheme="minorEastAsia"/>
            <w:smallCaps w:val="0"/>
            <w:kern w:val="2"/>
            <w:sz w:val="24"/>
            <w:szCs w:val="24"/>
            <w14:ligatures w14:val="standardContextual"/>
          </w:rPr>
          <w:tab/>
        </w:r>
        <w:r>
          <w:rPr>
            <w:rStyle w:val="Hyperlink"/>
          </w:rPr>
          <w:t>Re-Notification During the Standstill Period</w:t>
        </w:r>
        <w:r>
          <w:rPr>
            <w:webHidden/>
          </w:rPr>
          <w:tab/>
        </w:r>
        <w:r>
          <w:rPr>
            <w:webHidden/>
          </w:rPr>
          <w:fldChar w:fldCharType="begin"/>
        </w:r>
        <w:r>
          <w:rPr>
            <w:webHidden/>
          </w:rPr>
          <w:instrText xml:space="preserve"> PAGEREF _Toc203035678 \h </w:instrText>
        </w:r>
        <w:r>
          <w:rPr>
            <w:webHidden/>
          </w:rPr>
        </w:r>
        <w:r>
          <w:rPr>
            <w:webHidden/>
          </w:rPr>
          <w:fldChar w:fldCharType="separate"/>
        </w:r>
        <w:r>
          <w:rPr>
            <w:webHidden/>
          </w:rPr>
          <w:t>45</w:t>
        </w:r>
        <w:r>
          <w:rPr>
            <w:webHidden/>
          </w:rPr>
          <w:fldChar w:fldCharType="end"/>
        </w:r>
      </w:hyperlink>
    </w:p>
    <w:p w14:paraId="7E32C518" w14:textId="7B625DD7">
      <w:pPr>
        <w:pStyle w:val="TOC1"/>
        <w:tabs>
          <w:tab w:val="left" w:pos="660"/>
          <w:tab w:val="right" w:leader="dot" w:pos="9016"/>
        </w:tabs>
        <w:rPr>
          <w:rFonts w:eastAsiaTheme="minorEastAsia"/>
          <w:b w:val="0"/>
          <w:bCs w:val="0"/>
          <w:caps w:val="0"/>
          <w:kern w:val="2"/>
          <w:sz w:val="24"/>
          <w:szCs w:val="24"/>
          <w14:ligatures w14:val="standardContextual"/>
        </w:rPr>
      </w:pPr>
      <w:hyperlink w:anchor="_Toc203035679" w:history="1">
        <w:r>
          <w:rPr>
            <w:rStyle w:val="Hyperlink"/>
          </w:rPr>
          <w:t>III.</w:t>
        </w:r>
        <w:r>
          <w:rPr>
            <w:rFonts w:eastAsiaTheme="minorEastAsia"/>
            <w:b w:val="0"/>
            <w:bCs w:val="0"/>
            <w:caps w:val="0"/>
            <w:kern w:val="2"/>
            <w:sz w:val="24"/>
            <w:szCs w:val="24"/>
            <w14:ligatures w14:val="standardContextual"/>
          </w:rPr>
          <w:tab/>
        </w:r>
        <w:r>
          <w:rPr>
            <w:rStyle w:val="Hyperlink"/>
          </w:rPr>
          <w:t>Exceptions to the Obligation to Notify</w:t>
        </w:r>
        <w:r>
          <w:rPr>
            <w:webHidden/>
          </w:rPr>
          <w:tab/>
        </w:r>
        <w:r>
          <w:rPr>
            <w:webHidden/>
          </w:rPr>
          <w:fldChar w:fldCharType="begin"/>
        </w:r>
        <w:r>
          <w:rPr>
            <w:webHidden/>
          </w:rPr>
          <w:instrText xml:space="preserve"> PAGEREF _Toc203035679 \h </w:instrText>
        </w:r>
        <w:r>
          <w:rPr>
            <w:webHidden/>
          </w:rPr>
        </w:r>
        <w:r>
          <w:rPr>
            <w:webHidden/>
          </w:rPr>
          <w:fldChar w:fldCharType="separate"/>
        </w:r>
        <w:r>
          <w:rPr>
            <w:webHidden/>
          </w:rPr>
          <w:t>47</w:t>
        </w:r>
        <w:r>
          <w:rPr>
            <w:webHidden/>
          </w:rPr>
          <w:fldChar w:fldCharType="end"/>
        </w:r>
      </w:hyperlink>
    </w:p>
    <w:p w14:paraId="7CC02EA3" w14:textId="01C3FBA0">
      <w:pPr>
        <w:pStyle w:val="TOC2"/>
        <w:tabs>
          <w:tab w:val="left" w:pos="660"/>
          <w:tab w:val="right" w:leader="dot" w:pos="9016"/>
        </w:tabs>
        <w:rPr>
          <w:rFonts w:eastAsiaTheme="minorEastAsia"/>
          <w:smallCaps w:val="0"/>
          <w:kern w:val="2"/>
          <w:sz w:val="24"/>
          <w:szCs w:val="24"/>
          <w14:ligatures w14:val="standardContextual"/>
        </w:rPr>
      </w:pPr>
      <w:hyperlink w:anchor="_Toc203035680" w:history="1">
        <w:r>
          <w:rPr>
            <w:rStyle w:val="Hyperlink"/>
            <w:bCs/>
          </w:rPr>
          <w:t>a.</w:t>
        </w:r>
        <w:r>
          <w:rPr>
            <w:rFonts w:eastAsiaTheme="minorEastAsia"/>
            <w:smallCaps w:val="0"/>
            <w:kern w:val="2"/>
            <w:sz w:val="24"/>
            <w:szCs w:val="24"/>
            <w14:ligatures w14:val="standardContextual"/>
          </w:rPr>
          <w:tab/>
        </w:r>
        <w:r>
          <w:rPr>
            <w:rStyle w:val="Hyperlink"/>
          </w:rPr>
          <w:t>Transposition of a European Act</w:t>
        </w:r>
        <w:r>
          <w:rPr>
            <w:webHidden/>
          </w:rPr>
          <w:tab/>
        </w:r>
        <w:r>
          <w:rPr>
            <w:webHidden/>
          </w:rPr>
          <w:fldChar w:fldCharType="begin"/>
        </w:r>
        <w:r>
          <w:rPr>
            <w:webHidden/>
          </w:rPr>
          <w:instrText xml:space="preserve"> PAGEREF _Toc203035680 \h </w:instrText>
        </w:r>
        <w:r>
          <w:rPr>
            <w:webHidden/>
          </w:rPr>
        </w:r>
        <w:r>
          <w:rPr>
            <w:webHidden/>
          </w:rPr>
          <w:fldChar w:fldCharType="separate"/>
        </w:r>
        <w:r>
          <w:rPr>
            <w:webHidden/>
          </w:rPr>
          <w:t>47</w:t>
        </w:r>
        <w:r>
          <w:rPr>
            <w:webHidden/>
          </w:rPr>
          <w:fldChar w:fldCharType="end"/>
        </w:r>
      </w:hyperlink>
    </w:p>
    <w:p w14:paraId="73CA2C68" w14:textId="27F826B4">
      <w:pPr>
        <w:pStyle w:val="TOC2"/>
        <w:tabs>
          <w:tab w:val="left" w:pos="660"/>
          <w:tab w:val="right" w:leader="dot" w:pos="9016"/>
        </w:tabs>
        <w:rPr>
          <w:rFonts w:eastAsiaTheme="minorEastAsia"/>
          <w:smallCaps w:val="0"/>
          <w:kern w:val="2"/>
          <w:sz w:val="24"/>
          <w:szCs w:val="24"/>
          <w14:ligatures w14:val="standardContextual"/>
        </w:rPr>
      </w:pPr>
      <w:hyperlink w:anchor="_Toc203035681" w:history="1">
        <w:r>
          <w:rPr>
            <w:rStyle w:val="Hyperlink"/>
            <w:bCs/>
          </w:rPr>
          <w:t>b.</w:t>
        </w:r>
        <w:r>
          <w:rPr>
            <w:rFonts w:eastAsiaTheme="minorEastAsia"/>
            <w:smallCaps w:val="0"/>
            <w:kern w:val="2"/>
            <w:sz w:val="24"/>
            <w:szCs w:val="24"/>
            <w14:ligatures w14:val="standardContextual"/>
          </w:rPr>
          <w:tab/>
        </w:r>
        <w:r>
          <w:rPr>
            <w:rStyle w:val="Hyperlink"/>
          </w:rPr>
          <w:t>Use of a Safeguard Clause</w:t>
        </w:r>
        <w:r>
          <w:rPr>
            <w:webHidden/>
          </w:rPr>
          <w:tab/>
        </w:r>
        <w:r>
          <w:rPr>
            <w:webHidden/>
          </w:rPr>
          <w:fldChar w:fldCharType="begin"/>
        </w:r>
        <w:r>
          <w:rPr>
            <w:webHidden/>
          </w:rPr>
          <w:instrText xml:space="preserve"> PAGEREF _Toc203035681 \h </w:instrText>
        </w:r>
        <w:r>
          <w:rPr>
            <w:webHidden/>
          </w:rPr>
        </w:r>
        <w:r>
          <w:rPr>
            <w:webHidden/>
          </w:rPr>
          <w:fldChar w:fldCharType="separate"/>
        </w:r>
        <w:r>
          <w:rPr>
            <w:webHidden/>
          </w:rPr>
          <w:t>49</w:t>
        </w:r>
        <w:r>
          <w:rPr>
            <w:webHidden/>
          </w:rPr>
          <w:fldChar w:fldCharType="end"/>
        </w:r>
      </w:hyperlink>
    </w:p>
    <w:p w14:paraId="2E16821A" w14:textId="37A0CCE7">
      <w:pPr>
        <w:pStyle w:val="TOC2"/>
        <w:tabs>
          <w:tab w:val="left" w:pos="660"/>
          <w:tab w:val="right" w:leader="dot" w:pos="9016"/>
        </w:tabs>
        <w:rPr>
          <w:rFonts w:eastAsiaTheme="minorEastAsia"/>
          <w:smallCaps w:val="0"/>
          <w:kern w:val="2"/>
          <w:sz w:val="24"/>
          <w:szCs w:val="24"/>
          <w14:ligatures w14:val="standardContextual"/>
        </w:rPr>
      </w:pPr>
      <w:hyperlink w:anchor="_Toc203035682" w:history="1">
        <w:r>
          <w:rPr>
            <w:rStyle w:val="Hyperlink"/>
            <w:bCs/>
          </w:rPr>
          <w:t>c.</w:t>
        </w:r>
        <w:r>
          <w:rPr>
            <w:rFonts w:eastAsiaTheme="minorEastAsia"/>
            <w:smallCaps w:val="0"/>
            <w:kern w:val="2"/>
            <w:sz w:val="24"/>
            <w:szCs w:val="24"/>
            <w14:ligatures w14:val="standardContextual"/>
          </w:rPr>
          <w:tab/>
        </w:r>
        <w:r>
          <w:rPr>
            <w:rStyle w:val="Hyperlink"/>
          </w:rPr>
          <w:t>Amendment in Accordance with a Commission Request</w:t>
        </w:r>
        <w:r>
          <w:rPr>
            <w:webHidden/>
          </w:rPr>
          <w:tab/>
        </w:r>
        <w:r>
          <w:rPr>
            <w:webHidden/>
          </w:rPr>
          <w:fldChar w:fldCharType="begin"/>
        </w:r>
        <w:r>
          <w:rPr>
            <w:webHidden/>
          </w:rPr>
          <w:instrText xml:space="preserve"> PAGEREF _Toc203035682 \h </w:instrText>
        </w:r>
        <w:r>
          <w:rPr>
            <w:webHidden/>
          </w:rPr>
        </w:r>
        <w:r>
          <w:rPr>
            <w:webHidden/>
          </w:rPr>
          <w:fldChar w:fldCharType="separate"/>
        </w:r>
        <w:r>
          <w:rPr>
            <w:webHidden/>
          </w:rPr>
          <w:t>51</w:t>
        </w:r>
        <w:r>
          <w:rPr>
            <w:webHidden/>
          </w:rPr>
          <w:fldChar w:fldCharType="end"/>
        </w:r>
      </w:hyperlink>
    </w:p>
    <w:p w14:paraId="3089DDB6" w14:textId="5A964DBB">
      <w:pPr>
        <w:pStyle w:val="TOC2"/>
        <w:tabs>
          <w:tab w:val="left" w:pos="660"/>
          <w:tab w:val="right" w:leader="dot" w:pos="9016"/>
        </w:tabs>
        <w:rPr>
          <w:rFonts w:eastAsiaTheme="minorEastAsia"/>
          <w:smallCaps w:val="0"/>
          <w:kern w:val="2"/>
          <w:sz w:val="24"/>
          <w:szCs w:val="24"/>
          <w14:ligatures w14:val="standardContextual"/>
        </w:rPr>
      </w:pPr>
      <w:hyperlink w:anchor="_Toc203035683" w:history="1">
        <w:r>
          <w:rPr>
            <w:rStyle w:val="Hyperlink"/>
          </w:rPr>
          <w:t>a.</w:t>
        </w:r>
        <w:r>
          <w:rPr>
            <w:rFonts w:eastAsiaTheme="minorEastAsia"/>
            <w:smallCaps w:val="0"/>
            <w:kern w:val="2"/>
            <w:sz w:val="24"/>
            <w:szCs w:val="24"/>
            <w14:ligatures w14:val="standardContextual"/>
          </w:rPr>
          <w:tab/>
        </w:r>
        <w:r>
          <w:rPr>
            <w:rStyle w:val="Hyperlink"/>
          </w:rPr>
          <w:t>Circumstances That Do Not Constitute Exceptions</w:t>
        </w:r>
        <w:r>
          <w:rPr>
            <w:webHidden/>
          </w:rPr>
          <w:tab/>
        </w:r>
        <w:r>
          <w:rPr>
            <w:webHidden/>
          </w:rPr>
          <w:fldChar w:fldCharType="begin"/>
        </w:r>
        <w:r>
          <w:rPr>
            <w:webHidden/>
          </w:rPr>
          <w:instrText xml:space="preserve"> PAGEREF _Toc203035683 \h </w:instrText>
        </w:r>
        <w:r>
          <w:rPr>
            <w:webHidden/>
          </w:rPr>
        </w:r>
        <w:r>
          <w:rPr>
            <w:webHidden/>
          </w:rPr>
          <w:fldChar w:fldCharType="separate"/>
        </w:r>
        <w:r>
          <w:rPr>
            <w:webHidden/>
          </w:rPr>
          <w:t>52</w:t>
        </w:r>
        <w:r>
          <w:rPr>
            <w:webHidden/>
          </w:rPr>
          <w:fldChar w:fldCharType="end"/>
        </w:r>
      </w:hyperlink>
    </w:p>
    <w:p w14:paraId="340B66C9" w14:textId="65DEBB09">
      <w:pPr>
        <w:pStyle w:val="TOC1"/>
        <w:tabs>
          <w:tab w:val="left" w:pos="660"/>
          <w:tab w:val="right" w:leader="dot" w:pos="9016"/>
        </w:tabs>
        <w:rPr>
          <w:rFonts w:eastAsiaTheme="minorEastAsia"/>
          <w:b w:val="0"/>
          <w:bCs w:val="0"/>
          <w:caps w:val="0"/>
          <w:kern w:val="2"/>
          <w:sz w:val="24"/>
          <w:szCs w:val="24"/>
          <w14:ligatures w14:val="standardContextual"/>
        </w:rPr>
      </w:pPr>
      <w:hyperlink w:anchor="_Toc203035684" w:history="1">
        <w:r>
          <w:rPr>
            <w:rStyle w:val="Hyperlink"/>
          </w:rPr>
          <w:t>IV.</w:t>
        </w:r>
        <w:r>
          <w:rPr>
            <w:rFonts w:eastAsiaTheme="minorEastAsia"/>
            <w:b w:val="0"/>
            <w:bCs w:val="0"/>
            <w:caps w:val="0"/>
            <w:kern w:val="2"/>
            <w:sz w:val="24"/>
            <w:szCs w:val="24"/>
            <w14:ligatures w14:val="standardContextual"/>
          </w:rPr>
          <w:tab/>
        </w:r>
        <w:r>
          <w:rPr>
            <w:rStyle w:val="Hyperlink"/>
          </w:rPr>
          <w:t>Inapplicability</w:t>
        </w:r>
        <w:r>
          <w:rPr>
            <w:webHidden/>
          </w:rPr>
          <w:tab/>
        </w:r>
        <w:r>
          <w:rPr>
            <w:webHidden/>
          </w:rPr>
          <w:fldChar w:fldCharType="begin"/>
        </w:r>
        <w:r>
          <w:rPr>
            <w:webHidden/>
          </w:rPr>
          <w:instrText xml:space="preserve"> PAGEREF _Toc203035684 \h </w:instrText>
        </w:r>
        <w:r>
          <w:rPr>
            <w:webHidden/>
          </w:rPr>
        </w:r>
        <w:r>
          <w:rPr>
            <w:webHidden/>
          </w:rPr>
          <w:fldChar w:fldCharType="separate"/>
        </w:r>
        <w:r>
          <w:rPr>
            <w:webHidden/>
          </w:rPr>
          <w:t>54</w:t>
        </w:r>
        <w:r>
          <w:rPr>
            <w:webHidden/>
          </w:rPr>
          <w:fldChar w:fldCharType="end"/>
        </w:r>
      </w:hyperlink>
    </w:p>
    <w:p w14:paraId="3472F46D" w14:textId="5B898B42">
      <w:pPr>
        <w:pStyle w:val="TOC2"/>
        <w:tabs>
          <w:tab w:val="left" w:pos="660"/>
          <w:tab w:val="right" w:leader="dot" w:pos="9016"/>
        </w:tabs>
        <w:rPr>
          <w:rFonts w:eastAsiaTheme="minorEastAsia"/>
          <w:smallCaps w:val="0"/>
          <w:kern w:val="2"/>
          <w:sz w:val="24"/>
          <w:szCs w:val="24"/>
          <w14:ligatures w14:val="standardContextual"/>
        </w:rPr>
      </w:pPr>
      <w:hyperlink w:anchor="_Toc203035685" w:history="1">
        <w:r>
          <w:rPr>
            <w:rStyle w:val="Hyperlink"/>
            <w:bCs/>
          </w:rPr>
          <w:t>a.</w:t>
        </w:r>
        <w:r>
          <w:rPr>
            <w:rFonts w:eastAsiaTheme="minorEastAsia"/>
            <w:smallCaps w:val="0"/>
            <w:kern w:val="2"/>
            <w:sz w:val="24"/>
            <w:szCs w:val="24"/>
            <w14:ligatures w14:val="standardContextual"/>
          </w:rPr>
          <w:tab/>
        </w:r>
        <w:r>
          <w:rPr>
            <w:rStyle w:val="Hyperlink"/>
          </w:rPr>
          <w:t>Inapplicability in the Event of Non-Notification</w:t>
        </w:r>
        <w:r>
          <w:rPr>
            <w:webHidden/>
          </w:rPr>
          <w:tab/>
        </w:r>
        <w:r>
          <w:rPr>
            <w:webHidden/>
          </w:rPr>
          <w:fldChar w:fldCharType="begin"/>
        </w:r>
        <w:r>
          <w:rPr>
            <w:webHidden/>
          </w:rPr>
          <w:instrText xml:space="preserve"> PAGEREF _Toc203035685 \h </w:instrText>
        </w:r>
        <w:r>
          <w:rPr>
            <w:webHidden/>
          </w:rPr>
        </w:r>
        <w:r>
          <w:rPr>
            <w:webHidden/>
          </w:rPr>
          <w:fldChar w:fldCharType="separate"/>
        </w:r>
        <w:r>
          <w:rPr>
            <w:webHidden/>
          </w:rPr>
          <w:t>54</w:t>
        </w:r>
        <w:r>
          <w:rPr>
            <w:webHidden/>
          </w:rPr>
          <w:fldChar w:fldCharType="end"/>
        </w:r>
      </w:hyperlink>
    </w:p>
    <w:p w14:paraId="3917D769" w14:textId="59C074AB">
      <w:pPr>
        <w:pStyle w:val="TOC2"/>
        <w:tabs>
          <w:tab w:val="left" w:pos="660"/>
          <w:tab w:val="right" w:leader="dot" w:pos="9016"/>
        </w:tabs>
        <w:rPr>
          <w:rFonts w:eastAsiaTheme="minorEastAsia"/>
          <w:smallCaps w:val="0"/>
          <w:kern w:val="2"/>
          <w:sz w:val="24"/>
          <w:szCs w:val="24"/>
          <w14:ligatures w14:val="standardContextual"/>
        </w:rPr>
      </w:pPr>
      <w:hyperlink w:anchor="_Toc203035686" w:history="1">
        <w:r>
          <w:rPr>
            <w:rStyle w:val="Hyperlink"/>
            <w:bCs/>
          </w:rPr>
          <w:t>b.</w:t>
        </w:r>
        <w:r>
          <w:rPr>
            <w:rFonts w:eastAsiaTheme="minorEastAsia"/>
            <w:smallCaps w:val="0"/>
            <w:kern w:val="2"/>
            <w:sz w:val="24"/>
            <w:szCs w:val="24"/>
            <w14:ligatures w14:val="standardContextual"/>
          </w:rPr>
          <w:tab/>
        </w:r>
        <w:r>
          <w:rPr>
            <w:rStyle w:val="Hyperlink"/>
          </w:rPr>
          <w:t>Inapplicability in the Event of Adoption During the Standstill Period</w:t>
        </w:r>
        <w:r>
          <w:rPr>
            <w:webHidden/>
          </w:rPr>
          <w:tab/>
        </w:r>
        <w:r>
          <w:rPr>
            <w:webHidden/>
          </w:rPr>
          <w:fldChar w:fldCharType="begin"/>
        </w:r>
        <w:r>
          <w:rPr>
            <w:webHidden/>
          </w:rPr>
          <w:instrText xml:space="preserve"> PAGEREF _Toc203035686 \h </w:instrText>
        </w:r>
        <w:r>
          <w:rPr>
            <w:webHidden/>
          </w:rPr>
        </w:r>
        <w:r>
          <w:rPr>
            <w:webHidden/>
          </w:rPr>
          <w:fldChar w:fldCharType="separate"/>
        </w:r>
        <w:r>
          <w:rPr>
            <w:webHidden/>
          </w:rPr>
          <w:t>58</w:t>
        </w:r>
        <w:r>
          <w:rPr>
            <w:webHidden/>
          </w:rPr>
          <w:fldChar w:fldCharType="end"/>
        </w:r>
      </w:hyperlink>
    </w:p>
    <w:p w14:paraId="62AF9A81" w14:textId="5B90334F">
      <w:pPr>
        <w:pStyle w:val="TOC2"/>
        <w:tabs>
          <w:tab w:val="left" w:pos="660"/>
          <w:tab w:val="right" w:leader="dot" w:pos="9016"/>
        </w:tabs>
        <w:rPr>
          <w:rFonts w:eastAsiaTheme="minorEastAsia"/>
          <w:smallCaps w:val="0"/>
          <w:kern w:val="2"/>
          <w:sz w:val="24"/>
          <w:szCs w:val="24"/>
          <w14:ligatures w14:val="standardContextual"/>
        </w:rPr>
      </w:pPr>
      <w:hyperlink w:anchor="_Toc203035687" w:history="1">
        <w:r>
          <w:rPr>
            <w:rStyle w:val="Hyperlink"/>
            <w:bCs/>
          </w:rPr>
          <w:t>c.</w:t>
        </w:r>
        <w:r>
          <w:rPr>
            <w:rFonts w:eastAsiaTheme="minorEastAsia"/>
            <w:smallCaps w:val="0"/>
            <w:kern w:val="2"/>
            <w:sz w:val="24"/>
            <w:szCs w:val="24"/>
            <w14:ligatures w14:val="standardContextual"/>
          </w:rPr>
          <w:tab/>
        </w:r>
        <w:r>
          <w:rPr>
            <w:rStyle w:val="Hyperlink"/>
          </w:rPr>
          <w:t>Clarification as to the Effect of Inapplicability</w:t>
        </w:r>
        <w:r>
          <w:rPr>
            <w:webHidden/>
          </w:rPr>
          <w:tab/>
        </w:r>
        <w:r>
          <w:rPr>
            <w:webHidden/>
          </w:rPr>
          <w:fldChar w:fldCharType="begin"/>
        </w:r>
        <w:r>
          <w:rPr>
            <w:webHidden/>
          </w:rPr>
          <w:instrText xml:space="preserve"> PAGEREF _Toc203035687 \h </w:instrText>
        </w:r>
        <w:r>
          <w:rPr>
            <w:webHidden/>
          </w:rPr>
        </w:r>
        <w:r>
          <w:rPr>
            <w:webHidden/>
          </w:rPr>
          <w:fldChar w:fldCharType="separate"/>
        </w:r>
        <w:r>
          <w:rPr>
            <w:webHidden/>
          </w:rPr>
          <w:t>60</w:t>
        </w:r>
        <w:r>
          <w:rPr>
            <w:webHidden/>
          </w:rPr>
          <w:fldChar w:fldCharType="end"/>
        </w:r>
      </w:hyperlink>
    </w:p>
    <w:p w14:paraId="05C72C05" w14:textId="53813097">
      <w:pPr>
        <w:pStyle w:val="TOC2"/>
        <w:tabs>
          <w:tab w:val="left" w:pos="660"/>
          <w:tab w:val="right" w:leader="dot" w:pos="9016"/>
        </w:tabs>
        <w:rPr>
          <w:rFonts w:eastAsiaTheme="minorEastAsia"/>
          <w:smallCaps w:val="0"/>
          <w:kern w:val="2"/>
          <w:sz w:val="24"/>
          <w:szCs w:val="24"/>
          <w14:ligatures w14:val="standardContextual"/>
        </w:rPr>
      </w:pPr>
      <w:hyperlink w:anchor="_Toc203035688" w:history="1">
        <w:r>
          <w:rPr>
            <w:rStyle w:val="Hyperlink"/>
            <w:bCs/>
          </w:rPr>
          <w:t>d.</w:t>
        </w:r>
        <w:r>
          <w:rPr>
            <w:rFonts w:eastAsiaTheme="minorEastAsia"/>
            <w:smallCaps w:val="0"/>
            <w:kern w:val="2"/>
            <w:sz w:val="24"/>
            <w:szCs w:val="24"/>
            <w14:ligatures w14:val="standardContextual"/>
          </w:rPr>
          <w:tab/>
        </w:r>
        <w:r>
          <w:rPr>
            <w:rStyle w:val="Hyperlink"/>
          </w:rPr>
          <w:t>Infringement Procedure</w:t>
        </w:r>
        <w:r>
          <w:rPr>
            <w:webHidden/>
          </w:rPr>
          <w:tab/>
        </w:r>
        <w:r>
          <w:rPr>
            <w:webHidden/>
          </w:rPr>
          <w:fldChar w:fldCharType="begin"/>
        </w:r>
        <w:r>
          <w:rPr>
            <w:webHidden/>
          </w:rPr>
          <w:instrText xml:space="preserve"> PAGEREF _Toc203035688 \h </w:instrText>
        </w:r>
        <w:r>
          <w:rPr>
            <w:webHidden/>
          </w:rPr>
        </w:r>
        <w:r>
          <w:rPr>
            <w:webHidden/>
          </w:rPr>
          <w:fldChar w:fldCharType="separate"/>
        </w:r>
        <w:r>
          <w:rPr>
            <w:webHidden/>
          </w:rPr>
          <w:t>61</w:t>
        </w:r>
        <w:r>
          <w:rPr>
            <w:webHidden/>
          </w:rPr>
          <w:fldChar w:fldCharType="end"/>
        </w:r>
      </w:hyperlink>
    </w:p>
    <w:p w14:paraId="58AB357B" w14:textId="44F07789">
      <w:pPr>
        <w:pStyle w:val="P68B1DB1-Normal4"/>
        <w:spacing w:line="278" w:lineRule="auto"/>
        <w:rPr>
          <w:rFonts w:ascii="Times New Roman" w:hAnsi="Times New Roman" w:cs="Times New Roman"/>
        </w:rPr>
      </w:pPr>
      <w:r>
        <w:rPr>
          <w:rFonts w:ascii="Times New Roman" w:hAnsi="Times New Roman" w:cs="Times New Roman"/>
        </w:rPr>
        <w:fldChar w:fldCharType="end"/>
      </w:r>
    </w:p>
    <w:p w14:paraId="0EC5AF49" w14:textId="77777777">
      <w:pPr>
        <w:spacing w:line="278" w:lineRule="auto"/>
        <w:rPr>
          <w:sz w:val="20"/>
        </w:rPr>
      </w:pPr>
      <w:r>
        <w:br w:type="page"/>
      </w:r>
    </w:p>
    <w:p w14:paraId="6635D92A" w14:textId="484720D6">
      <w:pPr>
        <w:pStyle w:val="P68B1DB1-Normal4"/>
        <w:spacing w:line="278" w:lineRule="auto"/>
        <w:jc w:val="both"/>
      </w:pPr>
      <w:r>
        <w:rPr>
          <w:rFonts w:ascii="Times New Roman" w:hAnsi="Times New Roman" w:cs="Times New Roman"/>
          <w:sz w:val="24"/>
          <w:szCs w:val="24"/>
        </w:rPr>
        <w:t xml:space="preserve">Sklepi, iz katerih so bili zbrani izvlečki v tem dokumentu, se nanašajo na zaporedne direktive, ki določajo postopek za zbiranje informacij na področju tehničnih predpisov. V spodnji preglednici enakovrednosti je prikazana kontinuiteta njihovih glavnih določb</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7EF257CD" w14:textId="77777777">
      <w:pPr>
        <w:spacing w:after="0" w:line="240" w:lineRule="auto"/>
        <w:jc w:val="both"/>
        <w:rPr>
          <w:rFonts w:ascii="Times New Roman" w:hAnsi="Times New Roman" w:cs="Times New Roman"/>
          <w:sz w:val="24"/>
          <w:szCs w:val="24"/>
        </w:rPr>
      </w:pPr>
    </w:p>
    <w:p w14:paraId="31BFF92A" w14:textId="3BC8AB17">
      <w:pPr>
        <w:pStyle w:val="P68B1DB1-Normal5"/>
        <w:spacing w:after="0" w:line="240" w:lineRule="auto"/>
        <w:jc w:val="center"/>
        <w:rPr>
          <w:bCs/>
        </w:rPr>
      </w:pPr>
      <w:r>
        <w:t xml:space="preserve">Preglednica enakovrednosti glavnih določb </w:t>
      </w:r>
    </w:p>
    <w:p w14:paraId="74F41B86" w14:textId="7258661E">
      <w:pPr>
        <w:pStyle w:val="P68B1DB1-Normal5"/>
        <w:spacing w:after="0" w:line="240" w:lineRule="auto"/>
        <w:jc w:val="center"/>
        <w:rPr>
          <w:bCs/>
        </w:rPr>
      </w:pPr>
      <w:r>
        <w:t xml:space="preserve">Direktive (EU) 2015/1535, 98/34/ES in 83/189/EGS</w:t>
      </w:r>
    </w:p>
    <w:p w14:paraId="3AD91D64" w14:textId="77777777">
      <w:pPr>
        <w:spacing w:after="0" w:line="240" w:lineRule="auto"/>
      </w:pPr>
    </w:p>
    <w:tbl>
      <w:tblPr>
        <w:tblStyle w:val="TableGrid"/>
        <w:tblW w:w="10206" w:type="dxa"/>
        <w:tblInd w:w="-572" w:type="dxa"/>
        <w:tblLook w:val="04A0" w:firstRow="1" w:lastRow="0" w:firstColumn="1" w:lastColumn="0" w:noHBand="0" w:noVBand="1"/>
      </w:tblPr>
      <w:tblGrid>
        <w:gridCol w:w="3119"/>
        <w:gridCol w:w="2457"/>
        <w:gridCol w:w="2315"/>
        <w:gridCol w:w="2315"/>
      </w:tblGrid>
      <w:tr w14:paraId="3A08F315" w14:textId="77777777">
        <w:trPr>
          <w:trHeight w:val="599"/>
        </w:trPr>
        <w:tc>
          <w:tcPr>
            <w:tcW w:w="3119" w:type="dxa"/>
            <w:shd w:val="clear" w:color="auto" w:fill="auto"/>
          </w:tcPr>
          <w:p w14:paraId="364945D8" w14:textId="2E5772D6">
            <w:pPr>
              <w:pStyle w:val="P68B1DB1-Normal6"/>
              <w:spacing w:line="240" w:lineRule="auto"/>
              <w:rPr>
                <w:bCs/>
              </w:rPr>
            </w:pPr>
            <w:r>
              <w:t xml:space="preserve">Vsebina določb</w:t>
            </w:r>
          </w:p>
        </w:tc>
        <w:tc>
          <w:tcPr>
            <w:tcW w:w="2457" w:type="dxa"/>
            <w:shd w:val="clear" w:color="auto" w:fill="auto"/>
          </w:tcPr>
          <w:p w14:paraId="34093202" w14:textId="25E58692">
            <w:pPr>
              <w:spacing w:line="240" w:lineRule="auto"/>
              <w:rPr>
                <w:rFonts w:ascii="Times New Roman" w:hAnsi="Times New Roman" w:cs="Times New Roman"/>
                <w:b/>
                <w:bCs/>
                <w:sz w:val="24"/>
                <w:szCs w:val="24"/>
              </w:rPr>
            </w:pPr>
            <w:hyperlink r:id="rId8" w:history="1">
              <w:r>
                <w:rPr>
                  <w:rStyle w:val="Hyperlink"/>
                  <w:rFonts w:ascii="Times New Roman" w:hAnsi="Times New Roman" w:cs="Times New Roman"/>
                  <w:b/>
                  <w:color w:val="0000FF"/>
                  <w:sz w:val="24"/>
                  <w:szCs w:val="24"/>
                </w:rPr>
                <w:t xml:space="preserve">Direktiva (EU) 2015/1535</w:t>
              </w:r>
            </w:hyperlink>
            <w:r>
              <w:rPr>
                <w:rStyle w:val="FootnoteReference"/>
                <w:rFonts w:ascii="Times New Roman" w:hAnsi="Times New Roman" w:cs="Times New Roman"/>
                <w:sz w:val="24"/>
                <w:szCs w:val="24"/>
              </w:rPr>
              <w:footnoteReference w:id="2"/>
            </w:r>
          </w:p>
        </w:tc>
        <w:tc>
          <w:tcPr>
            <w:tcW w:w="2315" w:type="dxa"/>
            <w:shd w:val="clear" w:color="auto" w:fill="auto"/>
          </w:tcPr>
          <w:p w14:paraId="5FD03597" w14:textId="330E7145">
            <w:pPr>
              <w:spacing w:line="240" w:lineRule="auto"/>
              <w:rPr>
                <w:rFonts w:ascii="Times New Roman" w:hAnsi="Times New Roman" w:cs="Times New Roman"/>
                <w:b/>
                <w:bCs/>
                <w:sz w:val="24"/>
                <w:szCs w:val="24"/>
              </w:rPr>
            </w:pPr>
            <w:hyperlink r:id="rId9" w:history="1">
              <w:r>
                <w:rPr>
                  <w:rStyle w:val="Hyperlink"/>
                  <w:rFonts w:ascii="Times New Roman" w:hAnsi="Times New Roman" w:cs="Times New Roman"/>
                  <w:b/>
                  <w:color w:val="0000FF"/>
                  <w:sz w:val="24"/>
                  <w:szCs w:val="24"/>
                </w:rPr>
                <w:t xml:space="preserve">Direktiva 98/34/ES</w:t>
              </w:r>
            </w:hyperlink>
            <w:r>
              <w:rPr>
                <w:rStyle w:val="FootnoteReference"/>
                <w:rFonts w:ascii="Times New Roman" w:hAnsi="Times New Roman" w:cs="Times New Roman"/>
                <w:sz w:val="24"/>
                <w:szCs w:val="24"/>
              </w:rPr>
              <w:footnoteReference w:id="3"/>
            </w:r>
          </w:p>
        </w:tc>
        <w:tc>
          <w:tcPr>
            <w:tcW w:w="2315" w:type="dxa"/>
            <w:shd w:val="clear" w:color="auto" w:fill="auto"/>
          </w:tcPr>
          <w:p w14:paraId="51A4CAE7" w14:textId="73C3CCF3">
            <w:pPr>
              <w:spacing w:line="240" w:lineRule="auto"/>
              <w:rPr>
                <w:rFonts w:ascii="Times New Roman" w:hAnsi="Times New Roman" w:cs="Times New Roman"/>
                <w:b/>
                <w:bCs/>
                <w:sz w:val="24"/>
                <w:szCs w:val="24"/>
              </w:rPr>
            </w:pPr>
            <w:hyperlink r:id="rId10" w:history="1">
              <w:r>
                <w:rPr>
                  <w:rStyle w:val="Hyperlink"/>
                  <w:rFonts w:ascii="Times New Roman" w:hAnsi="Times New Roman" w:cs="Times New Roman"/>
                  <w:b/>
                  <w:color w:val="0000FF"/>
                  <w:sz w:val="24"/>
                  <w:szCs w:val="24"/>
                </w:rPr>
                <w:t xml:space="preserve">Direktiva 83/189/EGS</w:t>
              </w:r>
            </w:hyperlink>
            <w:r>
              <w:rPr>
                <w:rStyle w:val="FootnoteReference"/>
                <w:rFonts w:ascii="Times New Roman" w:hAnsi="Times New Roman" w:cs="Times New Roman"/>
                <w:sz w:val="24"/>
                <w:szCs w:val="24"/>
              </w:rPr>
              <w:footnoteReference w:id="4"/>
            </w:r>
          </w:p>
        </w:tc>
      </w:tr>
      <w:tr w14:paraId="72585BFB" w14:textId="77777777">
        <w:trPr>
          <w:trHeight w:val="599"/>
        </w:trPr>
        <w:tc>
          <w:tcPr>
            <w:tcW w:w="3119" w:type="dxa"/>
          </w:tcPr>
          <w:p w14:paraId="04624D71" w14:textId="77777777">
            <w:pPr>
              <w:pStyle w:val="P68B1DB1-Normal7"/>
              <w:spacing w:line="240" w:lineRule="auto"/>
            </w:pPr>
            <w:r>
              <w:t xml:space="preserve">Opredelitev pojma „izdelki“</w:t>
            </w:r>
          </w:p>
        </w:tc>
        <w:tc>
          <w:tcPr>
            <w:tcW w:w="2457" w:type="dxa"/>
          </w:tcPr>
          <w:p w14:paraId="4A418F3D" w14:textId="11CADE6C">
            <w:pPr>
              <w:pStyle w:val="P68B1DB1-Normal7"/>
              <w:spacing w:line="240" w:lineRule="auto"/>
            </w:pPr>
            <w:r>
              <w:t xml:space="preserve">Člen 1(1)(a) prvi pododstavek</w:t>
            </w:r>
          </w:p>
        </w:tc>
        <w:tc>
          <w:tcPr>
            <w:tcW w:w="2315" w:type="dxa"/>
          </w:tcPr>
          <w:p w14:paraId="5020F0EC" w14:textId="29FBC8B8">
            <w:pPr>
              <w:pStyle w:val="P68B1DB1-Normal7"/>
              <w:spacing w:line="240" w:lineRule="auto"/>
            </w:pPr>
            <w:r>
              <w:t xml:space="preserve">Člen 1, prvi odstavek</w:t>
            </w:r>
          </w:p>
        </w:tc>
        <w:tc>
          <w:tcPr>
            <w:tcW w:w="2315" w:type="dxa"/>
          </w:tcPr>
          <w:p w14:paraId="1AC77ECE" w14:textId="6BC392C6">
            <w:pPr>
              <w:pStyle w:val="P68B1DB1-Normal7"/>
              <w:spacing w:line="240" w:lineRule="auto"/>
            </w:pPr>
            <w:r>
              <w:t xml:space="preserve">Člen 1(7)</w:t>
            </w:r>
          </w:p>
        </w:tc>
      </w:tr>
      <w:tr w14:paraId="4F3F95AF" w14:textId="77777777">
        <w:trPr>
          <w:trHeight w:val="599"/>
        </w:trPr>
        <w:tc>
          <w:tcPr>
            <w:tcW w:w="3119" w:type="dxa"/>
          </w:tcPr>
          <w:p w14:paraId="42CDA066" w14:textId="77777777">
            <w:pPr>
              <w:pStyle w:val="P68B1DB1-Normal7"/>
              <w:spacing w:line="240" w:lineRule="auto"/>
            </w:pPr>
            <w:r>
              <w:t xml:space="preserve">Opredelitev pojma „storitve“</w:t>
            </w:r>
          </w:p>
        </w:tc>
        <w:tc>
          <w:tcPr>
            <w:tcW w:w="2457" w:type="dxa"/>
          </w:tcPr>
          <w:p w14:paraId="658F3867" w14:textId="6E2F4A98">
            <w:pPr>
              <w:pStyle w:val="P68B1DB1-Normal7"/>
              <w:spacing w:line="240" w:lineRule="auto"/>
            </w:pPr>
            <w:r>
              <w:t xml:space="preserve">Člen 1(1)(b)</w:t>
            </w:r>
          </w:p>
        </w:tc>
        <w:tc>
          <w:tcPr>
            <w:tcW w:w="2315" w:type="dxa"/>
          </w:tcPr>
          <w:p w14:paraId="4273AEF8" w14:textId="51C8B937">
            <w:pPr>
              <w:pStyle w:val="P68B1DB1-Normal7"/>
              <w:spacing w:line="240" w:lineRule="auto"/>
            </w:pPr>
            <w:r>
              <w:t xml:space="preserve">Področje iz</w:t>
            </w:r>
          </w:p>
        </w:tc>
        <w:tc>
          <w:tcPr>
            <w:tcW w:w="2315" w:type="dxa"/>
          </w:tcPr>
          <w:p w14:paraId="6B0C3AFB" w14:textId="2BD4E0BD">
            <w:pPr>
              <w:pStyle w:val="P68B1DB1-Normal7"/>
              <w:spacing w:line="240" w:lineRule="auto"/>
              <w:jc w:val="center"/>
            </w:pPr>
            <w:r>
              <w:t>___</w:t>
            </w:r>
          </w:p>
        </w:tc>
      </w:tr>
      <w:tr w14:paraId="576462BF" w14:textId="77777777">
        <w:trPr>
          <w:trHeight w:val="599"/>
        </w:trPr>
        <w:tc>
          <w:tcPr>
            <w:tcW w:w="3119" w:type="dxa"/>
          </w:tcPr>
          <w:p w14:paraId="555E46FF" w14:textId="77777777">
            <w:pPr>
              <w:pStyle w:val="P68B1DB1-Normal7"/>
              <w:spacing w:line="240" w:lineRule="auto"/>
            </w:pPr>
            <w:r>
              <w:t xml:space="preserve">Opredelitev pojma „tehnična specifikacija“</w:t>
            </w:r>
          </w:p>
        </w:tc>
        <w:tc>
          <w:tcPr>
            <w:tcW w:w="2457" w:type="dxa"/>
          </w:tcPr>
          <w:p w14:paraId="1CD6781C" w14:textId="4816FB95">
            <w:pPr>
              <w:pStyle w:val="P68B1DB1-Normal7"/>
              <w:spacing w:line="240" w:lineRule="auto"/>
            </w:pPr>
            <w:r>
              <w:t xml:space="preserve">Člen 1(1)(c)</w:t>
            </w:r>
          </w:p>
        </w:tc>
        <w:tc>
          <w:tcPr>
            <w:tcW w:w="2315" w:type="dxa"/>
          </w:tcPr>
          <w:p w14:paraId="6ACA8AFC" w14:textId="5CBBFC47">
            <w:pPr>
              <w:pStyle w:val="P68B1DB1-Normal7"/>
              <w:spacing w:line="240" w:lineRule="auto"/>
            </w:pPr>
            <w:r>
              <w:t xml:space="preserve">Člen 1, prvi pododstavek, točka 3</w:t>
            </w:r>
          </w:p>
        </w:tc>
        <w:tc>
          <w:tcPr>
            <w:tcW w:w="2315" w:type="dxa"/>
          </w:tcPr>
          <w:p w14:paraId="7742C3F4" w14:textId="668574B6">
            <w:pPr>
              <w:pStyle w:val="P68B1DB1-Normal7"/>
              <w:spacing w:line="240" w:lineRule="auto"/>
            </w:pPr>
            <w:r>
              <w:t xml:space="preserve">Člen 1, prvi odstavek</w:t>
            </w:r>
          </w:p>
        </w:tc>
      </w:tr>
      <w:tr w14:paraId="39DCA993" w14:textId="77777777">
        <w:trPr>
          <w:trHeight w:val="599"/>
        </w:trPr>
        <w:tc>
          <w:tcPr>
            <w:tcW w:w="3119" w:type="dxa"/>
          </w:tcPr>
          <w:p w14:paraId="412D2403" w14:textId="77777777">
            <w:pPr>
              <w:pStyle w:val="P68B1DB1-Normal7"/>
              <w:spacing w:line="240" w:lineRule="auto"/>
            </w:pPr>
            <w:r>
              <w:t xml:space="preserve">Opredelitev pojma „druge zahteve“</w:t>
            </w:r>
          </w:p>
        </w:tc>
        <w:tc>
          <w:tcPr>
            <w:tcW w:w="2457" w:type="dxa"/>
          </w:tcPr>
          <w:p w14:paraId="7BCB4CC5" w14:textId="4C804DFA">
            <w:pPr>
              <w:pStyle w:val="P68B1DB1-Normal7"/>
              <w:spacing w:line="240" w:lineRule="auto"/>
            </w:pPr>
            <w:r>
              <w:t xml:space="preserve">Člen 1(1)(d)</w:t>
            </w:r>
          </w:p>
        </w:tc>
        <w:tc>
          <w:tcPr>
            <w:tcW w:w="2315" w:type="dxa"/>
          </w:tcPr>
          <w:p w14:paraId="414D1EEC" w14:textId="18CAA0FE">
            <w:pPr>
              <w:pStyle w:val="P68B1DB1-Normal7"/>
              <w:spacing w:line="240" w:lineRule="auto"/>
            </w:pPr>
            <w:r>
              <w:t xml:space="preserve">Člen 1, prvi pododstavek, točka 4</w:t>
            </w:r>
          </w:p>
        </w:tc>
        <w:tc>
          <w:tcPr>
            <w:tcW w:w="2315" w:type="dxa"/>
          </w:tcPr>
          <w:p w14:paraId="46A8193A" w14:textId="477D2F0E">
            <w:pPr>
              <w:pStyle w:val="P68B1DB1-Normal7"/>
              <w:spacing w:line="240" w:lineRule="auto"/>
              <w:jc w:val="center"/>
            </w:pPr>
            <w:r>
              <w:t>___</w:t>
            </w:r>
          </w:p>
        </w:tc>
      </w:tr>
      <w:tr w14:paraId="48F0D2A4" w14:textId="77777777">
        <w:trPr>
          <w:trHeight w:val="599"/>
        </w:trPr>
        <w:tc>
          <w:tcPr>
            <w:tcW w:w="3119" w:type="dxa"/>
          </w:tcPr>
          <w:p w14:paraId="61624EA2" w14:textId="77777777">
            <w:pPr>
              <w:pStyle w:val="P68B1DB1-Normal7"/>
              <w:spacing w:line="240" w:lineRule="auto"/>
            </w:pPr>
            <w:r>
              <w:t xml:space="preserve">Opredelitev pojma „predpis o storitvah“</w:t>
            </w:r>
          </w:p>
        </w:tc>
        <w:tc>
          <w:tcPr>
            <w:tcW w:w="2457" w:type="dxa"/>
          </w:tcPr>
          <w:p w14:paraId="136F7BB7" w14:textId="4AA67A90">
            <w:pPr>
              <w:pStyle w:val="P68B1DB1-Normal7"/>
              <w:spacing w:line="240" w:lineRule="auto"/>
            </w:pPr>
            <w:r>
              <w:t xml:space="preserve">Člen 1(1)(e)</w:t>
            </w:r>
          </w:p>
        </w:tc>
        <w:tc>
          <w:tcPr>
            <w:tcW w:w="2315" w:type="dxa"/>
          </w:tcPr>
          <w:p w14:paraId="36E9CD4F" w14:textId="1B75247A">
            <w:pPr>
              <w:pStyle w:val="P68B1DB1-Normal7"/>
              <w:spacing w:line="240" w:lineRule="auto"/>
            </w:pPr>
            <w:r>
              <w:t xml:space="preserve">Člen 1(5)</w:t>
            </w:r>
          </w:p>
        </w:tc>
        <w:tc>
          <w:tcPr>
            <w:tcW w:w="2315" w:type="dxa"/>
          </w:tcPr>
          <w:p w14:paraId="42762185" w14:textId="37A509CA">
            <w:pPr>
              <w:pStyle w:val="P68B1DB1-Normal7"/>
              <w:spacing w:line="240" w:lineRule="auto"/>
              <w:jc w:val="center"/>
            </w:pPr>
            <w:r>
              <w:t>___</w:t>
            </w:r>
          </w:p>
        </w:tc>
      </w:tr>
      <w:tr w14:paraId="4622E632" w14:textId="77777777">
        <w:trPr>
          <w:trHeight w:val="599"/>
        </w:trPr>
        <w:tc>
          <w:tcPr>
            <w:tcW w:w="3119" w:type="dxa"/>
          </w:tcPr>
          <w:p w14:paraId="59CDC9EC" w14:textId="77777777">
            <w:pPr>
              <w:pStyle w:val="P68B1DB1-Normal7"/>
              <w:spacing w:line="240" w:lineRule="auto"/>
            </w:pPr>
            <w:r>
              <w:t xml:space="preserve">Pojem „tehnični predpis“</w:t>
            </w:r>
          </w:p>
        </w:tc>
        <w:tc>
          <w:tcPr>
            <w:tcW w:w="2457" w:type="dxa"/>
          </w:tcPr>
          <w:p w14:paraId="46C85599" w14:textId="1342B29E">
            <w:pPr>
              <w:pStyle w:val="P68B1DB1-Normal7"/>
              <w:spacing w:line="240" w:lineRule="auto"/>
            </w:pPr>
            <w:r>
              <w:t xml:space="preserve">Člen 1(1)(f)</w:t>
            </w:r>
          </w:p>
        </w:tc>
        <w:tc>
          <w:tcPr>
            <w:tcW w:w="2315" w:type="dxa"/>
          </w:tcPr>
          <w:p w14:paraId="0E88B9E2" w14:textId="31F951B8">
            <w:pPr>
              <w:pStyle w:val="P68B1DB1-Normal7"/>
              <w:spacing w:line="240" w:lineRule="auto"/>
            </w:pPr>
            <w:r>
              <w:t xml:space="preserve">Člen 1(11)</w:t>
            </w:r>
          </w:p>
        </w:tc>
        <w:tc>
          <w:tcPr>
            <w:tcW w:w="2315" w:type="dxa"/>
          </w:tcPr>
          <w:p w14:paraId="2E4FCAC6" w14:textId="1930FF48">
            <w:pPr>
              <w:pStyle w:val="P68B1DB1-Normal7"/>
              <w:spacing w:line="240" w:lineRule="auto"/>
            </w:pPr>
            <w:r>
              <w:t xml:space="preserve">Člen 1(5)</w:t>
            </w:r>
          </w:p>
        </w:tc>
      </w:tr>
      <w:tr w14:paraId="0C829266" w14:textId="77777777">
        <w:trPr>
          <w:trHeight w:val="599"/>
        </w:trPr>
        <w:tc>
          <w:tcPr>
            <w:tcW w:w="3119" w:type="dxa"/>
          </w:tcPr>
          <w:p w14:paraId="2E36B6FC" w14:textId="77777777">
            <w:pPr>
              <w:pStyle w:val="P68B1DB1-Normal7"/>
              <w:spacing w:line="240" w:lineRule="auto"/>
            </w:pPr>
            <w:r>
              <w:t xml:space="preserve">Obveznost uradnega obveščanja</w:t>
            </w:r>
          </w:p>
        </w:tc>
        <w:tc>
          <w:tcPr>
            <w:tcW w:w="2457" w:type="dxa"/>
          </w:tcPr>
          <w:p w14:paraId="04169FF7" w14:textId="77777777">
            <w:pPr>
              <w:pStyle w:val="P68B1DB1-Normal7"/>
              <w:spacing w:line="240" w:lineRule="auto"/>
            </w:pPr>
            <w:r>
              <w:t xml:space="preserve">Člen 5(1), prvi stavek</w:t>
            </w:r>
          </w:p>
        </w:tc>
        <w:tc>
          <w:tcPr>
            <w:tcW w:w="2315" w:type="dxa"/>
          </w:tcPr>
          <w:p w14:paraId="730385F8" w14:textId="77777777">
            <w:pPr>
              <w:pStyle w:val="P68B1DB1-Normal7"/>
              <w:spacing w:line="240" w:lineRule="auto"/>
            </w:pPr>
            <w:r>
              <w:t xml:space="preserve">Člen 8(1), prvi stavek</w:t>
            </w:r>
          </w:p>
        </w:tc>
        <w:tc>
          <w:tcPr>
            <w:tcW w:w="2315" w:type="dxa"/>
          </w:tcPr>
          <w:p w14:paraId="6937609F" w14:textId="5A2377E0">
            <w:pPr>
              <w:pStyle w:val="P68B1DB1-Normal8"/>
              <w:spacing w:line="240" w:lineRule="auto"/>
            </w:pPr>
            <w:r>
              <w:t xml:space="preserve">Člen 7(1), točki (a) in (b)</w:t>
            </w:r>
          </w:p>
        </w:tc>
      </w:tr>
      <w:tr w14:paraId="4472DE96" w14:textId="77777777">
        <w:trPr>
          <w:trHeight w:val="599"/>
        </w:trPr>
        <w:tc>
          <w:tcPr>
            <w:tcW w:w="3119" w:type="dxa"/>
          </w:tcPr>
          <w:p w14:paraId="08371658" w14:textId="2AE2569B">
            <w:pPr>
              <w:pStyle w:val="P68B1DB1-Normal7"/>
              <w:spacing w:line="240" w:lineRule="auto"/>
            </w:pPr>
            <w:r>
              <w:t xml:space="preserve">Uradno obvestilo o osnovnih ali zadevnih določbah</w:t>
            </w:r>
          </w:p>
        </w:tc>
        <w:tc>
          <w:tcPr>
            <w:tcW w:w="2457" w:type="dxa"/>
          </w:tcPr>
          <w:p w14:paraId="4460E5CA" w14:textId="77777777">
            <w:pPr>
              <w:pStyle w:val="P68B1DB1-Normal7"/>
              <w:spacing w:line="240" w:lineRule="auto"/>
            </w:pPr>
            <w:r>
              <w:t xml:space="preserve">Člen 5(1), drugi stavek</w:t>
            </w:r>
          </w:p>
        </w:tc>
        <w:tc>
          <w:tcPr>
            <w:tcW w:w="2315" w:type="dxa"/>
          </w:tcPr>
          <w:p w14:paraId="545C5C96" w14:textId="77777777">
            <w:pPr>
              <w:pStyle w:val="P68B1DB1-Normal7"/>
              <w:spacing w:line="240" w:lineRule="auto"/>
            </w:pPr>
            <w:r>
              <w:t xml:space="preserve">Člen 8(1), drugi stavek</w:t>
            </w:r>
          </w:p>
        </w:tc>
        <w:tc>
          <w:tcPr>
            <w:tcW w:w="2315" w:type="dxa"/>
          </w:tcPr>
          <w:p w14:paraId="7658B70A" w14:textId="43A43C7F">
            <w:pPr>
              <w:pStyle w:val="P68B1DB1-Normal7"/>
              <w:spacing w:line="240" w:lineRule="auto"/>
              <w:jc w:val="center"/>
              <w:rPr>
                <w:rFonts w:eastAsia="Times New Roman"/>
              </w:rPr>
            </w:pPr>
            <w:r>
              <w:t>___</w:t>
            </w:r>
          </w:p>
        </w:tc>
      </w:tr>
      <w:tr w14:paraId="6E207C21" w14:textId="77777777">
        <w:trPr>
          <w:trHeight w:val="599"/>
        </w:trPr>
        <w:tc>
          <w:tcPr>
            <w:tcW w:w="3119" w:type="dxa"/>
          </w:tcPr>
          <w:p w14:paraId="05D20653" w14:textId="1C493645">
            <w:pPr>
              <w:pStyle w:val="P68B1DB1-Normal7"/>
              <w:spacing w:line="240" w:lineRule="auto"/>
            </w:pPr>
            <w:r>
              <w:t xml:space="preserve">Ponovna priglasitev v obdobju mirovanja</w:t>
            </w:r>
          </w:p>
        </w:tc>
        <w:tc>
          <w:tcPr>
            <w:tcW w:w="2457" w:type="dxa"/>
          </w:tcPr>
          <w:p w14:paraId="65494BDB" w14:textId="77777777">
            <w:pPr>
              <w:pStyle w:val="P68B1DB1-Normal7"/>
              <w:spacing w:line="240" w:lineRule="auto"/>
            </w:pPr>
            <w:r>
              <w:t xml:space="preserve">Člen 5(1), tretji stavek</w:t>
            </w:r>
          </w:p>
        </w:tc>
        <w:tc>
          <w:tcPr>
            <w:tcW w:w="2315" w:type="dxa"/>
          </w:tcPr>
          <w:p w14:paraId="47F0091E" w14:textId="77777777">
            <w:pPr>
              <w:pStyle w:val="P68B1DB1-Normal7"/>
              <w:spacing w:line="240" w:lineRule="auto"/>
            </w:pPr>
            <w:r>
              <w:t xml:space="preserve">Člen 8(1), tretji stavek</w:t>
            </w:r>
          </w:p>
        </w:tc>
        <w:tc>
          <w:tcPr>
            <w:tcW w:w="2315" w:type="dxa"/>
          </w:tcPr>
          <w:p w14:paraId="5E9AA7B4" w14:textId="7B61CCCA">
            <w:pPr>
              <w:pStyle w:val="P68B1DB1-Normal7"/>
              <w:spacing w:line="240" w:lineRule="auto"/>
              <w:jc w:val="center"/>
              <w:rPr>
                <w:rFonts w:eastAsia="Times New Roman"/>
              </w:rPr>
            </w:pPr>
            <w:r>
              <w:t>___</w:t>
            </w:r>
          </w:p>
        </w:tc>
      </w:tr>
      <w:tr w14:paraId="7EEDDE8A" w14:textId="77777777">
        <w:trPr>
          <w:trHeight w:val="599"/>
        </w:trPr>
        <w:tc>
          <w:tcPr>
            <w:tcW w:w="3119" w:type="dxa"/>
          </w:tcPr>
          <w:p w14:paraId="6F46F2B9" w14:textId="77777777">
            <w:pPr>
              <w:pStyle w:val="P68B1DB1-Normal7"/>
              <w:spacing w:line="240" w:lineRule="auto"/>
            </w:pPr>
            <w:r>
              <w:t xml:space="preserve">Obdobje mirovanja</w:t>
            </w:r>
          </w:p>
        </w:tc>
        <w:tc>
          <w:tcPr>
            <w:tcW w:w="2457" w:type="dxa"/>
          </w:tcPr>
          <w:p w14:paraId="0FDAA36A" w14:textId="77777777">
            <w:pPr>
              <w:pStyle w:val="P68B1DB1-Normal7"/>
              <w:spacing w:line="240" w:lineRule="auto"/>
            </w:pPr>
            <w:r>
              <w:t xml:space="preserve">Člen 6</w:t>
            </w:r>
          </w:p>
        </w:tc>
        <w:tc>
          <w:tcPr>
            <w:tcW w:w="2315" w:type="dxa"/>
          </w:tcPr>
          <w:p w14:paraId="51BBC4E4" w14:textId="77777777">
            <w:pPr>
              <w:pStyle w:val="P68B1DB1-Normal7"/>
              <w:spacing w:line="240" w:lineRule="auto"/>
            </w:pPr>
            <w:r>
              <w:t xml:space="preserve">Člen 9</w:t>
            </w:r>
          </w:p>
        </w:tc>
        <w:tc>
          <w:tcPr>
            <w:tcW w:w="2315" w:type="dxa"/>
          </w:tcPr>
          <w:p w14:paraId="2B7D3F30" w14:textId="77777777">
            <w:pPr>
              <w:pStyle w:val="P68B1DB1-Normal8"/>
              <w:spacing w:line="240" w:lineRule="auto"/>
            </w:pPr>
            <w:r>
              <w:t xml:space="preserve">Člen 9</w:t>
            </w:r>
          </w:p>
        </w:tc>
      </w:tr>
      <w:tr w14:paraId="31FCCE62" w14:textId="77777777">
        <w:trPr>
          <w:trHeight w:val="599"/>
        </w:trPr>
        <w:tc>
          <w:tcPr>
            <w:tcW w:w="3119" w:type="dxa"/>
          </w:tcPr>
          <w:p w14:paraId="067F46A1" w14:textId="77777777">
            <w:pPr>
              <w:pStyle w:val="P68B1DB1-Normal7"/>
              <w:spacing w:line="240" w:lineRule="auto"/>
            </w:pPr>
            <w:r>
              <w:t xml:space="preserve">Izjeme od obveznosti priglasitve in mirovanja</w:t>
            </w:r>
          </w:p>
        </w:tc>
        <w:tc>
          <w:tcPr>
            <w:tcW w:w="2457" w:type="dxa"/>
          </w:tcPr>
          <w:p w14:paraId="5BC53094" w14:textId="77777777">
            <w:pPr>
              <w:pStyle w:val="P68B1DB1-Normal7"/>
              <w:spacing w:line="240" w:lineRule="auto"/>
            </w:pPr>
            <w:r>
              <w:t xml:space="preserve">Člen 7</w:t>
            </w:r>
          </w:p>
        </w:tc>
        <w:tc>
          <w:tcPr>
            <w:tcW w:w="2315" w:type="dxa"/>
          </w:tcPr>
          <w:p w14:paraId="36E59068" w14:textId="77777777">
            <w:pPr>
              <w:pStyle w:val="P68B1DB1-Normal7"/>
              <w:spacing w:line="240" w:lineRule="auto"/>
            </w:pPr>
            <w:r>
              <w:t xml:space="preserve">Cilji 10</w:t>
            </w:r>
          </w:p>
        </w:tc>
        <w:tc>
          <w:tcPr>
            <w:tcW w:w="2315" w:type="dxa"/>
          </w:tcPr>
          <w:p w14:paraId="1FE1BC2D" w14:textId="77777777">
            <w:pPr>
              <w:pStyle w:val="P68B1DB1-Normal8"/>
              <w:spacing w:line="240" w:lineRule="auto"/>
            </w:pPr>
            <w:r>
              <w:t xml:space="preserve">Cilji 10</w:t>
            </w:r>
          </w:p>
        </w:tc>
      </w:tr>
    </w:tbl>
    <w:p w14:paraId="4A865CBE" w14:textId="77777777">
      <w:pPr>
        <w:spacing w:after="0" w:line="240" w:lineRule="auto"/>
      </w:pPr>
    </w:p>
    <w:p w14:paraId="08C84FAC" w14:textId="77777777">
      <w:pPr>
        <w:spacing w:line="278" w:lineRule="auto"/>
      </w:pPr>
      <w:r>
        <w:br w:type="page"/>
      </w:r>
    </w:p>
    <w:p w14:paraId="0059B666" w14:textId="32BA8B95">
      <w:pPr>
        <w:jc w:val="both"/>
        <w:rPr>
          <w:rFonts w:ascii="Times New Roman" w:hAnsi="Times New Roman" w:cs="Times New Roman"/>
          <w:b/>
          <w:bCs/>
          <w:sz w:val="24"/>
          <w:szCs w:val="24"/>
          <w:u w:val="single"/>
        </w:rPr>
        <w:pStyle w:val="P68B1DB1-Normal5"/>
      </w:pPr>
      <w:r>
        <w:t xml:space="preserve">Izjava o omejitvi odgovornosti</w:t>
      </w:r>
    </w:p>
    <w:p w14:paraId="0CB71D4E" w14:textId="7BF1CD8D">
      <w:pPr>
        <w:jc w:val="both"/>
        <w:rPr>
          <w:rFonts w:ascii="Times New Roman" w:hAnsi="Times New Roman" w:cs="Times New Roman"/>
          <w:sz w:val="24"/>
          <w:szCs w:val="24"/>
        </w:rPr>
        <w:pStyle w:val="P68B1DB1-Normal7"/>
      </w:pPr>
      <w:r>
        <w:t xml:space="preserve">Informacije in smernice v tem dokumentu naj bi prispevale k boljšemu razumevanju pravil za priglasitev Direktive (EU) 2015/1535.</w:t>
      </w:r>
    </w:p>
    <w:p w14:paraId="67EC004B" w14:textId="434F8650">
      <w:pPr>
        <w:jc w:val="both"/>
        <w:rPr>
          <w:rFonts w:ascii="Times New Roman" w:hAnsi="Times New Roman" w:cs="Times New Roman"/>
          <w:sz w:val="24"/>
          <w:szCs w:val="24"/>
        </w:rPr>
        <w:pStyle w:val="P68B1DB1-Normal7"/>
      </w:pPr>
      <w:r>
        <w:t xml:space="preserve">To je zgolj orodje za usmerjanje. Samo besedilo direktive je pravno veljavno in lahko ustvarja pravice in obveznosti za posameznike in države članice. Ta dokument ne ustvarja nobene izvršljive pravice ali pričakovanja.</w:t>
      </w:r>
    </w:p>
    <w:p w14:paraId="63D425FC" w14:textId="2836B58B">
      <w:pPr>
        <w:jc w:val="both"/>
        <w:rPr>
          <w:rFonts w:ascii="Times New Roman" w:hAnsi="Times New Roman" w:cs="Times New Roman"/>
          <w:sz w:val="24"/>
          <w:szCs w:val="24"/>
        </w:rPr>
        <w:pStyle w:val="P68B1DB1-Normal7"/>
      </w:pPr>
      <w:r>
        <w:t xml:space="preserve">Zavezujoča razlaga zakonodaje Evropske unije je v izključni pristojnosti Sodišča Evropske unije. Stališča, izražena v tem dokumentu, ne posegajo v stališče, ki bi ga Komisija lahko zavzela pred Sodiščem.</w:t>
      </w:r>
    </w:p>
    <w:p w14:paraId="5CC222EA" w14:textId="4A13BEE2">
      <w:pPr>
        <w:jc w:val="both"/>
        <w:rPr>
          <w:rFonts w:ascii="Times New Roman" w:hAnsi="Times New Roman" w:cs="Times New Roman"/>
          <w:sz w:val="24"/>
          <w:szCs w:val="24"/>
        </w:rPr>
        <w:pStyle w:val="P68B1DB1-Normal7"/>
      </w:pPr>
      <w:r>
        <w:t xml:space="preserve">Ker ta dokument odraža stanje sodne prakse v času njegove priprave, bi ga bilo treba obravnavati kot „živo orodje“, ki ga je mogoče izboljšati, njegova vsebina pa se lahko spremeni brez obvestila.</w:t>
      </w:r>
    </w:p>
    <w:p w14:paraId="00285176" w14:textId="09C940D1">
      <w:pPr>
        <w:spacing w:after="0" w:line="240" w:lineRule="auto"/>
      </w:pPr>
      <w:r>
        <w:br w:type="page"/>
      </w:r>
    </w:p>
    <w:p w14:paraId="16528720" w14:textId="3D5EAE69">
      <w:pPr>
        <w:pStyle w:val="P68B1DB1-Heading13"/>
        <w:numPr>
          <w:ilvl w:val="0"/>
          <w:numId w:val="34"/>
        </w:numPr>
        <w:spacing w:before="0" w:after="0"/>
        <w:jc w:val="center"/>
        <w:rPr>
          <w:color w:val="auto"/>
        </w:rPr>
      </w:pPr>
      <w:bookmarkStart w:id="1" w:name="_Ref194485731"/>
      <w:bookmarkStart w:id="2" w:name="_Toc198043782"/>
      <w:bookmarkStart w:id="3" w:name="_Toc198044080"/>
      <w:bookmarkStart w:id="4" w:name="_Toc203035665"/>
      <w:bookmarkStart w:id="5" w:name="_Ref194484508"/>
      <w:bookmarkEnd w:id="0"/>
      <w:r>
        <w:t xml:space="preserve">Razvrstitev kot tehnični predpis</w:t>
      </w:r>
      <w:bookmarkEnd w:id="1"/>
      <w:bookmarkEnd w:id="2"/>
      <w:bookmarkEnd w:id="3"/>
      <w:bookmarkEnd w:id="4"/>
    </w:p>
    <w:p w14:paraId="771697CF" w14:textId="77777777">
      <w:pPr>
        <w:pStyle w:val="BodyText"/>
        <w:jc w:val="left"/>
      </w:pPr>
    </w:p>
    <w:p w14:paraId="0A4D39B5" w14:textId="5B89CEFC">
      <w:pPr>
        <w:pStyle w:val="P68B1DB1-Normal12"/>
        <w:spacing w:after="0" w:line="240" w:lineRule="auto"/>
        <w:ind w:left="567"/>
        <w:jc w:val="both"/>
        <w:rPr>
          <w:iCs/>
        </w:rPr>
      </w:pPr>
      <w:r>
        <w:t xml:space="preserve">„[...] pojem ‚tehnični predpis‘ zajema štiri kategorije ukrepov, in sicer, prvič, ‚tehnične specifikacije‘ v smislu člena 1, točka 3, Direktive 98/34, (ii) ‚druge zahteve‘, kot so opredeljene v členu 1.4 te direktive, (iii) ‚pravila o storitvah‘ iz člena 1.5 te direktive in (iv) ‚zakone in druge predpise držav članic [...], ki prepovedujejo proizvodnjo, uvoz, trženje ali uporabo izdelka ali ki prepovedujejo opravljanje ali uporabo storitve ali ustanovitev ponudnika storitev‘.“</w:t>
      </w:r>
    </w:p>
    <w:p w14:paraId="4FAB98F0" w14:textId="77777777">
      <w:pPr>
        <w:spacing w:after="0" w:line="240" w:lineRule="auto"/>
        <w:ind w:left="567"/>
        <w:jc w:val="both"/>
        <w:rPr>
          <w:rFonts w:ascii="Times New Roman" w:hAnsi="Times New Roman" w:cs="Times New Roman"/>
          <w:i/>
          <w:iCs/>
          <w:sz w:val="24"/>
          <w:szCs w:val="24"/>
        </w:rPr>
      </w:pPr>
    </w:p>
    <w:p w14:paraId="52EA0CC8" w14:textId="61714FD0">
      <w:pPr>
        <w:pStyle w:val="P68B1DB1-Normal7"/>
        <w:spacing w:after="0" w:line="240" w:lineRule="auto"/>
        <w:ind w:left="567"/>
        <w:jc w:val="right"/>
      </w:pPr>
      <w:hyperlink r:id="rId11" w:history="1">
        <w:r>
          <w:rPr>
            <w:rStyle w:val="Hyperlink"/>
            <w:color w:val="0000FF"/>
          </w:rPr>
          <w:t xml:space="preserve">(Sodba z dne 2. februarja 2016</w:t>
        </w:r>
      </w:hyperlink>
      <w:r>
        <w:t xml:space="preserve">, </w:t>
      </w:r>
      <w:r>
        <w:rPr>
          <w:i/>
        </w:rPr>
        <w:t>Ince</w:t>
      </w:r>
      <w:r>
        <w:t xml:space="preserve">, C-336/14, EU:C:2016:72, točka 70)</w:t>
      </w:r>
    </w:p>
    <w:p w14:paraId="39D1F0E4" w14:textId="77777777">
      <w:pPr>
        <w:pStyle w:val="BodyText"/>
        <w:jc w:val="left"/>
      </w:pPr>
    </w:p>
    <w:p w14:paraId="38CAE174" w14:textId="44091B45">
      <w:pPr>
        <w:pStyle w:val="P68B1DB1-Heading24"/>
        <w:numPr>
          <w:ilvl w:val="0"/>
          <w:numId w:val="35"/>
        </w:numPr>
        <w:spacing w:before="0" w:after="0"/>
        <w:jc w:val="center"/>
        <w:rPr>
          <w:bCs/>
          <w:color w:val="auto"/>
        </w:rPr>
      </w:pPr>
      <w:bookmarkStart w:id="6" w:name="_Ref194479747"/>
      <w:bookmarkStart w:id="7" w:name="_Ref196314191"/>
      <w:bookmarkStart w:id="8" w:name="_Toc198043783"/>
      <w:bookmarkStart w:id="9" w:name="_Toc198044081"/>
      <w:bookmarkStart w:id="10" w:name="_Toc203035666"/>
      <w:r>
        <w:t xml:space="preserve">Skupna merila za tehnične </w:t>
      </w:r>
      <w:bookmarkEnd w:id="6"/>
      <w:r>
        <w:t>predpise</w:t>
      </w:r>
      <w:bookmarkEnd w:id="7"/>
      <w:bookmarkEnd w:id="8"/>
      <w:bookmarkEnd w:id="9"/>
      <w:bookmarkEnd w:id="10"/>
    </w:p>
    <w:p w14:paraId="5A37DF5A" w14:textId="77777777">
      <w:pPr>
        <w:pStyle w:val="BodyText"/>
      </w:pPr>
    </w:p>
    <w:p w14:paraId="2C807316" w14:textId="77777777">
      <w:pPr>
        <w:pStyle w:val="P68B1DB1-BodyText11"/>
        <w:ind w:left="567"/>
        <w:rPr>
          <w:iCs/>
        </w:rPr>
      </w:pPr>
      <w:r>
        <w:t xml:space="preserve">„‚Tehnični predpis‘ pomeni tehnične specifikacije in druge zahteve ali predpise o storitvah, vključno z ustreznimi upravnimi določbami, katerih upoštevanje je pravno ali dejansko obvezno pri trženju, zagotavljanju storitve, ustanovitvi izvajalca storitve ali uporabi v državi članici ali njenem večjem delu, pa tudi zakone in druge predpise držav članic, razen tistih iz člena 7, ki prepovedujejo proizvodnjo, uvoz, trženje ali uporabo izdelka ali prepovedujejo opravljanje ali uporabo storitve ali ustanovitev ponudnika storitev.“</w:t>
      </w:r>
    </w:p>
    <w:p w14:paraId="56CBE257" w14:textId="77777777">
      <w:pPr>
        <w:pStyle w:val="BodyText"/>
      </w:pPr>
    </w:p>
    <w:p w14:paraId="66B70B28" w14:textId="1278CE54">
      <w:pPr>
        <w:pStyle w:val="P68B1DB1-Normal7"/>
        <w:spacing w:after="0" w:line="240" w:lineRule="auto"/>
        <w:jc w:val="right"/>
      </w:pPr>
      <w:r>
        <w:t xml:space="preserve">(člen 1(1)(f), prvi stavek, Direktive (EU) 2015/1535)</w:t>
      </w:r>
    </w:p>
    <w:p w14:paraId="4D7A236C" w14:textId="77777777">
      <w:pPr>
        <w:spacing w:after="0" w:line="240" w:lineRule="auto"/>
        <w:rPr>
          <w:sz w:val="24"/>
          <w:szCs w:val="24"/>
        </w:rPr>
      </w:pPr>
    </w:p>
    <w:p w14:paraId="61ADC4B8" w14:textId="2F4C951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2" w:history="1">
        <w:r>
          <w:rPr>
            <w:rStyle w:val="Hyperlink"/>
            <w:rFonts w:ascii="Times New Roman" w:hAnsi="Times New Roman" w:cs="Times New Roman" w:eastAsia="Times New Roman"/>
            <w:b/>
            <w:i/>
            <w:color w:val="0000FF"/>
            <w:szCs w:val="20"/>
          </w:rPr>
          <w:t xml:space="preserve">Sodba z dne 30. aprila 1996</w:t>
        </w:r>
      </w:hyperlink>
      <w:r>
        <w:rPr>
          <w:rFonts w:ascii="Times New Roman" w:hAnsi="Times New Roman" w:cs="Times New Roman" w:eastAsia="Times New Roman"/>
          <w:b/>
          <w:i/>
          <w:szCs w:val="20"/>
        </w:rPr>
        <w:t xml:space="preserve">, CIA Security International SA, C-194/94, EU:C:1996:172, točka 29.</w:t>
      </w:r>
      <w:bookmarkEnd w:id="11"/>
    </w:p>
    <w:p w14:paraId="6260A28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490804" w14:textId="77777777">
      <w:pPr>
        <w:pStyle w:val="P68B1DB1-P68B1DB1-Normal135"/>
        <w:widowControl w:val="0"/>
        <w:tabs>
          <w:tab w:val="left" w:pos="393"/>
        </w:tabs>
        <w:autoSpaceDE w:val="0"/>
        <w:autoSpaceDN w:val="0"/>
        <w:spacing w:after="0" w:line="240" w:lineRule="auto"/>
        <w:jc w:val="both"/>
        <w:rPr>
          <w:b w:val="0"/>
          <w:bCs/>
          <w:i w:val="0"/>
          <w:iCs/>
        </w:rPr>
      </w:pPr>
      <w:r>
        <w:t xml:space="preserve">Pravilo se lahko opredeli kot „tehnični predpis“ le, če ima lastne pravne učinke. To ne velja za okvirni zakon brez pravnega učinka za posameznike.</w:t>
      </w:r>
    </w:p>
    <w:p w14:paraId="7CC5408A" w14:textId="77777777">
      <w:pPr>
        <w:widowControl w:val="0"/>
        <w:tabs>
          <w:tab w:val="left" w:pos="393"/>
        </w:tabs>
        <w:autoSpaceDE w:val="0"/>
        <w:autoSpaceDN w:val="0"/>
        <w:spacing w:after="0" w:line="240" w:lineRule="auto"/>
        <w:jc w:val="both"/>
        <w:rPr>
          <w:rFonts w:ascii="Times New Roman" w:hAnsi="Times New Roman" w:cs="Times New Roman" w:eastAsia="Times New Roman"/>
          <w:sz w:val="20"/>
          <w:szCs w:val="20"/>
        </w:rPr>
      </w:pPr>
    </w:p>
    <w:p w14:paraId="3649EC17" w14:textId="62FD7542">
      <w:pPr>
        <w:pStyle w:val="P68B1DB1-P68B1DB1-Normal146"/>
        <w:widowControl w:val="0"/>
        <w:tabs>
          <w:tab w:val="left" w:pos="393"/>
        </w:tabs>
        <w:autoSpaceDE w:val="0"/>
        <w:autoSpaceDN w:val="0"/>
        <w:spacing w:after="0" w:line="240" w:lineRule="auto"/>
        <w:ind w:left="567"/>
        <w:jc w:val="both"/>
        <w:rPr>
          <w:i/>
          <w:iCs/>
          <w:sz w:val="20"/>
        </w:rPr>
      </w:pPr>
      <w:r>
        <w:t xml:space="preserve">„29. V tej zvezi je treba ugotoviti, da je treba pravilo opredeliti kot tehnični predpis v smislu Direktive 83/189, če ima lastne pravne učinke. Če je pravilo v skladu z nacionalnim pravom zgolj podlaga za sprejetje upravnih predpisov, ki vsebujejo pravila, ki zavezujejo zainteresirane stranke, tako da sama po sebi nima pravnih učinkov za posameznike, to pravilo ni tehnični predpis v smislu Direktive (glej sodbo z dne 15. junija 1994 v zadevi Komisija proti Nemčiji, C-317/92, Recueil, str. 1–2039, točka 26). V zvezi s tem je treba opozoriti, da morajo države članice v skladu s členom 8(1), prvi pododstavek, Direktive 83/189 hkrati z osnutkom tehničnega predpisa sporočiti instrument, na podlagi katerega je bil sprejet, če je poznavanje takega besedila potrebno za oceno posledic osnutka tehničnega predpisa.“</w:t>
      </w:r>
    </w:p>
    <w:p w14:paraId="4CF2EEDE" w14:textId="77777777">
      <w:pPr>
        <w:spacing w:after="0" w:line="240" w:lineRule="auto"/>
      </w:pPr>
    </w:p>
    <w:p w14:paraId="1EC2A38D" w14:textId="4709776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3" w:history="1">
        <w:r>
          <w:rPr>
            <w:rStyle w:val="Hyperlink"/>
            <w:rFonts w:ascii="Times New Roman" w:hAnsi="Times New Roman" w:cs="Times New Roman" w:eastAsia="Times New Roman"/>
            <w:b/>
            <w:i/>
            <w:color w:val="0000FF"/>
            <w:szCs w:val="20"/>
          </w:rPr>
          <w:t xml:space="preserve">Sodba z dne 20. marca 1997</w:t>
        </w:r>
      </w:hyperlink>
      <w:r>
        <w:rPr>
          <w:rFonts w:ascii="Times New Roman" w:hAnsi="Times New Roman" w:cs="Times New Roman" w:eastAsia="Times New Roman"/>
          <w:b/>
          <w:i/>
          <w:szCs w:val="20"/>
        </w:rPr>
        <w:t xml:space="preserve">, Bic Benelux, C-13/96, EU:C:1997:173, točki 19 in 20.</w:t>
      </w:r>
      <w:bookmarkEnd w:id="12"/>
    </w:p>
    <w:p w14:paraId="2C091717"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73C7900A" w14:textId="3F5D68F7">
      <w:pPr>
        <w:pStyle w:val="P68B1DB1-P68B1DB1-Normal135"/>
        <w:widowControl w:val="0"/>
        <w:tabs>
          <w:tab w:val="left" w:pos="396"/>
          <w:tab w:val="left" w:pos="400"/>
        </w:tabs>
        <w:autoSpaceDE w:val="0"/>
        <w:autoSpaceDN w:val="0"/>
        <w:spacing w:after="0" w:line="240" w:lineRule="auto"/>
        <w:jc w:val="both"/>
        <w:rPr>
          <w:b w:val="0"/>
          <w:bCs/>
          <w:i w:val="0"/>
          <w:iCs/>
        </w:rPr>
      </w:pPr>
      <w:r>
        <w:t xml:space="preserve">Razlogi za sprejetje nacionalnega ukrepa niso upoštevni za opredelitev tega ukrepa kot „tehničnega predpisa“. Cilj Direktive je s preventivnim nadzorom zaščititi prosti pretok blaga, ki je eden od temeljev Skupnosti.</w:t>
      </w:r>
    </w:p>
    <w:p w14:paraId="49EDC2CC" w14:textId="77777777">
      <w:pPr>
        <w:widowControl w:val="0"/>
        <w:autoSpaceDE w:val="0"/>
        <w:autoSpaceDN w:val="0"/>
        <w:spacing w:after="0" w:line="240" w:lineRule="auto"/>
        <w:jc w:val="both"/>
        <w:rPr>
          <w:rFonts w:ascii="Times New Roman" w:hAnsi="Times New Roman" w:cs="Times New Roman" w:eastAsia="Times New Roman"/>
          <w:szCs w:val="20"/>
        </w:rPr>
      </w:pPr>
    </w:p>
    <w:p w14:paraId="4156ECFE" w14:textId="7DEAF419">
      <w:pPr>
        <w:pStyle w:val="P68B1DB1-P68B1DB1-Normal146"/>
        <w:widowControl w:val="0"/>
        <w:autoSpaceDE w:val="0"/>
        <w:autoSpaceDN w:val="0"/>
        <w:spacing w:after="0" w:line="240" w:lineRule="auto"/>
        <w:ind w:left="510"/>
        <w:jc w:val="both"/>
        <w:rPr>
          <w:i/>
          <w:iCs/>
          <w:sz w:val="20"/>
        </w:rPr>
      </w:pPr>
      <w:r>
        <w:t xml:space="preserve">„19. [...] V Direktivi 83/189 ni podlage za razlago, ki bi omejila njeno uporabo na nacionalne ukrepe, ki bi jih bilo mogoče uskladiti le na podlagi člena 100a Pogodbe. Cilj te direktive je s preventivnim nadzorom zaščititi prosti pretok blaga, ki je eden od temeljev Skupnosti. Takšno spremljanje je potrebno, ker lahko tehnični predpisi, ki jih zajema Direktiva, neposredno ali posredno, dejansko ali potencialno ovirajo blagovno menjavo znotraj Skupnosti. Take ovire lahko izhajajo iz sprejetja nacionalnih tehničnih predpisov, tudi če ti ne podvajajo oznak, nameščenih v državi članici porekla, in ne glede na razloge, zaradi katerih so bili sprejeti. </w:t>
      </w:r>
    </w:p>
    <w:p w14:paraId="3ECEA0CB" w14:textId="77777777">
      <w:pPr>
        <w:pStyle w:val="P68B1DB1-Normal14"/>
        <w:widowControl w:val="0"/>
        <w:autoSpaceDE w:val="0"/>
        <w:autoSpaceDN w:val="0"/>
        <w:spacing w:after="0" w:line="240" w:lineRule="auto"/>
        <w:ind w:left="510"/>
        <w:jc w:val="both"/>
        <w:rPr>
          <w:i/>
          <w:iCs/>
          <w:sz w:val="20"/>
        </w:rPr>
      </w:pPr>
    </w:p>
    <w:p w14:paraId="17FB6164" w14:textId="39A34C5B">
      <w:pPr>
        <w:pStyle w:val="P68B1DB1-P68B1DB1-Normal146"/>
        <w:widowControl w:val="0"/>
        <w:autoSpaceDE w:val="0"/>
        <w:autoSpaceDN w:val="0"/>
        <w:spacing w:after="0" w:line="240" w:lineRule="auto"/>
        <w:ind w:left="510"/>
        <w:jc w:val="both"/>
        <w:rPr>
          <w:i/>
          <w:iCs/>
          <w:sz w:val="20"/>
        </w:rPr>
      </w:pPr>
      <w:r>
        <w:t xml:space="preserve">20. Zato dejstvo, da je bil nacionalni ukrep sprejet zaradi varstva okolja ali da ne izvaja tehničnega standarda, ki bi lahko sam po sebi oviral prosti pretok, ne pomeni, da zadevni ukrep ne more biti tehnični predpis v smislu Direktive 83/189.“</w:t>
      </w:r>
    </w:p>
    <w:p w14:paraId="21D40469" w14:textId="77777777">
      <w:pPr>
        <w:spacing w:after="0" w:line="240" w:lineRule="auto"/>
      </w:pPr>
    </w:p>
    <w:p w14:paraId="5DB9E3C5" w14:textId="38D65933">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4" w:history="1">
        <w:r>
          <w:rPr>
            <w:rStyle w:val="Hyperlink"/>
            <w:rFonts w:ascii="Times New Roman" w:hAnsi="Times New Roman" w:cs="Times New Roman" w:eastAsia="Times New Roman"/>
            <w:b/>
            <w:i/>
            <w:color w:val="0000FF"/>
            <w:szCs w:val="20"/>
          </w:rPr>
          <w:t xml:space="preserve">Sodba z dne 16. novembra 2000</w:t>
        </w:r>
      </w:hyperlink>
      <w:r>
        <w:rPr>
          <w:rFonts w:ascii="Times New Roman" w:hAnsi="Times New Roman" w:cs="Times New Roman" w:eastAsia="Times New Roman"/>
          <w:b/>
          <w:i/>
          <w:szCs w:val="20"/>
        </w:rPr>
        <w:t xml:space="preserve">, Donkersteeg, C-37/99, EU:C:2000:636, točke od 30 do 34.</w:t>
      </w:r>
      <w:bookmarkEnd w:id="13"/>
    </w:p>
    <w:p w14:paraId="3F63DC2D" w14:textId="77777777">
      <w:pPr>
        <w:widowControl w:val="0"/>
        <w:autoSpaceDE w:val="0"/>
        <w:autoSpaceDN w:val="0"/>
        <w:spacing w:after="0" w:line="240" w:lineRule="auto"/>
        <w:jc w:val="both"/>
        <w:rPr>
          <w:rFonts w:ascii="Times New Roman" w:hAnsi="Times New Roman" w:cs="Times New Roman" w:eastAsia="Times New Roman"/>
          <w:szCs w:val="20"/>
        </w:rPr>
      </w:pPr>
    </w:p>
    <w:p w14:paraId="75027B7E" w14:textId="22C0CBFC">
      <w:pPr>
        <w:pStyle w:val="P68B1DB1-P68B1DB1-Normal135"/>
        <w:widowControl w:val="0"/>
        <w:autoSpaceDE w:val="0"/>
        <w:autoSpaceDN w:val="0"/>
        <w:spacing w:after="0" w:line="240" w:lineRule="auto"/>
        <w:jc w:val="both"/>
        <w:rPr>
          <w:b w:val="0"/>
          <w:bCs/>
          <w:i w:val="0"/>
          <w:iCs/>
        </w:rPr>
      </w:pPr>
      <w:r>
        <w:t xml:space="preserve">Podrobna pravila o cepljenju živali so „tehnična specifikacija“. Vendar gre za „tehnični predpis“, ki ga je treba priglasiti le, če je njegovo spoštovanje pravno ali dejansko obvezno. To pa ne velja, kadar v primeru kršitve pravila ni omejitev trženja ali uporabe zadevnih proizvodov.</w:t>
      </w:r>
    </w:p>
    <w:p w14:paraId="7B48861C" w14:textId="77777777">
      <w:pPr>
        <w:widowControl w:val="0"/>
        <w:autoSpaceDE w:val="0"/>
        <w:autoSpaceDN w:val="0"/>
        <w:spacing w:after="0" w:line="240" w:lineRule="auto"/>
        <w:jc w:val="both"/>
        <w:rPr>
          <w:rFonts w:ascii="Times New Roman" w:hAnsi="Times New Roman" w:cs="Times New Roman" w:eastAsia="Times New Roman"/>
          <w:szCs w:val="20"/>
        </w:rPr>
      </w:pPr>
    </w:p>
    <w:p w14:paraId="284DCB65" w14:textId="72CEBC4F">
      <w:pPr>
        <w:pStyle w:val="P68B1DB1-P68B1DB1-Normal146"/>
        <w:widowControl w:val="0"/>
        <w:autoSpaceDE w:val="0"/>
        <w:autoSpaceDN w:val="0"/>
        <w:spacing w:after="0"/>
        <w:ind w:left="567"/>
        <w:jc w:val="both"/>
        <w:rPr>
          <w:i/>
          <w:iCs/>
          <w:sz w:val="20"/>
        </w:rPr>
      </w:pPr>
      <w:r>
        <w:t xml:space="preserve">„30. [...] v skladu s členom 1(1) Direktive je, kar zadeva kmetijske proizvode, „tehnična specifikacija“ vsebovana v dokumentu, ki določa zahtevane značilnosti proizvoda ali njegove proizvodne metode in postopke.</w:t>
      </w:r>
    </w:p>
    <w:p w14:paraId="4B80B8D5" w14:textId="77777777">
      <w:pPr>
        <w:pStyle w:val="P68B1DB1-Normal14"/>
        <w:widowControl w:val="0"/>
        <w:autoSpaceDE w:val="0"/>
        <w:autoSpaceDN w:val="0"/>
        <w:spacing w:after="0"/>
        <w:ind w:left="567"/>
        <w:jc w:val="both"/>
        <w:rPr>
          <w:i/>
          <w:iCs/>
          <w:sz w:val="20"/>
        </w:rPr>
      </w:pPr>
    </w:p>
    <w:p w14:paraId="243FA6BC" w14:textId="77777777">
      <w:pPr>
        <w:pStyle w:val="P68B1DB1-P68B1DB1-Normal146"/>
        <w:widowControl w:val="0"/>
        <w:autoSpaceDE w:val="0"/>
        <w:autoSpaceDN w:val="0"/>
        <w:spacing w:after="0"/>
        <w:ind w:left="567"/>
        <w:jc w:val="both"/>
        <w:rPr>
          <w:i/>
          <w:iCs/>
          <w:sz w:val="20"/>
        </w:rPr>
      </w:pPr>
      <w:r>
        <w:t xml:space="preserve">31. Pravilo, kakršno vsebuje člen 2(1) VBZA, je tehnična specifikacija v smislu člena 1(1) Direktive. Kot pravilno trdi Komisija, ker so natančna in podrobna pravila cepljenja proti bolezni Aujeszkega povezana s proizvodnjo zadevnega kmetijskega proizvoda v pravem pomenu besede in jih je treba upoštevati v celotnem proizvodnem ciklu, to pravilo torej opredeljuje „postopek“ proizvodnje tega proizvoda.</w:t>
      </w:r>
    </w:p>
    <w:p w14:paraId="38EC4E98" w14:textId="77777777">
      <w:pPr>
        <w:pStyle w:val="P68B1DB1-Normal14"/>
        <w:widowControl w:val="0"/>
        <w:autoSpaceDE w:val="0"/>
        <w:autoSpaceDN w:val="0"/>
        <w:spacing w:after="0"/>
        <w:ind w:left="567"/>
        <w:jc w:val="both"/>
        <w:rPr>
          <w:i/>
          <w:iCs/>
          <w:sz w:val="20"/>
        </w:rPr>
      </w:pPr>
    </w:p>
    <w:p w14:paraId="5C8FDDF5" w14:textId="77777777">
      <w:pPr>
        <w:pStyle w:val="P68B1DB1-P68B1DB1-Normal146"/>
        <w:widowControl w:val="0"/>
        <w:autoSpaceDE w:val="0"/>
        <w:autoSpaceDN w:val="0"/>
        <w:spacing w:after="0"/>
        <w:ind w:left="567"/>
        <w:jc w:val="both"/>
        <w:rPr>
          <w:i/>
          <w:iCs/>
          <w:sz w:val="20"/>
        </w:rPr>
      </w:pPr>
      <w:r>
        <w:t xml:space="preserve">32. Vendar mora pravilo iz postopka v glavni stvari, da bi ga bilo mogoče opredeliti kot tehnično pravilo v smislu Direktive, v skladu s členom 1(5) te direktive vsebovati tehnične specifikacije, „katerih upoštevanje je pravno ali dejansko obvezno pri trženju ali uporabi v državi članici ali njenem večjem delu, razen tistih, ki jih določijo lokalni organi.</w:t>
      </w:r>
    </w:p>
    <w:p w14:paraId="1642D773" w14:textId="77777777">
      <w:pPr>
        <w:pStyle w:val="P68B1DB1-Normal14"/>
        <w:widowControl w:val="0"/>
        <w:autoSpaceDE w:val="0"/>
        <w:autoSpaceDN w:val="0"/>
        <w:spacing w:after="0"/>
        <w:ind w:left="567"/>
        <w:jc w:val="both"/>
        <w:rPr>
          <w:i/>
          <w:iCs/>
          <w:sz w:val="20"/>
        </w:rPr>
      </w:pPr>
    </w:p>
    <w:p w14:paraId="1D500948" w14:textId="77777777">
      <w:pPr>
        <w:pStyle w:val="P68B1DB1-P68B1DB1-Normal146"/>
        <w:widowControl w:val="0"/>
        <w:autoSpaceDE w:val="0"/>
        <w:autoSpaceDN w:val="0"/>
        <w:spacing w:after="0"/>
        <w:ind w:left="567"/>
        <w:jc w:val="both"/>
        <w:rPr>
          <w:i/>
          <w:iCs/>
          <w:sz w:val="20"/>
        </w:rPr>
      </w:pPr>
      <w:r>
        <w:t xml:space="preserve">33. Poudariti je treba, kot je to storila nizozemska vlada, da pravilo iz člena 2(1) VBZA ne določa nobenih omejitev glede trženja ali uporabe zadevnih proizvodov, če prašiči v nasprotju s tem pravilom niso bili cepljeni proti bolezni Aujeszkega.</w:t>
      </w:r>
    </w:p>
    <w:p w14:paraId="2280D2F8" w14:textId="77777777">
      <w:pPr>
        <w:pStyle w:val="P68B1DB1-Normal14"/>
        <w:widowControl w:val="0"/>
        <w:autoSpaceDE w:val="0"/>
        <w:autoSpaceDN w:val="0"/>
        <w:spacing w:after="0"/>
        <w:ind w:left="567"/>
        <w:jc w:val="both"/>
        <w:rPr>
          <w:i/>
          <w:iCs/>
          <w:sz w:val="20"/>
        </w:rPr>
      </w:pPr>
    </w:p>
    <w:p w14:paraId="432A3655" w14:textId="77777777">
      <w:pPr>
        <w:pStyle w:val="P68B1DB1-P68B1DB1-Normal146"/>
        <w:widowControl w:val="0"/>
        <w:autoSpaceDE w:val="0"/>
        <w:autoSpaceDN w:val="0"/>
        <w:spacing w:after="0"/>
        <w:ind w:left="567"/>
        <w:jc w:val="both"/>
        <w:rPr>
          <w:i/>
          <w:iCs/>
          <w:sz w:val="20"/>
        </w:rPr>
      </w:pPr>
      <w:r>
        <w:t xml:space="preserve">34. Na drugo vprašanje je torej treba odgovoriti, da določba, kakršna je ta v postopku v glavni stvari, ki od vsakega kmeta zahteva, da se prašiči na njegovem gospodarstvu cepijo proti bolezni Aujeszkega, v smislu te direktive ni tehnični predpis, o katerem bi bilo treba pred sprejetjem obvestiti Komisijo.“</w:t>
      </w:r>
    </w:p>
    <w:p w14:paraId="4573243C" w14:textId="77777777">
      <w:pPr>
        <w:spacing w:after="0" w:line="240" w:lineRule="auto"/>
      </w:pPr>
    </w:p>
    <w:p w14:paraId="6D41E4F7" w14:textId="2DFA6AAE">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5" w:history="1">
        <w:r>
          <w:rPr>
            <w:rStyle w:val="Hyperlink"/>
            <w:rFonts w:ascii="Times New Roman" w:hAnsi="Times New Roman" w:cs="Times New Roman" w:eastAsia="Times New Roman"/>
            <w:b/>
            <w:i/>
            <w:color w:val="0000FF"/>
            <w:szCs w:val="20"/>
          </w:rPr>
          <w:t xml:space="preserve">Sodba z dne 3. decembra 2020</w:t>
        </w:r>
      </w:hyperlink>
      <w:r>
        <w:rPr>
          <w:rFonts w:ascii="Times New Roman" w:hAnsi="Times New Roman" w:cs="Times New Roman" w:eastAsia="Times New Roman"/>
          <w:b/>
          <w:i/>
          <w:szCs w:val="20"/>
        </w:rPr>
        <w:t xml:space="preserve">, Star Taxi App, C-62/19, EU:C:2020:980, točki 60 in 61.</w:t>
      </w:r>
      <w:bookmarkEnd w:id="14"/>
    </w:p>
    <w:p w14:paraId="13F9C96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B016A8" w14:textId="595E56D7">
      <w:pPr>
        <w:pStyle w:val="P68B1DB1-P68B1DB1-Normal135"/>
        <w:widowControl w:val="0"/>
        <w:autoSpaceDE w:val="0"/>
        <w:autoSpaceDN w:val="0"/>
        <w:spacing w:after="0" w:line="240" w:lineRule="auto"/>
        <w:jc w:val="both"/>
        <w:rPr>
          <w:b w:val="0"/>
          <w:bCs/>
          <w:i w:val="0"/>
          <w:iCs/>
        </w:rPr>
      </w:pPr>
      <w:r>
        <w:t xml:space="preserve">Da bi bil nacionalni ukrep opredeljen kot „tehnični predpis“, mora biti pravno ali dejansko zavezujoč za opravljanje ali uporabo zadevne storitve v državi članici ali njenem večjem delu.</w:t>
      </w:r>
    </w:p>
    <w:p w14:paraId="2E622B9C" w14:textId="77777777">
      <w:pPr>
        <w:widowControl w:val="0"/>
        <w:autoSpaceDE w:val="0"/>
        <w:autoSpaceDN w:val="0"/>
        <w:spacing w:after="0" w:line="240" w:lineRule="auto"/>
        <w:jc w:val="both"/>
        <w:rPr>
          <w:rFonts w:ascii="Times New Roman" w:hAnsi="Times New Roman" w:cs="Times New Roman" w:eastAsia="Times New Roman"/>
          <w:szCs w:val="20"/>
        </w:rPr>
      </w:pPr>
    </w:p>
    <w:p w14:paraId="072FCDD3" w14:textId="5A28BFDE">
      <w:pPr>
        <w:pStyle w:val="P68B1DB1-Normal15"/>
        <w:widowControl w:val="0"/>
        <w:autoSpaceDE w:val="0"/>
        <w:autoSpaceDN w:val="0"/>
        <w:spacing w:after="0" w:line="240" w:lineRule="auto"/>
        <w:ind w:left="567"/>
        <w:jc w:val="both"/>
        <w:rPr>
          <w:i w:val="0"/>
          <w:iCs/>
        </w:rPr>
      </w:pPr>
      <w:r>
        <w:t xml:space="preserve">„60. [...] iz člena 1(1)(f), prvi pododstavek, Direktive 2015/1535 je razvidno, da „tehnični predpis“ pomeni „tehnične specifikacije in druge zahteve ali predpise o storitvah, vključno z ustreznimi upravnimi določbami, katerih upoštevanje je pravno ali dejansko obvezno pri trženju, opravljanju storitve, ustanovitvi izvajalca storitve ali uporabi v državi članici ali njenem večjem delu, pa tudi zakone in druge predpise držav članic, razen tistih iz člena 7, ki prepovedujejo proizvodnjo, uvoz, trženje ali uporabo proizvoda ali prepovedujejo zagotavljanje ali uporabo storitve ali ustanovitev ponudnika storitev“.</w:t>
      </w:r>
    </w:p>
    <w:p w14:paraId="4FF7DC70" w14:textId="77777777">
      <w:pPr>
        <w:pStyle w:val="P68B1DB1-Normal15"/>
        <w:widowControl w:val="0"/>
        <w:autoSpaceDE w:val="0"/>
        <w:autoSpaceDN w:val="0"/>
        <w:spacing w:after="0" w:line="240" w:lineRule="auto"/>
        <w:ind w:left="567"/>
        <w:jc w:val="both"/>
        <w:rPr>
          <w:i w:val="0"/>
          <w:iCs/>
        </w:rPr>
      </w:pPr>
    </w:p>
    <w:p w14:paraId="4482F387" w14:textId="50B8F03F">
      <w:pPr>
        <w:pStyle w:val="P68B1DB1-Normal15"/>
        <w:widowControl w:val="0"/>
        <w:autoSpaceDE w:val="0"/>
        <w:autoSpaceDN w:val="0"/>
        <w:spacing w:after="0" w:line="240" w:lineRule="auto"/>
        <w:ind w:left="567"/>
        <w:jc w:val="both"/>
        <w:rPr>
          <w:i w:val="0"/>
          <w:iCs/>
        </w:rPr>
      </w:pPr>
      <w:r>
        <w:t xml:space="preserve">61. Iz tega sledi, da je treba nacionalno zakonodajo, ki vpliva na storitev informacijske družbe, da bi jo bilo mogoče opredeliti kot „tehnični predpis“, ne le opredeliti kot „predpis o storitvah“, kot je opredeljen v členu 1(1)(e) Direktive 2015/1535, ampak mora biti tudi pravno ali dejansko obvezna, med drugim v primeru opravljanja zadevne storitve ali njene uporabe v državi članici ali njenem večjem delu.“</w:t>
      </w:r>
    </w:p>
    <w:p w14:paraId="6EC55A15" w14:textId="67024D34">
      <w:pPr>
        <w:pStyle w:val="P68B1DB1-Heading24"/>
        <w:numPr>
          <w:ilvl w:val="0"/>
          <w:numId w:val="35"/>
        </w:numPr>
        <w:spacing w:before="0" w:after="0"/>
        <w:jc w:val="center"/>
        <w:rPr>
          <w:bCs/>
          <w:color w:val="auto"/>
        </w:rPr>
      </w:pPr>
      <w:bookmarkStart w:id="15" w:name="_Ref194481248"/>
      <w:bookmarkStart w:id="16" w:name="_Ref196314204"/>
      <w:bookmarkStart w:id="17" w:name="_Toc203035667"/>
      <w:r>
        <w:t>Tehnične</w:t>
      </w:r>
      <w:bookmarkEnd w:id="15"/>
      <w:r>
        <w:t xml:space="preserve"> specifikacije</w:t>
      </w:r>
      <w:bookmarkEnd w:id="16"/>
      <w:bookmarkEnd w:id="17"/>
    </w:p>
    <w:p w14:paraId="241DC1E1" w14:textId="77777777">
      <w:pPr>
        <w:pStyle w:val="BodyText"/>
      </w:pPr>
    </w:p>
    <w:p w14:paraId="24A39E18" w14:textId="77777777">
      <w:pPr>
        <w:pStyle w:val="P68B1DB1-BodyText11"/>
        <w:ind w:left="567"/>
      </w:pPr>
      <w:r>
        <w:t xml:space="preserve">„‚tehnična specifikacija‘ pomeni specifikacijo iz dokumenta, ki določa zahtevane značilnosti proizvoda, kot so raven kakovosti, zmogljivost, varnost ali mere, vključno z zahtevami, ki veljajo za proizvod glede imena, pod katerim se proizvod prodaja, terminologijo, simboli, preskušanjem in preskusnimi metodami, pakiranjem, označevanjem ali etiketiranjem ter postopki ugotavljanja skladnosti.</w:t>
      </w:r>
    </w:p>
    <w:p w14:paraId="33F4D1E4" w14:textId="77777777">
      <w:pPr>
        <w:pStyle w:val="P68B1DB1-BodyText11"/>
        <w:ind w:left="567"/>
      </w:pPr>
    </w:p>
    <w:p w14:paraId="5224E321" w14:textId="77777777">
      <w:pPr>
        <w:pStyle w:val="P68B1DB1-BodyText11"/>
        <w:ind w:left="567"/>
        <w:rPr>
          <w:iCs/>
        </w:rPr>
      </w:pPr>
      <w:r>
        <w:t xml:space="preserve">Izraz ‚tehnična specifikacija‘ zajema tudi proizvodne metode in postopke, ki se uporabljajo v zvezi s kmetijskimi proizvodi iz drugega pododstavka člena 38(1) Pogodbe o delovanju Evropske unije (PDEU), proizvode, namenjene za prehrano ljudi in živali, in zdravila, kot so opredeljena v členu 1 Direktive 2001/83/ES Evropskega parlamenta in Sveta (1), ter proizvodne metode in postopke v zvezi z drugimi proizvodi, če ti vplivajo na njihove značilnosti;“</w:t>
      </w:r>
    </w:p>
    <w:p w14:paraId="6C2A57E1" w14:textId="77777777">
      <w:pPr>
        <w:pStyle w:val="BodyText"/>
        <w:ind w:left="567"/>
        <w:rPr>
          <w:i/>
          <w:iCs/>
        </w:rPr>
      </w:pPr>
    </w:p>
    <w:p w14:paraId="2F7A4C59" w14:textId="62E0EC95">
      <w:pPr>
        <w:pStyle w:val="BodyText"/>
        <w:ind w:left="1440"/>
        <w:jc w:val="right"/>
      </w:pPr>
      <w:r>
        <w:t xml:space="preserve">(Člen 1(1)(c) Direktive (EU) 2015/1535)</w:t>
      </w:r>
    </w:p>
    <w:p w14:paraId="01CFC4AF" w14:textId="77777777">
      <w:pPr>
        <w:spacing w:after="0" w:line="240" w:lineRule="auto"/>
      </w:pPr>
    </w:p>
    <w:p w14:paraId="1AB91297" w14:textId="219B80DD">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6" w:history="1">
        <w:r>
          <w:rPr>
            <w:rStyle w:val="Hyperlink"/>
            <w:rFonts w:ascii="Times New Roman" w:hAnsi="Times New Roman" w:cs="Times New Roman" w:eastAsia="Times New Roman"/>
            <w:b/>
            <w:i/>
            <w:color w:val="0000FF"/>
            <w:szCs w:val="20"/>
          </w:rPr>
          <w:t xml:space="preserve">Sodba z dne 11. januarja 1996</w:t>
        </w:r>
      </w:hyperlink>
      <w:r>
        <w:rPr>
          <w:rFonts w:ascii="Times New Roman" w:hAnsi="Times New Roman" w:cs="Times New Roman" w:eastAsia="Times New Roman"/>
          <w:b/>
          <w:i/>
          <w:szCs w:val="20"/>
        </w:rPr>
        <w:t xml:space="preserve">, Komisija/Nizozemska, C-273/94, EU:C:1996:4, točka 13.</w:t>
      </w:r>
      <w:bookmarkEnd w:id="18"/>
    </w:p>
    <w:p w14:paraId="490AFA5B"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45335B30" w14:textId="77777777">
      <w:pPr>
        <w:pStyle w:val="P68B1DB1-P68B1DB1-Normal135"/>
        <w:widowControl w:val="0"/>
        <w:tabs>
          <w:tab w:val="left" w:pos="396"/>
          <w:tab w:val="left" w:pos="405"/>
        </w:tabs>
        <w:autoSpaceDE w:val="0"/>
        <w:autoSpaceDN w:val="0"/>
        <w:spacing w:after="0" w:line="240" w:lineRule="auto"/>
        <w:jc w:val="both"/>
        <w:rPr>
          <w:b w:val="0"/>
          <w:bCs/>
          <w:i w:val="0"/>
          <w:iCs/>
        </w:rPr>
      </w:pPr>
      <w:r>
        <w:t xml:space="preserve">Nacionalni predpis, ki uvaja odstopanje od obstoječega tehničnega predpisa za določen izdelek, je „tehnični predpis“, če določa alternativne „tehnične specifikacije“, ki jih mora izpolnjevati vsaka oseba, ki želi izkoristiti odstopanje. </w:t>
      </w:r>
    </w:p>
    <w:p w14:paraId="5E3E0A04"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0D132388" w14:textId="17D2E715">
      <w:pPr>
        <w:pStyle w:val="P68B1DB1-P68B1DB1-Normal147"/>
        <w:widowControl w:val="0"/>
        <w:tabs>
          <w:tab w:val="left" w:pos="405"/>
        </w:tabs>
        <w:autoSpaceDE w:val="0"/>
        <w:autoSpaceDN w:val="0"/>
        <w:spacing w:after="0" w:line="240" w:lineRule="auto"/>
        <w:ind w:left="567"/>
        <w:jc w:val="both"/>
        <w:rPr>
          <w:i/>
          <w:iCs/>
          <w:sz w:val="20"/>
          <w:szCs w:val="18"/>
        </w:rPr>
      </w:pPr>
      <w:r>
        <w:t xml:space="preserve">„13. Uporaba uredbe, ki odstopa od drugega že obstoječega tehničnega predpisa, ki se nanaša na isti proizvod, za določen proizvod, kot je margarina, je tehnični predpis v smislu člena 1(5) Direktive, ker določa tehnične specifikacije v smislu člena 1(1), katerih upoštevanje je pravno ali dejansko obvezno, kadar se ta proizvod trži ali uporablja. Če se margarina ne proizvaja v skladu z določbami Margarinskega dekreta, se lahko proizvaja le z nadomestnimi proizvodi, odobrenimi s spornim odlokom. Ne le, da je uporaba teh nadomestnih proizvodov omejena s pogoji, določenimi v spornem odloku, ampak so ti proizvodi edina alternativa proizvodom, ki se lahko uporabljajo na podlagi Margarinskega dekreta. Sporni nalog bi bilo zato treba vročiti v skladu z direktivo.“</w:t>
      </w:r>
    </w:p>
    <w:p w14:paraId="3246D759" w14:textId="77777777">
      <w:pPr>
        <w:spacing w:after="0" w:line="240" w:lineRule="auto"/>
      </w:pPr>
    </w:p>
    <w:bookmarkStart w:id="19" w:name="_Hlk193381440"/>
    <w:p w14:paraId="62C03AFC" w14:textId="2795F956">
      <w:pPr>
        <w:pStyle w:val="P68B1DB1-P68B1DB1-Normal168"/>
        <w:widowControl w:val="0"/>
        <w:autoSpaceDE w:val="0"/>
        <w:autoSpaceDN w:val="0"/>
        <w:spacing w:after="0" w:line="240" w:lineRule="auto"/>
        <w:jc w:val="both"/>
        <w:outlineLvl w:val="1"/>
        <w:rPr>
          <w:b/>
          <w:bCs/>
          <w:i/>
          <w:iCs/>
          <w:sz w:val="22"/>
          <w:szCs w:val="18"/>
          <w:u w:val="single"/>
        </w:rPr>
      </w:pPr>
      <w:r>
        <w:rPr>
          <w:u w:val="single"/>
        </w:rPr>
        <w:fldChar w:fldCharType="begin"/>
      </w:r>
      <w:r>
        <w:rPr>
          <w:b/>
          <w:bCs/>
          <w:i/>
          <w:iCs/>
          <w:sz w:val="22"/>
          <w:szCs w:val="18"/>
          <w:u w:val="single"/>
        </w:rPr>
        <w:instrText>HYPERLINK "https://eur-lex.europa.eu/legal-content/EN/TXT/PDF/?uri=CELEX:61994CJ0194"</w:instrText>
      </w:r>
      <w:r>
        <w:rPr>
          <w:b/>
          <w:bCs/>
          <w:i/>
          <w:iCs/>
          <w:sz w:val="22"/>
          <w:szCs w:val="18"/>
          <w:u w:val="single"/>
        </w:rPr>
      </w:r>
      <w:r>
        <w:rPr>
          <w:b/>
          <w:bCs/>
          <w:i/>
          <w:iCs/>
          <w:sz w:val="22"/>
          <w:szCs w:val="18"/>
          <w:u w:val="single"/>
        </w:rPr>
        <w:fldChar w:fldCharType="separate"/>
      </w:r>
      <w:bookmarkStart w:id="20" w:name="_Toc198043789"/>
      <w:r>
        <w:rPr>
          <w:b/>
          <w:bCs/>
          <w:i/>
          <w:iCs/>
          <w:color w:val="0000FF"/>
          <w:sz w:val="22"/>
          <w:szCs w:val="18"/>
          <w:u w:val="single"/>
        </w:rPr>
        <w:t xml:space="preserve">Sodba z dne 30. aprila</w:t>
      </w:r>
      <w:r>
        <w:rPr>
          <w:b/>
          <w:bCs/>
          <w:i/>
          <w:iCs/>
          <w:color w:val="0000FF"/>
          <w:sz w:val="22"/>
          <w:szCs w:val="18"/>
          <w:u w:val="single"/>
        </w:rPr>
        <w:fldChar w:fldCharType="end"/>
        <w:t>1996</w:t>
      </w:r>
      <w:r>
        <w:t xml:space="preserve">, CIA Security International SA, C-194/94, EU:C:1996:172, točka 30.</w:t>
      </w:r>
      <w:bookmarkEnd w:id="20"/>
    </w:p>
    <w:p w14:paraId="03A3C49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B9B60A" w14:textId="77777777">
      <w:pPr>
        <w:pStyle w:val="P68B1DB1-P68B1DB1-Normal135"/>
        <w:widowControl w:val="0"/>
        <w:tabs>
          <w:tab w:val="left" w:pos="393"/>
        </w:tabs>
        <w:autoSpaceDE w:val="0"/>
        <w:autoSpaceDN w:val="0"/>
        <w:spacing w:after="0" w:line="240" w:lineRule="auto"/>
        <w:jc w:val="both"/>
        <w:rPr>
          <w:b w:val="0"/>
          <w:bCs/>
          <w:i w:val="0"/>
          <w:iCs/>
        </w:rPr>
      </w:pPr>
      <w:r>
        <w:t xml:space="preserve">Pravilo je treba opredeliti kot „tehnični predpis“, če od zadevnih podjetij zahteva, da zaprosijo za predhodno odobritev svoje opreme, tudi če predvideni upravni predpisi niso bili sprejeti.</w:t>
      </w:r>
    </w:p>
    <w:p w14:paraId="3B8967AA"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215AA9EB" w14:textId="10F7CC33">
      <w:pPr>
        <w:pStyle w:val="P68B1DB1-P68B1DB1-Normal147"/>
        <w:widowControl w:val="0"/>
        <w:tabs>
          <w:tab w:val="left" w:pos="396"/>
        </w:tabs>
        <w:autoSpaceDE w:val="0"/>
        <w:autoSpaceDN w:val="0"/>
        <w:spacing w:after="0" w:line="240" w:lineRule="auto"/>
        <w:ind w:left="567"/>
        <w:jc w:val="both"/>
        <w:rPr>
          <w:i/>
          <w:iCs/>
          <w:sz w:val="20"/>
          <w:szCs w:val="18"/>
        </w:rPr>
      </w:pPr>
      <w:r>
        <w:t>„30</w:t>
      </w:r>
      <w:bookmarkEnd w:id="19"/>
      <w:r>
        <w:t xml:space="preserve">. [...] pravilo je treba opredeliti kot tehnični predpis v smislu Direktive 83/189, če – kot je na obravnavi navedla belgijska vlada – od zadevnih podjetij zahteva, da zaprosijo za predhodno odobritev svoje opreme, tudi če predvideni upravni predpisi niso bili sprejeti.“</w:t>
      </w:r>
    </w:p>
    <w:p w14:paraId="2E3568F3" w14:textId="77777777">
      <w:pPr>
        <w:spacing w:after="0" w:line="240" w:lineRule="auto"/>
      </w:pPr>
    </w:p>
    <w:bookmarkStart w:id="21" w:name="_Hlk193380849"/>
    <w:p w14:paraId="5207FE2E" w14:textId="5E0891EF">
      <w:pPr>
        <w:pStyle w:val="P68B1DB1-P68B1DB1-Normal169"/>
        <w:widowControl w:val="0"/>
        <w:autoSpaceDE w:val="0"/>
        <w:autoSpaceDN w:val="0"/>
        <w:spacing w:after="0" w:line="240" w:lineRule="auto"/>
        <w:jc w:val="both"/>
        <w:outlineLvl w:val="1"/>
        <w:rPr>
          <w:b/>
          <w:bCs/>
          <w:i/>
          <w:iCs/>
          <w:sz w:val="24"/>
          <w:szCs w:val="20"/>
        </w:rPr>
      </w:pPr>
      <w:r>
        <w:fldChar w:fldCharType="begin"/>
      </w:r>
      <w:r>
        <w:rPr>
          <w:b/>
          <w:bCs/>
          <w:i/>
          <w:iCs/>
          <w:sz w:val="24"/>
          <w:szCs w:val="20"/>
        </w:rPr>
        <w:instrText>HYPERLINK "https://curia.europa.eu/juris/showPdf.jsf?text=&amp;docid=43725&amp;pageIndex=0&amp;doclang=EN&amp;mode=lst&amp;dir=&amp;occ=first&amp;part=1&amp;cid=10811412"</w:instrText>
      </w:r>
      <w:r>
        <w:rPr>
          <w:b/>
          <w:bCs/>
          <w:i/>
          <w:iCs/>
          <w:sz w:val="24"/>
          <w:szCs w:val="20"/>
        </w:rPr>
      </w:r>
      <w:r>
        <w:rPr>
          <w:b/>
          <w:bCs/>
          <w:i/>
          <w:iCs/>
          <w:sz w:val="24"/>
          <w:szCs w:val="20"/>
        </w:rPr>
        <w:fldChar w:fldCharType="separate"/>
      </w:r>
      <w:bookmarkStart w:id="22" w:name="_Toc198043790"/>
      <w:r>
        <w:rPr>
          <w:b/>
          <w:bCs/>
          <w:i/>
          <w:iCs/>
          <w:color w:val="0000FF"/>
          <w:sz w:val="24"/>
          <w:szCs w:val="20"/>
          <w:u w:val="single"/>
        </w:rPr>
        <w:t xml:space="preserve">Sodba z dne 16. septembra</w:t>
      </w:r>
      <w:r>
        <w:rPr>
          <w:b/>
          <w:bCs/>
          <w:i/>
          <w:iCs/>
          <w:color w:val="0000FF"/>
          <w:sz w:val="24"/>
          <w:szCs w:val="20"/>
          <w:u w:val="single"/>
        </w:rPr>
        <w:fldChar w:fldCharType="end"/>
        <w:t xml:space="preserve">1996, Komisija/Italija, C-279/94, EU:C:1997:396, točka 34.</w:t>
      </w:r>
      <w:bookmarkEnd w:id="22"/>
    </w:p>
    <w:p w14:paraId="17AF04A1"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305146C4" w14:textId="48041DD6">
      <w:pPr>
        <w:pStyle w:val="P68B1DB1-P68B1DB1-Normal135"/>
        <w:widowControl w:val="0"/>
        <w:tabs>
          <w:tab w:val="left" w:pos="396"/>
          <w:tab w:val="left" w:pos="461"/>
        </w:tabs>
        <w:autoSpaceDE w:val="0"/>
        <w:autoSpaceDN w:val="0"/>
        <w:spacing w:after="0" w:line="240" w:lineRule="auto"/>
        <w:jc w:val="both"/>
        <w:rPr>
          <w:b w:val="0"/>
          <w:bCs/>
          <w:i w:val="0"/>
          <w:iCs/>
        </w:rPr>
      </w:pPr>
      <w:r>
        <w:t xml:space="preserve">Določba, ki določa omejitve koncentracije vdihljivih azbestnih vlaken na delovnih mestih, ni „tehnična specifikacija“, saj ne opredeljuje zahtevanih značilnosti izdelka.</w:t>
      </w:r>
    </w:p>
    <w:bookmarkEnd w:id="21"/>
    <w:p w14:paraId="3914A279"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i/>
          <w:iCs/>
          <w:sz w:val="20"/>
          <w:szCs w:val="16"/>
        </w:rPr>
      </w:pPr>
    </w:p>
    <w:p w14:paraId="67A9CA8E" w14:textId="0D618384">
      <w:pPr>
        <w:pStyle w:val="P68B1DB1-P68B1DB1-Normal147"/>
        <w:widowControl w:val="0"/>
        <w:tabs>
          <w:tab w:val="left" w:pos="396"/>
          <w:tab w:val="left" w:pos="461"/>
        </w:tabs>
        <w:autoSpaceDE w:val="0"/>
        <w:autoSpaceDN w:val="0"/>
        <w:spacing w:after="0" w:line="240" w:lineRule="auto"/>
        <w:ind w:left="567"/>
        <w:jc w:val="both"/>
        <w:rPr>
          <w:i/>
          <w:iCs/>
          <w:sz w:val="20"/>
          <w:szCs w:val="18"/>
        </w:rPr>
      </w:pPr>
      <w:r>
        <w:t xml:space="preserve">„34. Vendar je treba v skladu s členom 1, točka 5, Direktive „tehnični predpis“ razumeti kot „tehnične specifikacije, vključno z ustreznimi upravnimi določbami, katerih upoštevanje je pravno ali dejansko obvezno pri trženju ali uporabi v državi članici“. V skladu s točko 1 člena 1 Direktive je „tehnična specifikacija“ specifikacija iz dokumenta, ki določa zahtevane značilnosti proizvoda, kot so raven kakovosti, zmogljivosti in varnosti. Člen 3(1) zakona št. 257/92 določa omejitve koncentracije azbestnih vlaken, ki jih je mogoče vdihniti, na delovnih mestih. Ker ta določba ne opredeljuje zahtevane lastnosti proizvoda, načeloma ne spada v opredelitev tehnične specifikacije in se zato ne more šteti za tehnični predpis, ki ga je treba priglasiti Komisiji v skladu s členom 8(1), prvi pododstavek, Direktive. Čeprav ima upoštevanje mejnih vrednosti koncentracij azbestnih vlaken, ki jih je mogoče vdihniti, iz člena 3 Zakona št. 257/92 lahko posledice za značilnosti zadevnega proizvoda, kot so določene v členu 1, točka 1, Direktive, Komisija ni dokazala, kako bi to lahko bilo.“</w:t>
      </w:r>
    </w:p>
    <w:p w14:paraId="77CC982D" w14:textId="77777777">
      <w:pPr>
        <w:spacing w:after="0" w:line="240" w:lineRule="auto"/>
      </w:pPr>
    </w:p>
    <w:p w14:paraId="7EF6FA71" w14:textId="696433A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7" w:history="1">
        <w:r>
          <w:rPr>
            <w:color w:val="0000FF"/>
            <w:u w:val="single"/>
          </w:rPr>
          <w:t xml:space="preserve">Sodba z dne 17. septembra 1996</w:t>
        </w:r>
      </w:hyperlink>
      <w:r>
        <w:t xml:space="preserve">, Komisija/Italija, C-289/94, EU:C:1996:330, točka 32.</w:t>
      </w:r>
      <w:bookmarkEnd w:id="23"/>
    </w:p>
    <w:p w14:paraId="63F2CA3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4459CD7" w14:textId="60F96DFC">
      <w:pPr>
        <w:pStyle w:val="P68B1DB1-P68B1DB1-Normal135"/>
        <w:widowControl w:val="0"/>
        <w:tabs>
          <w:tab w:val="left" w:pos="393"/>
          <w:tab w:val="left" w:pos="396"/>
        </w:tabs>
        <w:autoSpaceDE w:val="0"/>
        <w:autoSpaceDN w:val="0"/>
        <w:spacing w:after="0" w:line="240" w:lineRule="auto"/>
        <w:jc w:val="both"/>
        <w:rPr>
          <w:b w:val="0"/>
          <w:bCs/>
          <w:i w:val="0"/>
          <w:iCs/>
        </w:rPr>
      </w:pPr>
      <w:r>
        <w:t xml:space="preserve">Odlok, ki ureja kakovost vode, namenjene za gojenje mehkužcev, je „tehnični predpis“, ki ga je treba priglasiti, ker neposredno vpliva na trženje zadevnih proizvodov. </w:t>
      </w:r>
    </w:p>
    <w:p w14:paraId="2D9EC8A9"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3F84CC3E" w14:textId="06ABFE08">
      <w:pPr>
        <w:pStyle w:val="P68B1DB1-P68B1DB1-Normal147"/>
        <w:widowControl w:val="0"/>
        <w:tabs>
          <w:tab w:val="left" w:pos="393"/>
          <w:tab w:val="left" w:pos="396"/>
        </w:tabs>
        <w:autoSpaceDE w:val="0"/>
        <w:autoSpaceDN w:val="0"/>
        <w:spacing w:after="0" w:line="240" w:lineRule="auto"/>
        <w:ind w:left="567"/>
        <w:jc w:val="both"/>
        <w:rPr>
          <w:i/>
          <w:iCs/>
          <w:sz w:val="20"/>
          <w:szCs w:val="18"/>
        </w:rPr>
      </w:pPr>
      <w:r>
        <w:t xml:space="preserve">„32.  Čeprav se odlok št. 256 nanaša na nekatere vidike kakovosti voda, namenjenih za užitne mehkužce, vendar pa, kot je pravilno poudarila Komisija, vzpostavlja zelo tesno povezavo med kakovostjo voda, ki se uporabljajo za tako gojenje, in trženjem mehkužcev za prehrano ljudi. Tako se lahko tržijo le mehkužci, ki se gojijo v vodah, ki ustrezajo tehničnim specifikacijam, določenim z dekretom št. 256. Upoštevanje teh specifikacij, ki so zavezujoče, tako neposredno vpliva na trženje mehkužcev, tako da je treba dekret št. 256 šteti za tehnični predpis, za katerega velja obveznost priglasitve iz člena 8 Direktive 83/189.“</w:t>
      </w:r>
    </w:p>
    <w:p w14:paraId="649C3FFC" w14:textId="77777777">
      <w:pPr>
        <w:spacing w:after="0" w:line="240" w:lineRule="auto"/>
      </w:pPr>
    </w:p>
    <w:p w14:paraId="594FA21A" w14:textId="5BFD552E">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8" w:history="1">
        <w:r>
          <w:rPr>
            <w:color w:val="0000FF"/>
            <w:u w:val="single"/>
          </w:rPr>
          <w:t xml:space="preserve">Sodba z dne 11. maja 1999</w:t>
        </w:r>
      </w:hyperlink>
      <w:r>
        <w:t xml:space="preserve">, Albers in drugi, C-425/97 do 427/97, EU:C:1999:243, točki 16 in 17.</w:t>
      </w:r>
      <w:bookmarkEnd w:id="24"/>
    </w:p>
    <w:p w14:paraId="5F0AAD7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7AC9467" w14:textId="6F183D52">
      <w:pPr>
        <w:pStyle w:val="P68B1DB1-P68B1DB1-Normal135"/>
        <w:widowControl w:val="0"/>
        <w:tabs>
          <w:tab w:val="left" w:pos="403"/>
        </w:tabs>
        <w:autoSpaceDE w:val="0"/>
        <w:autoSpaceDN w:val="0"/>
        <w:spacing w:after="0" w:line="240" w:lineRule="auto"/>
        <w:jc w:val="both"/>
        <w:rPr>
          <w:b w:val="0"/>
          <w:bCs/>
          <w:i w:val="0"/>
          <w:iCs/>
        </w:rPr>
      </w:pPr>
      <w:r>
        <w:t xml:space="preserve">Pravila, ki prepovedujejo dajanje nekaterih zdravil govedu, so „tehnične specifikacije“, saj opredeljujejo načine proizvodnje kmetijskih proizvodov.</w:t>
      </w:r>
    </w:p>
    <w:p w14:paraId="72C610C7"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337E8892" w14:textId="77777777">
      <w:pPr>
        <w:pStyle w:val="P68B1DB1-P68B1DB1-Normal147"/>
        <w:widowControl w:val="0"/>
        <w:tabs>
          <w:tab w:val="left" w:pos="403"/>
        </w:tabs>
        <w:autoSpaceDE w:val="0"/>
        <w:autoSpaceDN w:val="0"/>
        <w:spacing w:after="0"/>
        <w:ind w:left="567"/>
        <w:jc w:val="both"/>
        <w:rPr>
          <w:i/>
          <w:iCs/>
          <w:sz w:val="20"/>
          <w:szCs w:val="18"/>
        </w:rPr>
      </w:pPr>
      <w:r>
        <w:t xml:space="preserve">„16. [...] ureditev, katere namen je, tako kot v obravnavani zadevi, preprečiti dajanje simpatimimetičnih snovi za pitanje goveda, starejšega od 14 tednov, je tehnična specifikacija v smislu člena 1(1) Direktive 83/189.</w:t>
      </w:r>
    </w:p>
    <w:p w14:paraId="184A20A2" w14:textId="77777777">
      <w:pPr>
        <w:pStyle w:val="P68B1DB1-Normal14"/>
        <w:widowControl w:val="0"/>
        <w:tabs>
          <w:tab w:val="left" w:pos="403"/>
        </w:tabs>
        <w:autoSpaceDE w:val="0"/>
        <w:autoSpaceDN w:val="0"/>
        <w:spacing w:after="0"/>
        <w:ind w:left="567"/>
        <w:jc w:val="both"/>
        <w:rPr>
          <w:i/>
          <w:iCs/>
          <w:sz w:val="20"/>
          <w:szCs w:val="18"/>
        </w:rPr>
      </w:pPr>
    </w:p>
    <w:p w14:paraId="6ED2A74A" w14:textId="77777777">
      <w:pPr>
        <w:pStyle w:val="P68B1DB1-P68B1DB1-Normal147"/>
        <w:widowControl w:val="0"/>
        <w:tabs>
          <w:tab w:val="left" w:pos="403"/>
        </w:tabs>
        <w:autoSpaceDE w:val="0"/>
        <w:autoSpaceDN w:val="0"/>
        <w:spacing w:after="0"/>
        <w:ind w:left="567"/>
        <w:jc w:val="both"/>
        <w:rPr>
          <w:i/>
          <w:iCs/>
          <w:sz w:val="20"/>
          <w:szCs w:val="18"/>
        </w:rPr>
      </w:pPr>
      <w:r>
        <w:t xml:space="preserve">17. Ta pravila opredeljujejo proizvodne metode in postopke za kmetijske proizvode, kakor so opredeljeni v členu 38(1) Pogodbe ES (po spremembi postal člen 32(1) ES), ki so namenjeni prehrani ljudi.“</w:t>
      </w:r>
    </w:p>
    <w:p w14:paraId="2268A3D1" w14:textId="77777777">
      <w:pPr>
        <w:pStyle w:val="P68B1DB1-Normal14"/>
        <w:widowControl w:val="0"/>
        <w:tabs>
          <w:tab w:val="left" w:pos="403"/>
        </w:tabs>
        <w:autoSpaceDE w:val="0"/>
        <w:autoSpaceDN w:val="0"/>
        <w:spacing w:after="0" w:line="240" w:lineRule="auto"/>
        <w:ind w:left="567"/>
        <w:jc w:val="both"/>
      </w:pPr>
    </w:p>
    <w:p w14:paraId="23614BFD" w14:textId="3A1567C1">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9" w:history="1">
        <w:r>
          <w:rPr>
            <w:color w:val="0000FF"/>
            <w:u w:val="single"/>
          </w:rPr>
          <w:t xml:space="preserve">Sodba z dne 22. januarja 2000</w:t>
        </w:r>
      </w:hyperlink>
      <w:r>
        <w:t xml:space="preserve">, Canal Satélite Digital, C-390/99, EU:C:2002:34, točke od 45 do 47.</w:t>
      </w:r>
      <w:bookmarkEnd w:id="25"/>
    </w:p>
    <w:p w14:paraId="66ACF23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3D40E02" w14:textId="3EBC10F3">
      <w:pPr>
        <w:pStyle w:val="P68B1DB1-P68B1DB1-Normal135"/>
        <w:widowControl w:val="0"/>
        <w:tabs>
          <w:tab w:val="left" w:pos="396"/>
          <w:tab w:val="left" w:pos="405"/>
        </w:tabs>
        <w:autoSpaceDE w:val="0"/>
        <w:autoSpaceDN w:val="0"/>
        <w:spacing w:after="0" w:line="240" w:lineRule="auto"/>
        <w:jc w:val="both"/>
        <w:rPr>
          <w:b w:val="0"/>
          <w:bCs/>
          <w:i w:val="0"/>
          <w:iCs/>
        </w:rPr>
      </w:pPr>
      <w:r>
        <w:t xml:space="preserve">Nacionalni predpis, ki zahteva predhodno registracijo in certificiranje opreme za digitalni prenos in sprejem satelitskih televizijskih signalov pred trženjem, je „tehnični predpis“, ker opredeljuje značilnosti zadevnih proizvodov. </w:t>
      </w:r>
    </w:p>
    <w:p w14:paraId="492A0BC9"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6D130C89" w14:textId="373E8FE6">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„45. [...] Sodišče je že razsodilo, da nacionalne določbe, ki določajo le pogoje za ustanovitev podjetij, kot so določbe, ki opravljanje dejavnosti pogojujejo s predhodnim dovoljenjem, niso tehnični predpisi v smislu člena 1, točka 9, Direktive 83/189. Tehnični predpisi v smislu te določbe so specifikacije, ki opredeljujejo značilnosti proizvodov, in ne specifikacij, ki se nanašajo na gospodarske subjekte (sodbe z dne 10. marca 1996 v zadevi CIA Security, C-194/94, Recueil, str. I-2201, točka 25; Zadeva C-278/99, Van der Burg, Recueil 2001, str. I-2015, točka 20).</w:t>
      </w:r>
    </w:p>
    <w:p w14:paraId="0ED4E0E7"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17C4BE95"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46. Vendar je treba nacionalno določbo opredeliti kot tehnični predpis v smislu člena 1, točka 9, Direktive 83/189, če od zadevnih podjetij zahteva, da zaprosijo za predhodno odobritev svoje opreme (zgoraj navedena sodba CIA Security, točka 30).</w:t>
      </w:r>
    </w:p>
    <w:p w14:paraId="71D02A99"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59FF32EE"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47. Iz tega sledi, da nacionalna ureditev, ki operaterjem storitev s pogojnim dostopom nalaga, da vnesejo opremo, sprejemnike ali sisteme za digitalni prenos in sprejemanje televizijskih signalov po satelitu, ki jih nameravajo tržiti v registru, in da pridobijo predhodno certifikacijo za te proizvode, preden jih lahko tržijo, pomeni,tehnični predpis‘ v smislu člena 1, točka 9, Direktive 83/189.“</w:t>
      </w:r>
    </w:p>
    <w:p w14:paraId="2E51BE56" w14:textId="77777777">
      <w:pPr>
        <w:spacing w:after="0" w:line="240" w:lineRule="auto"/>
      </w:pPr>
    </w:p>
    <w:p w14:paraId="10FFB5F9" w14:textId="668B4B2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0" w:history="1">
        <w:r>
          <w:rPr>
            <w:color w:val="0000FF"/>
            <w:u w:val="single"/>
          </w:rPr>
          <w:t xml:space="preserve">Sodba z dne 26. septembra 2000</w:t>
        </w:r>
      </w:hyperlink>
      <w:r>
        <w:t xml:space="preserve">, Unilever Italia, C-443/98, EU:C:2000:496, točki 25 in 26.</w:t>
      </w:r>
      <w:bookmarkEnd w:id="26"/>
    </w:p>
    <w:p w14:paraId="3CF4C4E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33D680" w14:textId="360C593C">
      <w:pPr>
        <w:pStyle w:val="P68B1DB1-P68B1DB1-Normal135"/>
        <w:widowControl w:val="0"/>
        <w:autoSpaceDE w:val="0"/>
        <w:autoSpaceDN w:val="0"/>
        <w:spacing w:after="0" w:line="240" w:lineRule="auto"/>
        <w:jc w:val="both"/>
        <w:rPr>
          <w:b w:val="0"/>
          <w:bCs/>
          <w:i w:val="0"/>
          <w:iCs/>
        </w:rPr>
      </w:pPr>
      <w:r>
        <w:t xml:space="preserve">Določba o označevanju porekla oljčnega olja je „tehnična specifikacija“, saj gre za zahtevo, ki ureja označevanje proizvoda.</w:t>
      </w:r>
    </w:p>
    <w:p w14:paraId="00B89F88" w14:textId="77777777">
      <w:pPr>
        <w:widowControl w:val="0"/>
        <w:autoSpaceDE w:val="0"/>
        <w:autoSpaceDN w:val="0"/>
        <w:spacing w:after="0" w:line="240" w:lineRule="auto"/>
        <w:jc w:val="both"/>
        <w:rPr>
          <w:rFonts w:ascii="Times New Roman" w:hAnsi="Times New Roman" w:cs="Times New Roman" w:eastAsia="Times New Roman"/>
          <w:szCs w:val="20"/>
        </w:rPr>
      </w:pPr>
    </w:p>
    <w:p w14:paraId="45CCCC45" w14:textId="77777777">
      <w:pPr>
        <w:pStyle w:val="P68B1DB1-P68B1DB1-Normal147"/>
        <w:widowControl w:val="0"/>
        <w:autoSpaceDE w:val="0"/>
        <w:autoSpaceDN w:val="0"/>
        <w:spacing w:after="0"/>
        <w:ind w:left="567"/>
        <w:jc w:val="both"/>
        <w:rPr>
          <w:i/>
          <w:iCs/>
          <w:sz w:val="20"/>
          <w:szCs w:val="18"/>
        </w:rPr>
      </w:pPr>
      <w:r>
        <w:t xml:space="preserve">„25. V zvezi s tem zadostuje opozoriti, da Direktiva 83/189 v skladu s členom 1(1) kot „proizvode“ šteje tako industrijske kot kmetijske proizvode in da v skladu z odstavkom 2 istega člena Direktiva 83/189 kot „tehnično specifikacijo“ obravnava vsako specifikacijo v dokumentu, ki določa zahtevane značilnosti proizvoda, vključno z zahtevami, ki veljajo za proizvod glede označevanja. Nacionalni predpisi, ki vsebujejo take specifikacije, so tehnične specifikacije v smislu Direktive 83/189 ne glede na razloge, zaradi katerih so bile sprejete (glej v tem smislu sodbo z dne 17. marca 1997 v zadevi Bic Benelux proti Belgiji, C-13/96, Recueil, str. I-1753, točka 19).</w:t>
      </w:r>
    </w:p>
    <w:p w14:paraId="5CC53ED2" w14:textId="77777777">
      <w:pPr>
        <w:pStyle w:val="P68B1DB1-Normal14"/>
        <w:widowControl w:val="0"/>
        <w:autoSpaceDE w:val="0"/>
        <w:autoSpaceDN w:val="0"/>
        <w:spacing w:after="0"/>
        <w:ind w:left="567"/>
        <w:jc w:val="both"/>
        <w:rPr>
          <w:i/>
          <w:iCs/>
          <w:sz w:val="20"/>
          <w:szCs w:val="18"/>
        </w:rPr>
      </w:pPr>
    </w:p>
    <w:p w14:paraId="1607D5BC" w14:textId="596CB8C6">
      <w:pPr>
        <w:pStyle w:val="P68B1DB1-P68B1DB1-Normal147"/>
        <w:widowControl w:val="0"/>
        <w:autoSpaceDE w:val="0"/>
        <w:autoSpaceDN w:val="0"/>
        <w:spacing w:after="0"/>
        <w:ind w:left="567"/>
        <w:jc w:val="both"/>
        <w:rPr>
          <w:i/>
          <w:iCs/>
          <w:sz w:val="20"/>
          <w:szCs w:val="18"/>
        </w:rPr>
      </w:pPr>
      <w:r>
        <w:t xml:space="preserve">26. Tako izpodbijani zakon, ki ureja označevanje porekla oljčnega olja, vsebuje pravila, ki jih je treba opredeliti kot ‚tehnične specifikacije‘ v smislu Direktive 83/189.“</w:t>
      </w:r>
    </w:p>
    <w:p w14:paraId="459F3FCC" w14:textId="77777777">
      <w:pPr>
        <w:spacing w:after="0" w:line="240" w:lineRule="auto"/>
      </w:pPr>
    </w:p>
    <w:p w14:paraId="095F5F49" w14:textId="2E38BF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1" w:history="1">
        <w:r>
          <w:rPr>
            <w:color w:val="0000FF"/>
            <w:u w:val="single"/>
          </w:rPr>
          <w:t xml:space="preserve">Sodba z dne 12. oktobra 2000</w:t>
        </w:r>
      </w:hyperlink>
      <w:r>
        <w:t xml:space="preserve">, Snellers, C-314/98, EU:C:2000:557, točke od 37 do 39.</w:t>
      </w:r>
      <w:bookmarkEnd w:id="27"/>
    </w:p>
    <w:p w14:paraId="2AD735C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FFCEA8D" w14:textId="2B0D93B0">
      <w:pPr>
        <w:widowControl w:val="0"/>
        <w:tabs>
          <w:tab w:val="left" w:pos="403"/>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„Tehnična specifikacija“ se mora nanašati na proizvod kot tak. Uredba, ki določa merila za določitev datuma, na katerega se za namene izdaje potrdila o registraciji šteje, da je vozilo prvič pridobilo dovoljenje za vožnjo po javnih cestah, ne opredeljuje nobene značilnosti, ki se zahteva za sam proizvod, in je zato ni mogoče opredeliti kot „tehnični predpis“.</w:t>
      </w:r>
    </w:p>
    <w:p w14:paraId="4B51E0FD"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64BEEE86" w14:textId="77777777">
      <w:pPr>
        <w:pStyle w:val="P68B1DB1-P68B1DB1-Normal147"/>
        <w:widowControl w:val="0"/>
        <w:tabs>
          <w:tab w:val="left" w:pos="403"/>
        </w:tabs>
        <w:autoSpaceDE w:val="0"/>
        <w:autoSpaceDN w:val="0"/>
        <w:spacing w:after="0"/>
        <w:ind w:left="567"/>
        <w:jc w:val="both"/>
        <w:rPr>
          <w:i/>
          <w:iCs/>
          <w:sz w:val="20"/>
          <w:szCs w:val="18"/>
        </w:rPr>
      </w:pPr>
      <w:r>
        <w:t xml:space="preserve">„37. [...] pravila, ki so, tako kot ta iz postopka v glavni stvari, namenjena določitvi datuma, ko je vozilo prvič dovoljeno za uporabo na javnih cestah, niso tehnične specifikacije v smislu Direktive 83/189 in jih zato ni mogoče opredeliti kot tehnične predpise, ki spadajo na področje uporabe te direktive.</w:t>
      </w:r>
    </w:p>
    <w:p w14:paraId="0BD17994" w14:textId="77777777">
      <w:pPr>
        <w:pStyle w:val="P68B1DB1-Normal14"/>
        <w:widowControl w:val="0"/>
        <w:tabs>
          <w:tab w:val="left" w:pos="403"/>
        </w:tabs>
        <w:autoSpaceDE w:val="0"/>
        <w:autoSpaceDN w:val="0"/>
        <w:spacing w:after="0"/>
        <w:ind w:left="567"/>
        <w:jc w:val="both"/>
        <w:rPr>
          <w:i/>
          <w:iCs/>
          <w:sz w:val="20"/>
          <w:szCs w:val="18"/>
        </w:rPr>
      </w:pPr>
    </w:p>
    <w:p w14:paraId="7E31CFA5" w14:textId="094AFB8A">
      <w:pPr>
        <w:pStyle w:val="P68B1DB1-P68B1DB1-Normal147"/>
        <w:widowControl w:val="0"/>
        <w:tabs>
          <w:tab w:val="left" w:pos="403"/>
        </w:tabs>
        <w:autoSpaceDE w:val="0"/>
        <w:autoSpaceDN w:val="0"/>
        <w:spacing w:after="0"/>
        <w:ind w:left="567"/>
        <w:jc w:val="both"/>
        <w:rPr>
          <w:i/>
          <w:iCs/>
          <w:sz w:val="20"/>
          <w:szCs w:val="18"/>
        </w:rPr>
      </w:pPr>
      <w:r>
        <w:t xml:space="preserve">38. Člen 1(1) Direktive 83/189 določa, da je za proizvode, kakršni so ti v postopku v glavni stvari, tehnična specifikacija v smislu te direktive „specifikacija, vsebovana v dokumentu, ki določa zahtevane značilnosti proizvoda. Tehnične specifikacije za namene Direktive 83/189 se morajo torej nanašati na proizvod kot tak; to je poleg tega potrjeno z neizčrpnim seznamom zadevnih specifikacij, ki je kot primer naveden v členu 1(1) te direktive.</w:t>
      </w:r>
    </w:p>
    <w:p w14:paraId="231677E0" w14:textId="77777777">
      <w:pPr>
        <w:pStyle w:val="P68B1DB1-Normal14"/>
        <w:widowControl w:val="0"/>
        <w:tabs>
          <w:tab w:val="left" w:pos="403"/>
        </w:tabs>
        <w:autoSpaceDE w:val="0"/>
        <w:autoSpaceDN w:val="0"/>
        <w:spacing w:after="0"/>
        <w:ind w:left="567"/>
        <w:jc w:val="both"/>
        <w:rPr>
          <w:i/>
          <w:iCs/>
          <w:sz w:val="20"/>
          <w:szCs w:val="18"/>
        </w:rPr>
      </w:pPr>
    </w:p>
    <w:p w14:paraId="57F7E593" w14:textId="77777777">
      <w:pPr>
        <w:pStyle w:val="P68B1DB1-P68B1DB1-Normal147"/>
        <w:widowControl w:val="0"/>
        <w:tabs>
          <w:tab w:val="left" w:pos="403"/>
        </w:tabs>
        <w:autoSpaceDE w:val="0"/>
        <w:autoSpaceDN w:val="0"/>
        <w:spacing w:after="0"/>
        <w:ind w:left="567"/>
        <w:jc w:val="both"/>
        <w:rPr>
          <w:i/>
          <w:iCs/>
          <w:sz w:val="20"/>
          <w:szCs w:val="18"/>
        </w:rPr>
      </w:pPr>
      <w:r>
        <w:t xml:space="preserve">39. Uredba določa več meril za določitev datuma, na katerega se šteje, da je bilo vozilo v smislu zakona Wegenverkeerswet prvič odobreno za uporabo javne ceste za namene izdaje potrdila o registraciji. Uredba torej ne opredeljuje nobene značilnosti, ki se zahteva za proizvod kot tak.“</w:t>
      </w:r>
    </w:p>
    <w:p w14:paraId="5C2F2353" w14:textId="77777777">
      <w:pPr>
        <w:spacing w:after="0" w:line="240" w:lineRule="auto"/>
      </w:pPr>
    </w:p>
    <w:p w14:paraId="176B08B6" w14:textId="7FC0C14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22" w:history="1">
        <w:r>
          <w:rPr>
            <w:rStyle w:val="Hyperlink"/>
            <w:rFonts w:ascii="Times New Roman" w:hAnsi="Times New Roman" w:cs="Times New Roman" w:eastAsia="Times New Roman"/>
            <w:b/>
            <w:i/>
            <w:color w:val="0000FF"/>
            <w:szCs w:val="20"/>
          </w:rPr>
          <w:t xml:space="preserve">Sodba z dne 16. novembra 2000</w:t>
        </w:r>
      </w:hyperlink>
      <w:r>
        <w:rPr>
          <w:rFonts w:ascii="Times New Roman" w:hAnsi="Times New Roman" w:cs="Times New Roman" w:eastAsia="Times New Roman"/>
          <w:b/>
          <w:i/>
          <w:szCs w:val="20"/>
        </w:rPr>
        <w:t xml:space="preserve">, Donkersteeg, C-37/99, EU:C:2000:636, točki 30 in 31.</w:t>
      </w:r>
      <w:bookmarkEnd w:id="28"/>
    </w:p>
    <w:p w14:paraId="0039F4A1" w14:textId="77777777">
      <w:pPr>
        <w:widowControl w:val="0"/>
        <w:autoSpaceDE w:val="0"/>
        <w:autoSpaceDN w:val="0"/>
        <w:spacing w:after="0" w:line="240" w:lineRule="auto"/>
        <w:jc w:val="both"/>
        <w:rPr>
          <w:rFonts w:ascii="Times New Roman" w:hAnsi="Times New Roman" w:cs="Times New Roman" w:eastAsia="Times New Roman"/>
          <w:szCs w:val="20"/>
        </w:rPr>
      </w:pPr>
    </w:p>
    <w:p w14:paraId="4A6A750B" w14:textId="411010F6">
      <w:pPr>
        <w:pStyle w:val="P68B1DB1-P68B1DB1-Normal135"/>
        <w:widowControl w:val="0"/>
        <w:autoSpaceDE w:val="0"/>
        <w:autoSpaceDN w:val="0"/>
        <w:spacing w:after="0" w:line="240" w:lineRule="auto"/>
        <w:jc w:val="both"/>
        <w:rPr>
          <w:b w:val="0"/>
          <w:bCs/>
          <w:i w:val="0"/>
          <w:iCs/>
        </w:rPr>
      </w:pPr>
      <w:r>
        <w:t xml:space="preserve">Za kmetijske proizvode je „tehnična specifikacija“ besedilo, ki opredeljuje njihove zahtevane značilnosti ali proizvodne metode. Pravilo, ki določa pogoje za cepljenje živine, je pravilo proizvodnje in torej „tehnična specifikacija“. </w:t>
      </w:r>
    </w:p>
    <w:p w14:paraId="7118F572" w14:textId="77777777">
      <w:pPr>
        <w:widowControl w:val="0"/>
        <w:autoSpaceDE w:val="0"/>
        <w:autoSpaceDN w:val="0"/>
        <w:spacing w:after="0" w:line="240" w:lineRule="auto"/>
        <w:jc w:val="both"/>
        <w:rPr>
          <w:rFonts w:ascii="Times New Roman" w:hAnsi="Times New Roman" w:cs="Times New Roman" w:eastAsia="Times New Roman"/>
          <w:szCs w:val="20"/>
        </w:rPr>
      </w:pPr>
    </w:p>
    <w:p w14:paraId="658D0575" w14:textId="77777777">
      <w:pPr>
        <w:pStyle w:val="P68B1DB1-P68B1DB1-Normal147"/>
        <w:widowControl w:val="0"/>
        <w:autoSpaceDE w:val="0"/>
        <w:autoSpaceDN w:val="0"/>
        <w:spacing w:after="0" w:line="240" w:lineRule="auto"/>
        <w:ind w:left="567"/>
        <w:jc w:val="both"/>
        <w:rPr>
          <w:i/>
          <w:iCs/>
          <w:sz w:val="20"/>
          <w:szCs w:val="18"/>
        </w:rPr>
      </w:pPr>
      <w:r>
        <w:t xml:space="preserve">„30. Kot je bilo opozorjeno v točki 20 te sodbe, je v skladu s členom 1(1) Direktive, kar zadeva kmetijske proizvode, „tehnična specifikacija“ vsebovana v dokumentu, ki določa zahtevane značilnosti proizvoda ali njegove proizvodne metode in postopke.</w:t>
      </w:r>
    </w:p>
    <w:p w14:paraId="6E173AD5" w14:textId="77777777">
      <w:pPr>
        <w:pStyle w:val="P68B1DB1-Normal14"/>
        <w:widowControl w:val="0"/>
        <w:autoSpaceDE w:val="0"/>
        <w:autoSpaceDN w:val="0"/>
        <w:spacing w:after="0" w:line="240" w:lineRule="auto"/>
        <w:ind w:left="567"/>
        <w:jc w:val="both"/>
        <w:rPr>
          <w:i/>
          <w:iCs/>
          <w:sz w:val="20"/>
          <w:szCs w:val="18"/>
        </w:rPr>
      </w:pPr>
    </w:p>
    <w:p w14:paraId="0C38FBB6" w14:textId="77777777">
      <w:pPr>
        <w:pStyle w:val="P68B1DB1-P68B1DB1-Normal147"/>
        <w:widowControl w:val="0"/>
        <w:autoSpaceDE w:val="0"/>
        <w:autoSpaceDN w:val="0"/>
        <w:spacing w:after="0" w:line="240" w:lineRule="auto"/>
        <w:ind w:left="567"/>
        <w:jc w:val="both"/>
        <w:rPr>
          <w:i/>
          <w:iCs/>
          <w:sz w:val="20"/>
          <w:szCs w:val="18"/>
        </w:rPr>
      </w:pPr>
      <w:r>
        <w:t xml:space="preserve">31. Pravilo, kakršno vsebuje člen 2(1) VBZA, je tehnična specifikacija v smislu člena 1(1) Direktive. Kot pravilno trdi Komisija, ker so natančna in podrobna pravila cepljenja proti bolezni Aujeszkega povezana s proizvodnjo zadevnega kmetijskega proizvoda v pravem pomenu besede in jih je treba upoštevati v celotnem proizvodnem ciklu, to pravilo torej opredeljuje „postopek“ proizvodnje tega proizvoda.“</w:t>
      </w:r>
    </w:p>
    <w:p w14:paraId="011D3230" w14:textId="77777777">
      <w:pPr>
        <w:spacing w:after="0" w:line="240" w:lineRule="auto"/>
      </w:pPr>
    </w:p>
    <w:p w14:paraId="581B1056" w14:textId="6342E1F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3" w:history="1">
        <w:r>
          <w:rPr>
            <w:color w:val="0000FF"/>
            <w:u w:val="single"/>
          </w:rPr>
          <w:t xml:space="preserve">Sodba z dne 8. marca 2001</w:t>
        </w:r>
      </w:hyperlink>
      <w:r>
        <w:t xml:space="preserve">, Van der Burg, C-278/99, EU:C:2001:143, točka 20.</w:t>
      </w:r>
      <w:bookmarkEnd w:id="29"/>
    </w:p>
    <w:p w14:paraId="214E963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EE5EBFC" w14:textId="4A41B3F9">
      <w:pPr>
        <w:pStyle w:val="P68B1DB1-P68B1DB1-Normal135"/>
        <w:widowControl w:val="0"/>
        <w:tabs>
          <w:tab w:val="left" w:pos="461"/>
        </w:tabs>
        <w:autoSpaceDE w:val="0"/>
        <w:autoSpaceDN w:val="0"/>
        <w:spacing w:after="0" w:line="240" w:lineRule="auto"/>
        <w:jc w:val="both"/>
        <w:rPr>
          <w:b w:val="0"/>
          <w:bCs/>
          <w:i w:val="0"/>
          <w:iCs/>
        </w:rPr>
      </w:pPr>
      <w:r>
        <w:t xml:space="preserve">Uredba, ki prepoveduje le komercialno oglaševanje, vendar ne določa zahtevanih značilnosti proizvoda, ni „tehnična specifikacija“ in je zato ni mogoče šteti za „tehnični predpis“.</w:t>
      </w:r>
    </w:p>
    <w:p w14:paraId="359B163D" w14:textId="77777777">
      <w:pPr>
        <w:widowControl w:val="0"/>
        <w:tabs>
          <w:tab w:val="left" w:pos="461"/>
        </w:tabs>
        <w:autoSpaceDE w:val="0"/>
        <w:autoSpaceDN w:val="0"/>
        <w:spacing w:after="0" w:line="240" w:lineRule="auto"/>
        <w:jc w:val="both"/>
        <w:rPr>
          <w:rFonts w:ascii="Times New Roman" w:hAnsi="Times New Roman" w:cs="Times New Roman" w:eastAsia="Times New Roman"/>
          <w:szCs w:val="20"/>
        </w:rPr>
      </w:pPr>
    </w:p>
    <w:p w14:paraId="19B0E706" w14:textId="76232F90">
      <w:pPr>
        <w:pStyle w:val="P68B1DB1-P68B1DB1-Normal1710"/>
        <w:widowControl w:val="0"/>
        <w:tabs>
          <w:tab w:val="left" w:pos="461"/>
        </w:tabs>
        <w:autoSpaceDE w:val="0"/>
        <w:autoSpaceDN w:val="0"/>
        <w:spacing w:after="0" w:line="240" w:lineRule="auto"/>
        <w:ind w:left="567"/>
        <w:jc w:val="both"/>
        <w:rPr>
          <w:i/>
          <w:iCs/>
          <w:sz w:val="20"/>
          <w:szCs w:val="18"/>
        </w:rPr>
      </w:pPr>
      <w:r>
        <w:t xml:space="preserve">„20. [...] V skladu s členom 1(1) Direktive 83/189 je za namene te direktive „tehnična specifikacija“ specifikacija, vsebovana v dokumentu, ki določa zahtevane značilnosti proizvoda. Tehnične specifikacije v smislu Direktive 83/189 se morajo torej nanašati na proizvod kot tak (glej sodbo z dne 8. julija 2000 v zadevi Snellers Auto’s proti Algemeen Directeur van de Dienst Wegverkeer, C-314/98, Recueil, str. I-0000, točka 38). Vendar zakonodaja, kot je člen C.11.1(1) Uredbe, ki zgolj prepoveduje način trženja, ne določa zahtevanih značilnosti proizvoda.“</w:t>
      </w:r>
    </w:p>
    <w:p w14:paraId="329B81E2" w14:textId="77777777">
      <w:pPr>
        <w:spacing w:after="0" w:line="240" w:lineRule="auto"/>
      </w:pPr>
    </w:p>
    <w:p w14:paraId="12D2977E" w14:textId="6E30277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4" w:history="1">
        <w:r>
          <w:rPr>
            <w:color w:val="0000FF"/>
            <w:u w:val="single"/>
          </w:rPr>
          <w:t xml:space="preserve">Sodba z dne 6. junija 2002</w:t>
        </w:r>
      </w:hyperlink>
      <w:r>
        <w:t xml:space="preserve">, Sapod Audic, C-159/00, EU:C:2002:343, točke od 30 do 33.</w:t>
      </w:r>
      <w:bookmarkEnd w:id="30"/>
    </w:p>
    <w:p w14:paraId="340A6E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4A7B62" w14:textId="77777777">
      <w:pPr>
        <w:pStyle w:val="P68B1DB1-P68B1DB1-Normal135"/>
        <w:widowControl w:val="0"/>
        <w:tabs>
          <w:tab w:val="left" w:pos="443"/>
        </w:tabs>
        <w:autoSpaceDE w:val="0"/>
        <w:autoSpaceDN w:val="0"/>
        <w:spacing w:after="0" w:line="240" w:lineRule="auto"/>
        <w:jc w:val="both"/>
        <w:rPr>
          <w:b w:val="0"/>
          <w:bCs/>
          <w:i w:val="0"/>
          <w:iCs/>
        </w:rPr>
      </w:pPr>
      <w:r>
        <w:t xml:space="preserve">Določba nacionalnega prava, ki določa obveznost identifikacije embalaže, je „tehnični predpis“, ki ga je treba priglasiti, ker vključuje obveznost označevanja ali označevanja te embalaže.</w:t>
      </w:r>
    </w:p>
    <w:p w14:paraId="376C1334" w14:textId="77777777">
      <w:pPr>
        <w:widowControl w:val="0"/>
        <w:tabs>
          <w:tab w:val="left" w:pos="443"/>
        </w:tabs>
        <w:autoSpaceDE w:val="0"/>
        <w:autoSpaceDN w:val="0"/>
        <w:spacing w:after="0" w:line="240" w:lineRule="auto"/>
        <w:jc w:val="both"/>
        <w:rPr>
          <w:rFonts w:ascii="Times New Roman" w:hAnsi="Times New Roman" w:cs="Times New Roman" w:eastAsia="Times New Roman"/>
          <w:szCs w:val="20"/>
        </w:rPr>
      </w:pPr>
    </w:p>
    <w:p w14:paraId="482978FF" w14:textId="77777777">
      <w:pPr>
        <w:pStyle w:val="P68B1DB1-P68B1DB1-Normal147"/>
        <w:widowControl w:val="0"/>
        <w:tabs>
          <w:tab w:val="left" w:pos="443"/>
        </w:tabs>
        <w:autoSpaceDE w:val="0"/>
        <w:autoSpaceDN w:val="0"/>
        <w:spacing w:after="0"/>
        <w:ind w:left="567"/>
        <w:jc w:val="both"/>
        <w:rPr>
          <w:i/>
          <w:iCs/>
          <w:sz w:val="20"/>
          <w:szCs w:val="18"/>
        </w:rPr>
      </w:pPr>
      <w:r>
        <w:t xml:space="preserve">„30. Ker se zdi, da obveznost identifikacije embalaže, določena v členu 4, drugi odstavek, dekreta št. 92–377, ne pomeni obveznosti označevanja ali etiketiranja te embalaže, se zdi, da se ta obveznost ne nanaša nujno na proizvod ali njegovo embalažo kot tako. Če se razlaga tako, ni mogoče reči, da ta določba določa zahtevane lastnosti proizvoda v smislu člena 1(1) Direktive 83/189 in da je zato ni mogoče šteti za tehnično specifikacijo (glej zlasti sodbo z dne 12. julija 2001 v zadevi Van der Burg, C-278/99, Recueil, str. I-2015, točka 20).</w:t>
      </w:r>
    </w:p>
    <w:p w14:paraId="7A13B6EF" w14:textId="77777777">
      <w:pPr>
        <w:pStyle w:val="P68B1DB1-Normal14"/>
        <w:widowControl w:val="0"/>
        <w:tabs>
          <w:tab w:val="left" w:pos="443"/>
        </w:tabs>
        <w:autoSpaceDE w:val="0"/>
        <w:autoSpaceDN w:val="0"/>
        <w:spacing w:after="0"/>
        <w:ind w:left="567"/>
        <w:jc w:val="both"/>
        <w:rPr>
          <w:i/>
          <w:iCs/>
          <w:sz w:val="20"/>
          <w:szCs w:val="18"/>
        </w:rPr>
      </w:pPr>
    </w:p>
    <w:p w14:paraId="615DE908" w14:textId="77777777">
      <w:pPr>
        <w:pStyle w:val="P68B1DB1-P68B1DB1-Normal147"/>
        <w:widowControl w:val="0"/>
        <w:tabs>
          <w:tab w:val="left" w:pos="443"/>
        </w:tabs>
        <w:autoSpaceDE w:val="0"/>
        <w:autoSpaceDN w:val="0"/>
        <w:spacing w:after="0"/>
        <w:ind w:left="567"/>
        <w:jc w:val="both"/>
        <w:rPr>
          <w:i/>
          <w:iCs/>
          <w:sz w:val="20"/>
          <w:szCs w:val="18"/>
        </w:rPr>
      </w:pPr>
      <w:r>
        <w:t xml:space="preserve">Vendar je treba opozoriti, da je v skladu z delitvijo pristojnosti, določeno v členu 234 ES, nacionalno sodišče pristojno za razlago nacionalnega prava, v tem primeru člena 4, drugi odstavek, dekreta št. 92–377.</w:t>
      </w:r>
    </w:p>
    <w:p w14:paraId="6AC1BBA2" w14:textId="77777777">
      <w:pPr>
        <w:pStyle w:val="P68B1DB1-Normal14"/>
        <w:widowControl w:val="0"/>
        <w:tabs>
          <w:tab w:val="left" w:pos="443"/>
        </w:tabs>
        <w:autoSpaceDE w:val="0"/>
        <w:autoSpaceDN w:val="0"/>
        <w:spacing w:after="0"/>
        <w:ind w:left="567"/>
        <w:jc w:val="both"/>
        <w:rPr>
          <w:i/>
          <w:iCs/>
          <w:sz w:val="20"/>
          <w:szCs w:val="18"/>
        </w:rPr>
      </w:pPr>
    </w:p>
    <w:p w14:paraId="25482CFD" w14:textId="77777777">
      <w:pPr>
        <w:pStyle w:val="P68B1DB1-P68B1DB1-Normal147"/>
        <w:widowControl w:val="0"/>
        <w:tabs>
          <w:tab w:val="left" w:pos="443"/>
        </w:tabs>
        <w:autoSpaceDE w:val="0"/>
        <w:autoSpaceDN w:val="0"/>
        <w:spacing w:after="0"/>
        <w:ind w:left="567"/>
        <w:jc w:val="both"/>
        <w:rPr>
          <w:i/>
          <w:iCs/>
          <w:sz w:val="20"/>
          <w:szCs w:val="18"/>
        </w:rPr>
      </w:pPr>
      <w:r>
        <w:t xml:space="preserve">32. Zato je treba preučiti tudi možnost, da bo to sodišče glede na vse dejanske in pravne elemente, ki jih ima na voljo nacionalno sodišče, ugotovilo, da je treba člen 4, drugi odstavek, dekreta št. 92–377 razlagati tako, da proizvajalcem nalaga obveznost, da embalažo označijo ali označijo, ne da bi določali, kateri znak je treba namestiti.</w:t>
      </w:r>
    </w:p>
    <w:p w14:paraId="5CF2B868" w14:textId="77777777">
      <w:pPr>
        <w:pStyle w:val="P68B1DB1-Normal14"/>
        <w:widowControl w:val="0"/>
        <w:tabs>
          <w:tab w:val="left" w:pos="443"/>
        </w:tabs>
        <w:autoSpaceDE w:val="0"/>
        <w:autoSpaceDN w:val="0"/>
        <w:spacing w:after="0"/>
        <w:ind w:left="567"/>
        <w:jc w:val="both"/>
        <w:rPr>
          <w:i/>
          <w:iCs/>
          <w:sz w:val="20"/>
          <w:szCs w:val="18"/>
        </w:rPr>
      </w:pPr>
    </w:p>
    <w:p w14:paraId="66994718" w14:textId="77777777">
      <w:pPr>
        <w:pStyle w:val="P68B1DB1-P68B1DB1-Normal147"/>
        <w:widowControl w:val="0"/>
        <w:tabs>
          <w:tab w:val="left" w:pos="443"/>
        </w:tabs>
        <w:autoSpaceDE w:val="0"/>
        <w:autoSpaceDN w:val="0"/>
        <w:spacing w:after="0"/>
        <w:ind w:left="567"/>
        <w:jc w:val="both"/>
        <w:rPr>
          <w:i/>
          <w:iCs/>
          <w:sz w:val="20"/>
          <w:szCs w:val="18"/>
        </w:rPr>
      </w:pPr>
      <w:r>
        <w:t xml:space="preserve">33. V takem primeru bi bilo treba ugotoviti, da je ta določba dejansko tehnična specifikacija v smislu Direktive 83/189 in da je zato, ker je obveznost naložena z odlokom v primeru trženja pakiranih proizvodov na celotnem nacionalnem ozemlju, ta določba tehnični predpis.“</w:t>
      </w:r>
    </w:p>
    <w:p w14:paraId="21495157" w14:textId="77777777">
      <w:pPr>
        <w:spacing w:after="0" w:line="240" w:lineRule="auto"/>
      </w:pPr>
    </w:p>
    <w:p w14:paraId="14C2467B" w14:textId="611D935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5" w:history="1">
        <w:r>
          <w:rPr>
            <w:color w:val="0000FF"/>
            <w:u w:val="single"/>
          </w:rPr>
          <w:t xml:space="preserve">Sodba z dne 8. septembra 2005</w:t>
        </w:r>
      </w:hyperlink>
      <w:r>
        <w:t xml:space="preserve">, Komisija/Portugalska, C-500/03, EU:C:2005:515, točka 30.</w:t>
      </w:r>
      <w:bookmarkEnd w:id="31"/>
    </w:p>
    <w:p w14:paraId="7C16A84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90F33F6" w14:textId="06F84E73">
      <w:pPr>
        <w:spacing w:after="0" w:line="240" w:lineRule="auto"/>
        <w:jc w:val="both"/>
        <w:rPr>
          <w:rFonts w:ascii="Times New Roman" w:hAnsi="Times New Roman" w:cs="Times New Roman" w:eastAsia="Times New Roman"/>
          <w:szCs w:val="20"/>
        </w:rPr>
        <w:pStyle w:val="P68B1DB1-Normal14"/>
      </w:pPr>
      <w:r>
        <w:t xml:space="preserve">Pravilo, ki določa največjo dolžino in višino plovila za rekreacijo ter omejuje njegovo pogonsko moč, je „tehnična specifikacija“.</w:t>
      </w:r>
    </w:p>
    <w:p w14:paraId="37494660" w14:textId="77777777">
      <w:pPr>
        <w:spacing w:after="0" w:line="240" w:lineRule="auto"/>
        <w:jc w:val="both"/>
        <w:rPr>
          <w:rFonts w:ascii="Times New Roman" w:hAnsi="Times New Roman" w:cs="Times New Roman" w:eastAsia="Times New Roman"/>
          <w:szCs w:val="20"/>
        </w:rPr>
      </w:pPr>
    </w:p>
    <w:p w14:paraId="75D4A043" w14:textId="5A44D1CA">
      <w:pPr>
        <w:widowControl w:val="0"/>
        <w:tabs>
          <w:tab w:val="left" w:pos="467"/>
        </w:tabs>
        <w:autoSpaceDE w:val="0"/>
        <w:autoSpaceDN w:val="0"/>
        <w:spacing w:after="0" w:line="240" w:lineRule="auto"/>
        <w:ind w:left="567"/>
        <w:jc w:val="both"/>
        <w:rPr>
          <w:rFonts w:ascii="Times New Roman" w:hAnsi="Times New Roman" w:cs="Times New Roman" w:eastAsia="Times New Roman"/>
          <w:sz w:val="20"/>
          <w:szCs w:val="18"/>
        </w:rPr>
        <w:pStyle w:val="P68B1DB1-Normal11"/>
      </w:pPr>
      <w:r>
        <w:t xml:space="preserve">(Ker je sodba na voljo samo v francoščini in portugalščini, je naslednje besedilo prevod.)</w:t>
      </w:r>
    </w:p>
    <w:p w14:paraId="3C41A5EA" w14:textId="77777777">
      <w:pPr>
        <w:spacing w:after="0" w:line="240" w:lineRule="auto"/>
        <w:jc w:val="both"/>
        <w:rPr>
          <w:rFonts w:ascii="Times New Roman" w:hAnsi="Times New Roman" w:cs="Times New Roman" w:eastAsia="Times New Roman"/>
          <w:sz w:val="20"/>
          <w:szCs w:val="18"/>
        </w:rPr>
      </w:pPr>
    </w:p>
    <w:p w14:paraId="4AAF6423" w14:textId="3EE48C51">
      <w:pPr>
        <w:spacing w:after="0" w:line="240" w:lineRule="auto"/>
        <w:ind w:left="567"/>
        <w:jc w:val="both"/>
        <w:rPr>
          <w:i/>
          <w:iCs/>
          <w:sz w:val="20"/>
          <w:szCs w:val="20"/>
        </w:rPr>
        <w:pStyle w:val="P68B1DB1-Normal19"/>
      </w:pPr>
      <w:r>
        <w:t xml:space="preserve">„30. Iz besedila člena 2(1) te uredbe izhaja, da vsebuje tehnične specifikacije v smislu člena 1, točka 3, Direktive 98/34, ki so tehnični predpisi v smislu te direktive. Zahteve iz te uredbe se nanašajo na največjo dolžino in višino ter na omejitev pogonske moči za plovila za prosti čas, ki se uporabljajo za plovbo. Te tehnične omejitve se uporabljajo za vse javne vodne lagune v javni službi na Portugalskem, razen tistih v reki Douro.“</w:t>
      </w:r>
    </w:p>
    <w:p w14:paraId="45A16E94" w14:textId="77777777">
      <w:pPr>
        <w:spacing w:after="0" w:line="240" w:lineRule="auto"/>
      </w:pPr>
    </w:p>
    <w:p w14:paraId="5D1BF1C4" w14:textId="698AC04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6" w:history="1">
        <w:r>
          <w:rPr>
            <w:color w:val="0000FF"/>
            <w:u w:val="single"/>
          </w:rPr>
          <w:t xml:space="preserve">Sodba z dne 8. novembra 2007</w:t>
        </w:r>
      </w:hyperlink>
      <w:r>
        <w:t xml:space="preserve">, Schwibbert, C-20/05, EU:C:2007:652, točke od 35 do 37.</w:t>
      </w:r>
      <w:bookmarkEnd w:id="32"/>
    </w:p>
    <w:p w14:paraId="1416C9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939BFD9" w14:textId="4D52F64B">
      <w:pPr>
        <w:pStyle w:val="P68B1DB1-P68B1DB1-Normal135"/>
        <w:widowControl w:val="0"/>
        <w:tabs>
          <w:tab w:val="left" w:pos="429"/>
        </w:tabs>
        <w:autoSpaceDE w:val="0"/>
        <w:autoSpaceDN w:val="0"/>
        <w:spacing w:after="0" w:line="240" w:lineRule="auto"/>
        <w:jc w:val="both"/>
        <w:rPr>
          <w:b w:val="0"/>
          <w:bCs/>
          <w:i w:val="0"/>
          <w:iCs/>
        </w:rPr>
      </w:pPr>
      <w:r>
        <w:t xml:space="preserve">Nacionalne določbe, ki uvajajo obveznost pritrditve razlikovalnega znaka na proizvode zaradi njihovega trženja v državi članici, so „tehnična specifikacija“, ker gre za zahteve v zvezi z označevanjem in etiketiranjem proizvodov.</w:t>
      </w:r>
    </w:p>
    <w:p w14:paraId="4781C797" w14:textId="77777777">
      <w:pPr>
        <w:widowControl w:val="0"/>
        <w:tabs>
          <w:tab w:val="left" w:pos="429"/>
        </w:tabs>
        <w:autoSpaceDE w:val="0"/>
        <w:autoSpaceDN w:val="0"/>
        <w:spacing w:after="0" w:line="240" w:lineRule="auto"/>
        <w:jc w:val="both"/>
        <w:rPr>
          <w:rFonts w:ascii="Times New Roman" w:hAnsi="Times New Roman" w:cs="Times New Roman" w:eastAsia="Times New Roman"/>
          <w:szCs w:val="20"/>
        </w:rPr>
      </w:pPr>
    </w:p>
    <w:p w14:paraId="58D2CAF0" w14:textId="38AC6134">
      <w:pPr>
        <w:pStyle w:val="P68B1DB1-Normal15"/>
        <w:widowControl w:val="0"/>
        <w:tabs>
          <w:tab w:val="left" w:pos="429"/>
        </w:tabs>
        <w:autoSpaceDE w:val="0"/>
        <w:autoSpaceDN w:val="0"/>
        <w:spacing w:after="0" w:line="240" w:lineRule="auto"/>
        <w:ind w:left="567"/>
        <w:jc w:val="both"/>
        <w:rPr>
          <w:i w:val="0"/>
          <w:iCs/>
        </w:rPr>
      </w:pPr>
      <w:r>
        <w:t xml:space="preserve">„35. Kot je Sodišče že razsodilo, pojem tehnične specifikacije predpostavlja, da se nacionalni ukrep nanaša na proizvod ali njegovo embalažo kot tak in tako določa eno od zahtevanih značilnosti proizvoda (glej v tem smislu sodbe z dne 12. februarja 2001 v zadevi van der Burg, C-278/99, Recueil, str. I-2015, točka 20; Zadeva C-390/99, Canal Satélite Digital, Recueil 2002, str. I-607, točka 45; ter zgoraj navedeni sodbi Sapod Audic (točka 30) in Lindberg (točka 57).</w:t>
      </w:r>
    </w:p>
    <w:p w14:paraId="29C04649" w14:textId="77777777">
      <w:pPr>
        <w:pStyle w:val="P68B1DB1-Normal15"/>
        <w:widowControl w:val="0"/>
        <w:tabs>
          <w:tab w:val="left" w:pos="429"/>
        </w:tabs>
        <w:autoSpaceDE w:val="0"/>
        <w:autoSpaceDN w:val="0"/>
        <w:spacing w:after="0" w:line="240" w:lineRule="auto"/>
        <w:ind w:left="567"/>
        <w:jc w:val="both"/>
        <w:rPr>
          <w:i w:val="0"/>
          <w:iCs/>
        </w:rPr>
      </w:pPr>
    </w:p>
    <w:p w14:paraId="505523FA" w14:textId="38C71B2C">
      <w:pPr>
        <w:pStyle w:val="P68B1DB1-Normal15"/>
        <w:widowControl w:val="0"/>
        <w:tabs>
          <w:tab w:val="left" w:pos="429"/>
        </w:tabs>
        <w:autoSpaceDE w:val="0"/>
        <w:autoSpaceDN w:val="0"/>
        <w:spacing w:after="0" w:line="240" w:lineRule="auto"/>
        <w:ind w:left="567"/>
        <w:jc w:val="both"/>
        <w:rPr>
          <w:i w:val="0"/>
          <w:iCs/>
        </w:rPr>
      </w:pPr>
      <w:r>
        <w:t xml:space="preserve">36. V obravnavanem primeru je treba ugotoviti, kot je generalna pravobranilka navedla v točkah 46 in 48 sklepnih predlogov, da je razlikovalni znak „SIAE“, ki je namenjen obveščanju potrošnikov in nacionalnih organov o zakonitosti reprodukcij, pritrjen na dejanski nosilec, ki vsebuje intelektualno delo, in torej na sam proizvod. Ne drži torej, kot sta zatrjevali Società Italiana degli Autori ed Editori in italijanska vlada, da naj bi se ta znak nanašal le na intelektualna dela.</w:t>
      </w:r>
    </w:p>
    <w:p w14:paraId="6D521645" w14:textId="77777777">
      <w:pPr>
        <w:pStyle w:val="P68B1DB1-Normal15"/>
        <w:widowControl w:val="0"/>
        <w:tabs>
          <w:tab w:val="left" w:pos="429"/>
        </w:tabs>
        <w:autoSpaceDE w:val="0"/>
        <w:autoSpaceDN w:val="0"/>
        <w:spacing w:after="0" w:line="240" w:lineRule="auto"/>
        <w:ind w:left="567"/>
        <w:jc w:val="both"/>
        <w:rPr>
          <w:i w:val="0"/>
          <w:iCs/>
        </w:rPr>
      </w:pPr>
    </w:p>
    <w:p w14:paraId="012D36DA" w14:textId="1659A5D5">
      <w:pPr>
        <w:pStyle w:val="P68B1DB1-Normal15"/>
        <w:widowControl w:val="0"/>
        <w:tabs>
          <w:tab w:val="left" w:pos="429"/>
        </w:tabs>
        <w:autoSpaceDE w:val="0"/>
        <w:autoSpaceDN w:val="0"/>
        <w:spacing w:after="0" w:line="240" w:lineRule="auto"/>
        <w:ind w:left="567"/>
        <w:jc w:val="both"/>
      </w:pPr>
      <w:r>
        <w:t xml:space="preserve">37. Tak razlikovalni znak je „tehnična specifikacija“ v smislu člena 1(3) Direktive 98/34, ker spada med zahteve, ki veljajo za zadevne proizvode glede označevanja ali etiketiranja. Ker je torej upoštevanje te specifikacije pravno obvezno za trženje teh proizvodov, je specifikacija „tehnični predpis“ v smislu člena 1, točka 11, te direktive (glej v tem smislu sodbo z dne 17. marca 1997 v zadevi Bic Benelux, C-13/96, Recueil, str. I-1753, točka 23).“</w:t>
      </w:r>
    </w:p>
    <w:p w14:paraId="3E9DFE52" w14:textId="77777777">
      <w:pPr>
        <w:pStyle w:val="P68B1DB1-Normal15"/>
        <w:widowControl w:val="0"/>
        <w:tabs>
          <w:tab w:val="left" w:pos="429"/>
        </w:tabs>
        <w:autoSpaceDE w:val="0"/>
        <w:autoSpaceDN w:val="0"/>
        <w:spacing w:after="0" w:line="240" w:lineRule="auto"/>
        <w:ind w:left="567"/>
        <w:jc w:val="both"/>
      </w:pPr>
    </w:p>
    <w:p w14:paraId="4E326150" w14:textId="1B9A65A2">
      <w:pPr>
        <w:widowControl w:val="0"/>
        <w:autoSpaceDE w:val="0"/>
        <w:autoSpaceDN w:val="0"/>
        <w:spacing w:after="0" w:line="240" w:lineRule="auto"/>
        <w:jc w:val="both"/>
        <w:rPr>
          <w:rFonts w:ascii="Times New Roman" w:hAnsi="Times New Roman" w:cs="Times New Roman" w:eastAsia="Times New Roman"/>
          <w:b/>
          <w:i/>
          <w:szCs w:val="20"/>
        </w:rPr>
        <w:pStyle w:val="P68B1DB1-Normal13"/>
      </w:pPr>
      <w:hyperlink r:id="rId27" w:history="1">
        <w:r>
          <w:rPr>
            <w:color w:val="0000FF"/>
            <w:u w:val="single"/>
          </w:rPr>
          <w:t xml:space="preserve">Sodba z dne 14. aprila 2011</w:t>
        </w:r>
      </w:hyperlink>
      <w:r>
        <w:t xml:space="preserve">, Vlaamse Dierenartsenvereniging in Janssens, C-42/10, C-45/10 in C-57/10, EU:C:2011:253, točke od 68 do 70.</w:t>
      </w:r>
    </w:p>
    <w:p w14:paraId="7DCC10FA"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18B43BA3" w14:textId="6DE800EE">
      <w:pPr>
        <w:pStyle w:val="P68B1DB1-P68B1DB1-Normal135"/>
        <w:widowControl w:val="0"/>
        <w:tabs>
          <w:tab w:val="left" w:pos="431"/>
        </w:tabs>
        <w:autoSpaceDE w:val="0"/>
        <w:autoSpaceDN w:val="0"/>
        <w:spacing w:after="0" w:line="240" w:lineRule="auto"/>
        <w:jc w:val="both"/>
        <w:rPr>
          <w:b w:val="0"/>
          <w:bCs/>
          <w:i w:val="0"/>
          <w:iCs/>
        </w:rPr>
      </w:pPr>
      <w:r>
        <w:t xml:space="preserve">Direktiva se ne uporablja za potne liste za hišne živali, ki jih ni mogoče opredeliti kot „proizvode“, ker ne morejo biti predmet trgovinskih poslov. Nacionalne določbe o potnih listih za hišne živali zato niso „tehnična specifikacija“, ki jo je treba sporočiti Komisiji.</w:t>
      </w:r>
    </w:p>
    <w:p w14:paraId="55609695"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757DBF12" w14:textId="28188743">
      <w:pPr>
        <w:pStyle w:val="P68B1DB1-P68B1DB1-Normal147"/>
        <w:widowControl w:val="0"/>
        <w:tabs>
          <w:tab w:val="left" w:pos="403"/>
        </w:tabs>
        <w:autoSpaceDE w:val="0"/>
        <w:autoSpaceDN w:val="0"/>
        <w:spacing w:after="0" w:line="240" w:lineRule="auto"/>
        <w:ind w:left="567"/>
        <w:jc w:val="both"/>
        <w:rPr>
          <w:i/>
          <w:sz w:val="20"/>
          <w:szCs w:val="18"/>
        </w:rPr>
      </w:pPr>
      <w:r>
        <w:t xml:space="preserve">„68. [...] sodišče je imelo priložnost poudariti, da na področje uporabe prostega pretoka blaga spadajo samo proizvodi, ki jih je mogoče ovrednotiti v denarju in ki so kot taki lahko predmet trgovinskih transakcij (glej v tem smislu zlasti sodbi z dne 14. decembra 1968 v zadevi Komisija proti Italiji, 7/68, Recueil, str. 617, 626, in z dne 12. decembra 2006 v zadevi Komisija proti Grčiji, C-65/05, ZOdl., str. I-10341, točke od 23 do 25).</w:t>
      </w:r>
    </w:p>
    <w:p w14:paraId="741819C9" w14:textId="77777777">
      <w:pPr>
        <w:pStyle w:val="P68B1DB1-Normal14"/>
        <w:widowControl w:val="0"/>
        <w:tabs>
          <w:tab w:val="left" w:pos="403"/>
        </w:tabs>
        <w:autoSpaceDE w:val="0"/>
        <w:autoSpaceDN w:val="0"/>
        <w:spacing w:after="0" w:line="240" w:lineRule="auto"/>
        <w:ind w:left="567"/>
        <w:jc w:val="both"/>
        <w:rPr>
          <w:i/>
          <w:sz w:val="20"/>
          <w:szCs w:val="18"/>
        </w:rPr>
      </w:pPr>
    </w:p>
    <w:p w14:paraId="5BA224C9" w14:textId="68AC5503">
      <w:pPr>
        <w:pStyle w:val="P68B1DB1-P68B1DB1-Normal147"/>
        <w:widowControl w:val="0"/>
        <w:tabs>
          <w:tab w:val="left" w:pos="403"/>
        </w:tabs>
        <w:autoSpaceDE w:val="0"/>
        <w:autoSpaceDN w:val="0"/>
        <w:spacing w:after="0" w:line="240" w:lineRule="auto"/>
        <w:ind w:left="567"/>
        <w:jc w:val="both"/>
        <w:rPr>
          <w:i/>
          <w:sz w:val="20"/>
          <w:szCs w:val="18"/>
        </w:rPr>
      </w:pPr>
      <w:r>
        <w:t xml:space="preserve">69. Ni pa sporno, da potni listi za hišne živali, ko enkrat vsebujejo individualno številko in identificirajo neko posamično žival, kot taki ne morejo biti predmet poslovnih transakcij.</w:t>
      </w:r>
    </w:p>
    <w:p w14:paraId="766A1B18" w14:textId="77777777">
      <w:pPr>
        <w:pStyle w:val="P68B1DB1-Normal14"/>
        <w:widowControl w:val="0"/>
        <w:tabs>
          <w:tab w:val="left" w:pos="403"/>
        </w:tabs>
        <w:autoSpaceDE w:val="0"/>
        <w:autoSpaceDN w:val="0"/>
        <w:spacing w:after="0" w:line="240" w:lineRule="auto"/>
        <w:ind w:left="567"/>
        <w:jc w:val="both"/>
        <w:rPr>
          <w:i/>
          <w:sz w:val="20"/>
          <w:szCs w:val="18"/>
        </w:rPr>
      </w:pPr>
    </w:p>
    <w:p w14:paraId="5F9E4D05" w14:textId="4BF6B0DF">
      <w:pPr>
        <w:pStyle w:val="P68B1DB1-P68B1DB1-Normal147"/>
        <w:widowControl w:val="0"/>
        <w:tabs>
          <w:tab w:val="left" w:pos="403"/>
        </w:tabs>
        <w:autoSpaceDE w:val="0"/>
        <w:autoSpaceDN w:val="0"/>
        <w:spacing w:after="0" w:line="240" w:lineRule="auto"/>
        <w:ind w:left="567"/>
        <w:jc w:val="both"/>
        <w:rPr>
          <w:i/>
          <w:sz w:val="20"/>
          <w:szCs w:val="18"/>
        </w:rPr>
      </w:pPr>
      <w:r>
        <w:t xml:space="preserve">70. Teh potnih listov torej ni mogoče opredeliti kot „izdelke“ v smislu sodne prakse Sodišča; Direktive 98/34 tudi ni mogoče uporabiti zanje. Zato specifikacij, kot so te, ki jih vsebuje belgijska zakonodaja iz postopka v glavni stvari, ni mogoče opredeliti kot tehnične specifikacije, ki jih je treba v skladu s členom 8 te direktive vnaprej sporočiti Komisiji in jih nacionalno sodišče, če tega ni, ne sme uporabiti (glej v tem smislu sodbo z dne 18. julija 2007 v zadevi Schwibbert, C-20/05, ZOdl., str. I-9447, točki 33 in 44 ter navedena sodna praksa).“</w:t>
      </w:r>
    </w:p>
    <w:p w14:paraId="56FDA8D5" w14:textId="77777777">
      <w:pPr>
        <w:spacing w:after="0" w:line="240" w:lineRule="auto"/>
      </w:pPr>
    </w:p>
    <w:p w14:paraId="5C42E26C" w14:textId="7797D2A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8" w:history="1">
        <w:r>
          <w:rPr>
            <w:color w:val="0000FF"/>
            <w:u w:val="single"/>
          </w:rPr>
          <w:t xml:space="preserve">Sodba z dne 9. junija 2011</w:t>
        </w:r>
      </w:hyperlink>
      <w:r>
        <w:t xml:space="preserve">, Intercommunale Intermosane in Fédération de l’industrie et du gaz, C-361/10, EU:C:2011:382, točke od 14 do 18</w:t>
      </w:r>
      <w:bookmarkEnd w:id="33"/>
    </w:p>
    <w:p w14:paraId="0CF52A6B"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346914E7" w14:textId="1F11C7F6">
      <w:pPr>
        <w:pStyle w:val="P68B1DB1-P68B1DB1-Normal135"/>
        <w:widowControl w:val="0"/>
        <w:autoSpaceDE w:val="0"/>
        <w:autoSpaceDN w:val="0"/>
        <w:spacing w:after="0" w:line="240" w:lineRule="auto"/>
        <w:jc w:val="both"/>
        <w:rPr>
          <w:b w:val="0"/>
          <w:bCs/>
          <w:i w:val="0"/>
          <w:iCs/>
        </w:rPr>
      </w:pPr>
      <w:r>
        <w:t xml:space="preserve">Nacionalne določbe, ki določajo minimalne zahteve za gradnjo električnih instalacij in varnost delavcev, niso „tehnične specifikacije“, saj določajo splošne cilje varnosti in zaščite, ne da bi se neposredno sklicevale na proizvod ali njegovo embalažo in ne da bi opredelile njegove značilnosti. </w:t>
      </w:r>
    </w:p>
    <w:p w14:paraId="3E53A714"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3D76D8" w14:textId="3110737E">
      <w:pPr>
        <w:pStyle w:val="P68B1DB1-P68B1DB1-Normal147"/>
        <w:widowControl w:val="0"/>
        <w:autoSpaceDE w:val="0"/>
        <w:autoSpaceDN w:val="0"/>
        <w:spacing w:after="0" w:line="240" w:lineRule="auto"/>
        <w:ind w:left="567"/>
        <w:jc w:val="both"/>
        <w:rPr>
          <w:i/>
          <w:iCs/>
          <w:sz w:val="20"/>
          <w:szCs w:val="18"/>
        </w:rPr>
      </w:pPr>
      <w:r>
        <w:t xml:space="preserve">„14. [...] ugotoviti je treba, ali nacionalne določbe iz postopka v glavni stvari spadajo v prvo kategorijo tehničnih predpisov iz člena 1, točka 11, Direktive 98/34, in sicer v pojem „tehnična specifikacija“.</w:t>
      </w:r>
    </w:p>
    <w:p w14:paraId="13050860" w14:textId="77777777">
      <w:pPr>
        <w:pStyle w:val="P68B1DB1-Normal14"/>
        <w:widowControl w:val="0"/>
        <w:autoSpaceDE w:val="0"/>
        <w:autoSpaceDN w:val="0"/>
        <w:spacing w:after="0" w:line="240" w:lineRule="auto"/>
        <w:ind w:left="567"/>
        <w:jc w:val="both"/>
        <w:rPr>
          <w:i/>
          <w:iCs/>
          <w:sz w:val="20"/>
          <w:szCs w:val="18"/>
        </w:rPr>
      </w:pPr>
    </w:p>
    <w:p w14:paraId="431EFE6D" w14:textId="5A6B8906">
      <w:pPr>
        <w:pStyle w:val="P68B1DB1-P68B1DB1-Normal147"/>
        <w:widowControl w:val="0"/>
        <w:autoSpaceDE w:val="0"/>
        <w:autoSpaceDN w:val="0"/>
        <w:spacing w:after="0" w:line="240" w:lineRule="auto"/>
        <w:ind w:left="567"/>
        <w:jc w:val="both"/>
        <w:rPr>
          <w:i/>
          <w:iCs/>
          <w:sz w:val="20"/>
          <w:szCs w:val="18"/>
        </w:rPr>
      </w:pPr>
      <w:r>
        <w:t xml:space="preserve">15. Iz sodne prakse je razvidno, da ta pojem, ki je opredeljen v navedenem členu 1, točka 3, predpostavlja, da se nacionalni ukrep nujno nanaša na proizvod ali na njegovo embalažo kot tako in opredeljuje eno od zahtevanih značilnosti proizvoda (glej zgoraj navedeno sodbo Schwibbert, točka 35 in navedena sodna praksa).</w:t>
      </w:r>
    </w:p>
    <w:p w14:paraId="1713743E" w14:textId="77777777">
      <w:pPr>
        <w:pStyle w:val="P68B1DB1-Normal14"/>
        <w:widowControl w:val="0"/>
        <w:autoSpaceDE w:val="0"/>
        <w:autoSpaceDN w:val="0"/>
        <w:spacing w:after="0" w:line="240" w:lineRule="auto"/>
        <w:ind w:left="567"/>
        <w:jc w:val="both"/>
        <w:rPr>
          <w:i/>
          <w:iCs/>
          <w:sz w:val="20"/>
          <w:szCs w:val="18"/>
        </w:rPr>
      </w:pPr>
    </w:p>
    <w:p w14:paraId="605F1D6D" w14:textId="72688735">
      <w:pPr>
        <w:pStyle w:val="P68B1DB1-P68B1DB1-Normal147"/>
        <w:widowControl w:val="0"/>
        <w:autoSpaceDE w:val="0"/>
        <w:autoSpaceDN w:val="0"/>
        <w:spacing w:after="0" w:line="240" w:lineRule="auto"/>
        <w:ind w:left="567"/>
        <w:jc w:val="both"/>
        <w:rPr>
          <w:i/>
          <w:iCs/>
          <w:sz w:val="20"/>
          <w:szCs w:val="18"/>
        </w:rPr>
      </w:pPr>
      <w:r>
        <w:t xml:space="preserve">16. Glede nacionalnih določb v postopku v glavni stvari je treba poudariti, da so minimalne zahteve za izvedbo nekaterih starejših električnih inštalacij iz teh določb namenjene zagotovitvi varnosti teh inštalacij, da bi se zaščitili delavci, ki jih uporabljajo.</w:t>
      </w:r>
    </w:p>
    <w:p w14:paraId="3BF8D390" w14:textId="77777777">
      <w:pPr>
        <w:pStyle w:val="P68B1DB1-Normal14"/>
        <w:widowControl w:val="0"/>
        <w:autoSpaceDE w:val="0"/>
        <w:autoSpaceDN w:val="0"/>
        <w:spacing w:after="0" w:line="240" w:lineRule="auto"/>
        <w:ind w:left="567"/>
        <w:jc w:val="both"/>
        <w:rPr>
          <w:i/>
          <w:iCs/>
          <w:sz w:val="20"/>
          <w:szCs w:val="18"/>
        </w:rPr>
      </w:pPr>
    </w:p>
    <w:p w14:paraId="53D9038B" w14:textId="44B3180B">
      <w:pPr>
        <w:pStyle w:val="P68B1DB1-P68B1DB1-Normal147"/>
        <w:widowControl w:val="0"/>
        <w:autoSpaceDE w:val="0"/>
        <w:autoSpaceDN w:val="0"/>
        <w:spacing w:after="0" w:line="240" w:lineRule="auto"/>
        <w:ind w:left="567"/>
        <w:jc w:val="both"/>
        <w:rPr>
          <w:i/>
          <w:iCs/>
          <w:sz w:val="20"/>
          <w:szCs w:val="18"/>
        </w:rPr>
      </w:pPr>
      <w:r>
        <w:t xml:space="preserve">17. Ugotoviti pa je treba, da te minimalne zahteve vsebujejo zahteve in splošne cilje glede varnosti in zaščite, ne da bi se nujno sklicevale na zadevni proizvod ali njegovo embalažo kot taka in s tem določale značilnosti tega proizvoda.</w:t>
      </w:r>
    </w:p>
    <w:p w14:paraId="4769C93B" w14:textId="77777777">
      <w:pPr>
        <w:pStyle w:val="P68B1DB1-Normal14"/>
        <w:widowControl w:val="0"/>
        <w:autoSpaceDE w:val="0"/>
        <w:autoSpaceDN w:val="0"/>
        <w:spacing w:after="0" w:line="240" w:lineRule="auto"/>
        <w:ind w:left="567"/>
        <w:jc w:val="both"/>
        <w:rPr>
          <w:i/>
          <w:iCs/>
          <w:sz w:val="20"/>
          <w:szCs w:val="18"/>
        </w:rPr>
      </w:pPr>
    </w:p>
    <w:p w14:paraId="4059BF30" w14:textId="7521DC11">
      <w:pPr>
        <w:pStyle w:val="P68B1DB1-P68B1DB1-Normal147"/>
        <w:widowControl w:val="0"/>
        <w:autoSpaceDE w:val="0"/>
        <w:autoSpaceDN w:val="0"/>
        <w:spacing w:after="0" w:line="240" w:lineRule="auto"/>
        <w:ind w:left="567"/>
        <w:jc w:val="both"/>
        <w:rPr>
          <w:bCs/>
          <w:i/>
          <w:iCs/>
          <w:sz w:val="20"/>
          <w:szCs w:val="18"/>
        </w:rPr>
      </w:pPr>
      <w:r>
        <w:t xml:space="preserve">18. Zato nacionalne določbe iz postopka v glavni stvari ne vsebujejo tehničnih specifikacij v smislu Direktive 98/34.“</w:t>
      </w:r>
    </w:p>
    <w:p w14:paraId="4E087DB6"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36CB90D3" w14:textId="0830F120">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9" w:history="1">
        <w:r>
          <w:rPr>
            <w:color w:val="0000FF"/>
            <w:u w:val="single"/>
          </w:rPr>
          <w:t xml:space="preserve">Sodba z dne 19. julija 2012</w:t>
        </w:r>
      </w:hyperlink>
      <w:r>
        <w:t xml:space="preserve">, Fortuna in drugi, C-213/11, C-214/11 in C-217/11, EU:C:2012:495, točke od 28 do 30</w:t>
      </w:r>
      <w:bookmarkEnd w:id="34"/>
    </w:p>
    <w:p w14:paraId="3A7FC31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26C64C2" w14:textId="77777777">
      <w:pPr>
        <w:pStyle w:val="P68B1DB1-P68B1DB1-Normal135"/>
        <w:widowControl w:val="0"/>
        <w:tabs>
          <w:tab w:val="left" w:pos="451"/>
        </w:tabs>
        <w:autoSpaceDE w:val="0"/>
        <w:autoSpaceDN w:val="0"/>
        <w:spacing w:after="0" w:line="240" w:lineRule="auto"/>
        <w:jc w:val="both"/>
        <w:rPr>
          <w:b w:val="0"/>
          <w:bCs/>
          <w:i w:val="0"/>
          <w:iCs/>
        </w:rPr>
      </w:pPr>
      <w:r>
        <w:t xml:space="preserve">Nacionalne določbe, ki omejujejo delovanje nizkocenovnih igralnih avtomatov zunaj igralnic, niso „tehnični predpisi“, ker se ne nanašajo na značilnosti igralnih avtomatov ali na njihovo embalažo.</w:t>
      </w:r>
    </w:p>
    <w:p w14:paraId="236235AE"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18"/>
          <w:szCs w:val="14"/>
        </w:rPr>
      </w:pPr>
    </w:p>
    <w:p w14:paraId="09B20777" w14:textId="6018D3B7">
      <w:pPr>
        <w:pStyle w:val="P68B1DB1-P68B1DB1-Normal147"/>
        <w:widowControl w:val="0"/>
        <w:autoSpaceDE w:val="0"/>
        <w:autoSpaceDN w:val="0"/>
        <w:spacing w:after="0" w:line="240" w:lineRule="auto"/>
        <w:ind w:left="567"/>
        <w:jc w:val="both"/>
        <w:rPr>
          <w:i/>
          <w:iCs/>
          <w:sz w:val="20"/>
          <w:szCs w:val="18"/>
        </w:rPr>
      </w:pPr>
      <w:r>
        <w:t xml:space="preserve">„28. [...] da bi nacionalni ukrep spadal v prvo kategorijo tehničnih predpisov iz člena 1, točka 11, Direktive 98/34, to je pod pojem „tehnična specifikacija“, se mora ta ukrep nujno nanašati na proizvod ali njegovo embalažo kot tak in tako določati eno od zahtevanih značilnosti proizvoda (glej zgoraj navedeno sodbo Intercommunale Intermosane in Fédération de l’industrie et du gaz, točka 15).</w:t>
      </w:r>
    </w:p>
    <w:p w14:paraId="0DD51D00" w14:textId="77777777">
      <w:pPr>
        <w:pStyle w:val="P68B1DB1-Normal14"/>
        <w:widowControl w:val="0"/>
        <w:autoSpaceDE w:val="0"/>
        <w:autoSpaceDN w:val="0"/>
        <w:spacing w:after="0" w:line="240" w:lineRule="auto"/>
        <w:ind w:left="567"/>
        <w:jc w:val="both"/>
        <w:rPr>
          <w:i/>
          <w:iCs/>
          <w:sz w:val="20"/>
          <w:szCs w:val="18"/>
        </w:rPr>
      </w:pPr>
    </w:p>
    <w:p w14:paraId="43C64864" w14:textId="4E72B44D">
      <w:pPr>
        <w:pStyle w:val="P68B1DB1-P68B1DB1-Normal147"/>
        <w:widowControl w:val="0"/>
        <w:autoSpaceDE w:val="0"/>
        <w:autoSpaceDN w:val="0"/>
        <w:spacing w:after="0" w:line="240" w:lineRule="auto"/>
        <w:ind w:left="567"/>
        <w:jc w:val="both"/>
        <w:rPr>
          <w:i/>
          <w:iCs/>
          <w:sz w:val="20"/>
          <w:szCs w:val="18"/>
        </w:rPr>
      </w:pPr>
      <w:r>
        <w:t xml:space="preserve">29. Treba pa je ugotoviti, da se prehodne določbe zakona o igrah na srečo nanašajo na dovoljenja za opravljanje dejavnosti na področju iger na igralnih avtomatih z nizkimi dobitki. Ne nanašajo se na igralne avtomate z nizkimi dobitki ali na njihovo embalažo kot tako ter zato ne določajo njihovih značilnosti.</w:t>
      </w:r>
    </w:p>
    <w:p w14:paraId="28D3F16E" w14:textId="77777777">
      <w:pPr>
        <w:pStyle w:val="P68B1DB1-Normal14"/>
        <w:widowControl w:val="0"/>
        <w:autoSpaceDE w:val="0"/>
        <w:autoSpaceDN w:val="0"/>
        <w:spacing w:after="0" w:line="240" w:lineRule="auto"/>
        <w:ind w:left="567"/>
        <w:jc w:val="both"/>
        <w:rPr>
          <w:i/>
          <w:iCs/>
          <w:sz w:val="20"/>
          <w:szCs w:val="18"/>
        </w:rPr>
      </w:pPr>
    </w:p>
    <w:p w14:paraId="65E1DF47" w14:textId="1076F250">
      <w:pPr>
        <w:pStyle w:val="P68B1DB1-P68B1DB1-Normal147"/>
        <w:widowControl w:val="0"/>
        <w:autoSpaceDE w:val="0"/>
        <w:autoSpaceDN w:val="0"/>
        <w:spacing w:after="0" w:line="240" w:lineRule="auto"/>
        <w:ind w:left="567"/>
        <w:jc w:val="both"/>
        <w:rPr>
          <w:bCs/>
          <w:i/>
          <w:iCs/>
          <w:sz w:val="20"/>
          <w:szCs w:val="18"/>
        </w:rPr>
      </w:pPr>
      <w:r>
        <w:t xml:space="preserve">30. Zato nacionalne določbe iz postopka v glavni stvari ne vsebujejo tehničnih specifikacij v smislu Direktive 98/34.“</w:t>
      </w:r>
    </w:p>
    <w:p w14:paraId="253F8A3A"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11A687F9" w14:textId="7673430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0" w:history="1">
        <w:r>
          <w:rPr>
            <w:b/>
            <w:i/>
            <w:color w:val="0000FF"/>
            <w:u w:val="single"/>
          </w:rPr>
          <w:t xml:space="preserve">Sodba z dne 10. julija 2014</w:t>
        </w:r>
      </w:hyperlink>
      <w:r>
        <w:rPr>
          <w:b/>
          <w:i/>
        </w:rPr>
        <w:t xml:space="preserve">, Ivansson in drugi</w:t>
      </w:r>
      <w:r>
        <w:rPr>
          <w:sz w:val="25"/>
        </w:rPr>
        <w:t>,</w:t>
      </w:r>
      <w:r>
        <w:rPr>
          <w:b/>
          <w:i/>
        </w:rPr>
        <w:t xml:space="preserve"> C-307/13, EU:C:2014:2058, točke od 19 do 23</w:t>
      </w:r>
      <w:bookmarkEnd w:id="35"/>
    </w:p>
    <w:p w14:paraId="3CBB181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9768B7" w14:textId="77777777">
      <w:pPr>
        <w:pStyle w:val="P68B1DB1-P68B1DB1-Normal135"/>
        <w:widowControl w:val="0"/>
        <w:tabs>
          <w:tab w:val="left" w:pos="396"/>
          <w:tab w:val="left" w:pos="407"/>
        </w:tabs>
        <w:autoSpaceDE w:val="0"/>
        <w:autoSpaceDN w:val="0"/>
        <w:spacing w:after="0" w:line="240" w:lineRule="auto"/>
        <w:jc w:val="both"/>
        <w:rPr>
          <w:b w:val="0"/>
          <w:bCs/>
          <w:i w:val="0"/>
          <w:iCs/>
        </w:rPr>
      </w:pPr>
      <w:r>
        <w:t xml:space="preserve">Pravilo, ki določa splošni cilj udobja perutnine in kakovosti objektov za rejo, ni „tehnična specifikacija“, ker ne določa značilnosti proizvoda in ni dovolj natančno za opredelitev načina proizvodnje. </w:t>
      </w:r>
    </w:p>
    <w:p w14:paraId="7B99302F"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EDA7715" w14:textId="0C493BF1">
      <w:pPr>
        <w:pStyle w:val="P68B1DB1-P68B1DB1-Normal147"/>
        <w:widowControl w:val="0"/>
        <w:autoSpaceDE w:val="0"/>
        <w:autoSpaceDN w:val="0"/>
        <w:spacing w:after="0" w:line="240" w:lineRule="auto"/>
        <w:ind w:left="567"/>
        <w:jc w:val="both"/>
        <w:rPr>
          <w:i/>
          <w:iCs/>
          <w:sz w:val="20"/>
          <w:szCs w:val="18"/>
        </w:rPr>
      </w:pPr>
      <w:r>
        <w:t xml:space="preserve">„19. Pojasniti je treba, da v skladu s sodno prakso ta pojem [tehnična specifikacija] predpostavlja, da se mora nacionalni ukrep nujno nanašati na proizvod ali njegovo embalažo in tako določiti eno od zahtevanih značilnosti proizvoda (glej v tem smislu sodbo Fortuna in drugi, EU:C:2012:495, točka 28).</w:t>
      </w:r>
    </w:p>
    <w:p w14:paraId="5E172BC8" w14:textId="77777777">
      <w:pPr>
        <w:pStyle w:val="P68B1DB1-Normal14"/>
        <w:widowControl w:val="0"/>
        <w:autoSpaceDE w:val="0"/>
        <w:autoSpaceDN w:val="0"/>
        <w:spacing w:after="0" w:line="240" w:lineRule="auto"/>
        <w:ind w:left="567"/>
        <w:jc w:val="both"/>
        <w:rPr>
          <w:i/>
          <w:iCs/>
          <w:sz w:val="20"/>
          <w:szCs w:val="18"/>
        </w:rPr>
      </w:pPr>
    </w:p>
    <w:p w14:paraId="39F7789D" w14:textId="31D50226">
      <w:pPr>
        <w:pStyle w:val="P68B1DB1-P68B1DB1-Normal147"/>
        <w:widowControl w:val="0"/>
        <w:autoSpaceDE w:val="0"/>
        <w:autoSpaceDN w:val="0"/>
        <w:spacing w:after="0" w:line="240" w:lineRule="auto"/>
        <w:ind w:left="567"/>
        <w:jc w:val="both"/>
        <w:rPr>
          <w:i/>
          <w:iCs/>
          <w:sz w:val="20"/>
          <w:szCs w:val="18"/>
        </w:rPr>
      </w:pPr>
      <w:r>
        <w:t xml:space="preserve">20. Poleg tega je Sodišče glede kmetijskih proizvodov navedlo, da pojem „tehnična specifikacija“ pomeni specifikacijo, navedeno v dokumentu, v katerem so opredeljene značilnosti proizvoda ali metode in postopki njegove proizvodnje (glej v tem smislu sodbo Donkersteeg, C-37/99, EU:C:2000:636, točka 30).</w:t>
      </w:r>
    </w:p>
    <w:p w14:paraId="65DAFA85" w14:textId="77777777">
      <w:pPr>
        <w:pStyle w:val="P68B1DB1-Normal14"/>
        <w:widowControl w:val="0"/>
        <w:autoSpaceDE w:val="0"/>
        <w:autoSpaceDN w:val="0"/>
        <w:spacing w:after="0" w:line="240" w:lineRule="auto"/>
        <w:ind w:left="567"/>
        <w:jc w:val="both"/>
        <w:rPr>
          <w:i/>
          <w:iCs/>
          <w:sz w:val="20"/>
          <w:szCs w:val="18"/>
        </w:rPr>
      </w:pPr>
    </w:p>
    <w:p w14:paraId="1CC9B834" w14:textId="7551980C">
      <w:pPr>
        <w:pStyle w:val="P68B1DB1-P68B1DB1-Normal147"/>
        <w:widowControl w:val="0"/>
        <w:autoSpaceDE w:val="0"/>
        <w:autoSpaceDN w:val="0"/>
        <w:spacing w:after="0" w:line="240" w:lineRule="auto"/>
        <w:ind w:left="567"/>
        <w:jc w:val="both"/>
        <w:rPr>
          <w:i/>
          <w:iCs/>
          <w:sz w:val="20"/>
          <w:szCs w:val="18"/>
        </w:rPr>
      </w:pPr>
      <w:r>
        <w:t xml:space="preserve">21. Vendar je treba ugotoviti, da člen 9 odloka (1988:539), čeprav se nanaša na udobje in kvaliteto sistemov, v katerih so vzrejene kokoši nesnice, torej izpopolnjenih kletk, ne določa obveznih značilnosti proizvodov iz postopka v glavni stvari, kot trdi poljska vlada.</w:t>
      </w:r>
    </w:p>
    <w:p w14:paraId="01AC6E59" w14:textId="77777777">
      <w:pPr>
        <w:pStyle w:val="P68B1DB1-Normal14"/>
        <w:widowControl w:val="0"/>
        <w:autoSpaceDE w:val="0"/>
        <w:autoSpaceDN w:val="0"/>
        <w:spacing w:after="0" w:line="240" w:lineRule="auto"/>
        <w:ind w:left="567"/>
        <w:jc w:val="both"/>
        <w:rPr>
          <w:i/>
          <w:iCs/>
          <w:sz w:val="20"/>
          <w:szCs w:val="18"/>
        </w:rPr>
      </w:pPr>
    </w:p>
    <w:p w14:paraId="4F11FC6F" w14:textId="24A20F05">
      <w:pPr>
        <w:pStyle w:val="P68B1DB1-P68B1DB1-Normal147"/>
        <w:widowControl w:val="0"/>
        <w:autoSpaceDE w:val="0"/>
        <w:autoSpaceDN w:val="0"/>
        <w:spacing w:after="0" w:line="240" w:lineRule="auto"/>
        <w:ind w:left="567"/>
        <w:jc w:val="both"/>
        <w:rPr>
          <w:i/>
          <w:iCs/>
          <w:sz w:val="20"/>
          <w:szCs w:val="18"/>
        </w:rPr>
      </w:pPr>
      <w:r>
        <w:t xml:space="preserve">22. Tudi ob predpostavki, da je mogoče šteti, da se ta določba nanaša na proizvodno metodo, ker ureja, kot je navedeno v prejšnji točki, vzrejo kokoši nesnic v izpopolnjenih kletkah, je treba poudariti, da navedena določba zgolj na splošno omenja zahtevo obstoja gnezd, gredi in peščenih kopeli, ne da bi natančno določila različne vidike tega sistema vzreje. Člen 9 odloka (1988:539) namreč ne vsebuje nobene navedbe, ki se na primer nanaša na mero, število, temperaturo, vzdrževanje, delovanje navedenih sistemov v zvezi z izpostavljenostjo kokoši nesnic svetlobi ali opremo za hranjenje in napajanje. Ker člen 9 odloka (1988:539) ne vsebuje nobenih podrobnih pravil, torej ni mogoče šteti, da določa proizvodno metodo ali postopek.</w:t>
      </w:r>
    </w:p>
    <w:p w14:paraId="000E1FB3" w14:textId="77777777">
      <w:pPr>
        <w:pStyle w:val="P68B1DB1-Normal14"/>
        <w:widowControl w:val="0"/>
        <w:autoSpaceDE w:val="0"/>
        <w:autoSpaceDN w:val="0"/>
        <w:spacing w:after="0" w:line="240" w:lineRule="auto"/>
        <w:ind w:left="567"/>
        <w:jc w:val="both"/>
        <w:rPr>
          <w:i/>
          <w:iCs/>
          <w:sz w:val="20"/>
          <w:szCs w:val="18"/>
        </w:rPr>
      </w:pPr>
    </w:p>
    <w:p w14:paraId="38E2B353" w14:textId="549AB11B">
      <w:pPr>
        <w:pStyle w:val="P68B1DB1-P68B1DB1-Normal147"/>
        <w:widowControl w:val="0"/>
        <w:autoSpaceDE w:val="0"/>
        <w:autoSpaceDN w:val="0"/>
        <w:spacing w:after="0" w:line="240" w:lineRule="auto"/>
        <w:ind w:left="567"/>
        <w:jc w:val="both"/>
        <w:rPr>
          <w:i/>
          <w:iCs/>
          <w:sz w:val="20"/>
          <w:szCs w:val="18"/>
        </w:rPr>
      </w:pPr>
      <w:r>
        <w:t xml:space="preserve">23. Poleg tega je treba poudariti, da člen 9, prvi odstavek, DSF s tem, da določa, da je „sistem hlevske reje tak, da se stopnja umrljivosti in motnje obnašanja pri kokoših ohranjajo na nizki ravni“, brez kakršne koli druge navedbe določa le splošne cilje v zvezi z dobrim počutjem kokoši za proizvodnjo jajc, ne da bi se nujno skliceval na zadevni proizvod in torej določal značilnosti tega proizvoda (glej po analogiji sodbo Intercommunale Intermosane in Fédération de l’Industrie et du gaz, C-361/10, EU:C:2011:382, točka 17).“</w:t>
      </w:r>
    </w:p>
    <w:p w14:paraId="6C0651D1" w14:textId="77777777">
      <w:pPr>
        <w:pStyle w:val="P68B1DB1-Normal14"/>
        <w:widowControl w:val="0"/>
        <w:autoSpaceDE w:val="0"/>
        <w:autoSpaceDN w:val="0"/>
        <w:spacing w:after="0" w:line="240" w:lineRule="auto"/>
        <w:ind w:left="567"/>
        <w:jc w:val="both"/>
      </w:pPr>
    </w:p>
    <w:p w14:paraId="497D9E29" w14:textId="02A14E4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1" w:history="1">
        <w:r>
          <w:rPr>
            <w:color w:val="0000FF"/>
            <w:u w:val="single"/>
          </w:rPr>
          <w:t xml:space="preserve">Sodba z dne 27. oktobra 2016</w:t>
        </w:r>
      </w:hyperlink>
      <w:r>
        <w:t xml:space="preserve">, James Elliott Construction, C-613/14, EU:C:2016:821, točka 67.</w:t>
      </w:r>
      <w:bookmarkEnd w:id="36"/>
    </w:p>
    <w:p w14:paraId="73295FA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46DAC4" w14:textId="10617266">
      <w:pPr>
        <w:pStyle w:val="P68B1DB1-P68B1DB1-Normal135"/>
        <w:widowControl w:val="0"/>
        <w:tabs>
          <w:tab w:val="left" w:pos="430"/>
        </w:tabs>
        <w:autoSpaceDE w:val="0"/>
        <w:autoSpaceDN w:val="0"/>
        <w:spacing w:after="0" w:line="240" w:lineRule="auto"/>
        <w:jc w:val="both"/>
        <w:rPr>
          <w:b w:val="0"/>
          <w:bCs/>
          <w:i w:val="0"/>
          <w:iCs/>
        </w:rPr>
      </w:pPr>
      <w:r>
        <w:t xml:space="preserve">Nacionalne določbe, ki določajo implicitne pogodbene pogoje v zvezi s kakovostjo izdelkov, ki se prodajajo, ne pomenijo „tehničnih specifikacij“, ker ne opredeljujejo značilnosti zadevnega izdelka.</w:t>
      </w:r>
    </w:p>
    <w:p w14:paraId="6818C835" w14:textId="77777777">
      <w:pPr>
        <w:pStyle w:val="P68B1DB1-Normal14"/>
        <w:widowControl w:val="0"/>
        <w:tabs>
          <w:tab w:val="left" w:pos="430"/>
        </w:tabs>
        <w:autoSpaceDE w:val="0"/>
        <w:autoSpaceDN w:val="0"/>
        <w:spacing w:after="0" w:line="240" w:lineRule="auto"/>
        <w:jc w:val="both"/>
        <w:rPr>
          <w:i/>
          <w:iCs/>
          <w:sz w:val="20"/>
          <w:szCs w:val="18"/>
        </w:rPr>
      </w:pPr>
    </w:p>
    <w:p w14:paraId="63638539" w14:textId="7DA96F1E">
      <w:pPr>
        <w:pStyle w:val="P68B1DB1-P68B1DB1-Normal147"/>
        <w:widowControl w:val="0"/>
        <w:tabs>
          <w:tab w:val="left" w:pos="430"/>
        </w:tabs>
        <w:autoSpaceDE w:val="0"/>
        <w:autoSpaceDN w:val="0"/>
        <w:spacing w:after="0" w:line="240" w:lineRule="auto"/>
        <w:ind w:left="567"/>
        <w:jc w:val="both"/>
        <w:rPr>
          <w:i/>
          <w:iCs/>
          <w:sz w:val="20"/>
          <w:szCs w:val="18"/>
        </w:rPr>
      </w:pPr>
      <w:r>
        <w:t>„</w:t>
      </w:r>
      <w:bookmarkStart w:id="37" w:name="point67"/>
      <w:r>
        <w:t>67</w:t>
      </w:r>
      <w:bookmarkEnd w:id="37"/>
      <w:r>
        <w:t xml:space="preserve">. V obravnavanem primeru je po eni strani očitno, da določbe, kakršne so te v postopku v glavni stvari, same po sebi ali kot jih razlagajo irska sodišča, ne spadajo pod pojem „tehnična specifikacija“ v smislu člena 1(3) Direktive 98/34. Ta pojem zajema le nacionalne ukrepe, ki se nanašajo na proizvod ali njegovo embalažo in tako določajo eno od zahtevanih značilnosti proizvoda (sodba z dne 10. julija 2014, Ivansson in drugi, C</w:t>
        <w:noBreakHyphen/>
        <w:t xml:space="preserve">307/13, EU:C:2014:2058, točka 19 in navedena sodna praksa). Jasno je, da to ne velja za zahtevo, ki se na splošno uporablja za prodajo vseh izdelkov, razen če se stranki dogovorita drugače.“</w:t>
      </w:r>
    </w:p>
    <w:p w14:paraId="7BFACEDE" w14:textId="77777777">
      <w:pPr>
        <w:spacing w:after="0" w:line="240" w:lineRule="auto"/>
      </w:pPr>
    </w:p>
    <w:p w14:paraId="5FDF21D1" w14:textId="0085E99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2" w:history="1">
        <w:r>
          <w:rPr>
            <w:color w:val="0000FF"/>
            <w:u w:val="single"/>
          </w:rPr>
          <w:t xml:space="preserve">Sodba z dne 1. februarja 2017</w:t>
        </w:r>
      </w:hyperlink>
      <w:r>
        <w:t xml:space="preserve">, Município de Palmela, C-144/16, EU:C:2017:76, točka 30</w:t>
      </w:r>
      <w:bookmarkEnd w:id="38"/>
    </w:p>
    <w:p w14:paraId="0E2142D8" w14:textId="77777777">
      <w:pPr>
        <w:widowControl w:val="0"/>
        <w:tabs>
          <w:tab w:val="left" w:pos="396"/>
          <w:tab w:val="left" w:pos="435"/>
        </w:tabs>
        <w:autoSpaceDE w:val="0"/>
        <w:autoSpaceDN w:val="0"/>
        <w:spacing w:after="0" w:line="240" w:lineRule="auto"/>
        <w:jc w:val="both"/>
        <w:rPr>
          <w:rFonts w:ascii="Times New Roman" w:hAnsi="Times New Roman" w:cs="Times New Roman" w:eastAsia="Times New Roman"/>
          <w:szCs w:val="20"/>
        </w:rPr>
      </w:pPr>
    </w:p>
    <w:p w14:paraId="2D0E0BDF" w14:textId="77777777">
      <w:pPr>
        <w:pStyle w:val="P68B1DB1-P68B1DB1-Normal135"/>
        <w:widowControl w:val="0"/>
        <w:tabs>
          <w:tab w:val="left" w:pos="396"/>
          <w:tab w:val="left" w:pos="399"/>
        </w:tabs>
        <w:autoSpaceDE w:val="0"/>
        <w:autoSpaceDN w:val="0"/>
        <w:spacing w:after="0" w:line="240" w:lineRule="auto"/>
        <w:jc w:val="both"/>
        <w:rPr>
          <w:b w:val="0"/>
          <w:bCs/>
          <w:i w:val="0"/>
          <w:iCs/>
        </w:rPr>
      </w:pPr>
      <w:r>
        <w:t xml:space="preserve">Uredba, ki zahteva, da se na območju za prosti čas prikažejo informacije o največji zmogljivosti tega območja, ni „tehnična specifikacija“, ker ne določa značilnosti proizvoda.</w:t>
      </w:r>
    </w:p>
    <w:p w14:paraId="0EEA34B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49F52DFE" w14:textId="22C34708">
      <w:pPr>
        <w:pStyle w:val="P68B1DB1-P68B1DB1-Normal147"/>
        <w:widowControl w:val="0"/>
        <w:autoSpaceDE w:val="0"/>
        <w:autoSpaceDN w:val="0"/>
        <w:spacing w:after="0" w:line="240" w:lineRule="auto"/>
        <w:ind w:left="567"/>
        <w:jc w:val="both"/>
        <w:rPr>
          <w:i/>
          <w:iCs/>
          <w:sz w:val="20"/>
          <w:szCs w:val="18"/>
        </w:rPr>
      </w:pPr>
      <w:r>
        <w:t xml:space="preserve">„30. [...] taka določba ne spada v kategorijo tehničnih specifikacij v smislu člena 1(3) Direktive 98/34, ker ni sporno, da določbe, ki določajo zahteve in splošne cilje na področju varnosti in zaščite, ne da bi se nujno nanašale na zadevni proizvod ali njegovo embalažo kot tako in torej ne določajo njegovih značilnosti, niso tehnične specifikacije (glej v tem smislu sodbo z dne 9. junija 2011, Intercommunale Intermosane in Fédération de l’industrie et du gaz, C-361/10, EU:C:2011:382, točki 17 in 18).“</w:t>
      </w:r>
    </w:p>
    <w:p w14:paraId="5DF2371F" w14:textId="77777777">
      <w:pPr>
        <w:spacing w:after="0" w:line="240" w:lineRule="auto"/>
      </w:pPr>
    </w:p>
    <w:p w14:paraId="303995E7" w14:textId="23CEFD0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3" w:history="1">
        <w:r>
          <w:rPr>
            <w:color w:val="0000FF"/>
            <w:u w:val="single"/>
          </w:rPr>
          <w:t xml:space="preserve">Sodba z dne 26. septembra 2018</w:t>
        </w:r>
      </w:hyperlink>
      <w:r>
        <w:t xml:space="preserve">, Van Gennip in drugi, C-137/17, EU:C:2018:771, točka 38</w:t>
      </w:r>
      <w:bookmarkEnd w:id="39"/>
    </w:p>
    <w:p w14:paraId="2C38792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8C12BA" w14:textId="71921C3D">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Nacionalne določbe, ki trženje proizvodov pogojujejo s pridobitvijo dovoljenja kupca, ne spadajo pod pojem „tehnična specifikacija“, saj ne opredeljujejo značilnosti samega proizvoda ali njegove embalaže.</w:t>
      </w:r>
    </w:p>
    <w:p w14:paraId="51B72955" w14:textId="77777777">
      <w:pPr>
        <w:widowControl w:val="0"/>
        <w:tabs>
          <w:tab w:val="left" w:pos="404"/>
        </w:tabs>
        <w:autoSpaceDE w:val="0"/>
        <w:autoSpaceDN w:val="0"/>
        <w:spacing w:after="0" w:line="240" w:lineRule="auto"/>
        <w:jc w:val="both"/>
        <w:rPr>
          <w:rFonts w:ascii="Times New Roman" w:hAnsi="Times New Roman" w:cs="Times New Roman" w:eastAsia="Times New Roman"/>
          <w:sz w:val="20"/>
          <w:szCs w:val="18"/>
        </w:rPr>
      </w:pPr>
    </w:p>
    <w:p w14:paraId="7AB991D2" w14:textId="4B88FB97">
      <w:pPr>
        <w:pStyle w:val="P68B1DB1-P68B1DB1-Normal147"/>
        <w:widowControl w:val="0"/>
        <w:tabs>
          <w:tab w:val="left" w:pos="404"/>
        </w:tabs>
        <w:autoSpaceDE w:val="0"/>
        <w:autoSpaceDN w:val="0"/>
        <w:spacing w:after="0" w:line="240" w:lineRule="auto"/>
        <w:ind w:left="567"/>
        <w:jc w:val="both"/>
        <w:rPr>
          <w:i/>
          <w:iCs/>
          <w:sz w:val="20"/>
          <w:szCs w:val="18"/>
        </w:rPr>
      </w:pPr>
      <w:r>
        <w:t>„</w:t>
      </w:r>
      <w:bookmarkStart w:id="40" w:name="point38"/>
      <w:r>
        <w:t>38</w:t>
      </w:r>
      <w:bookmarkEnd w:id="40"/>
      <w:r>
        <w:t xml:space="preserve">. Prvič, v zvezi s pojmom „tehnična specifikacija“ je treba opozoriti, da ta pojem predpostavlja, da se nacionalni ukrep nujno nanaša na proizvod ali njegovo embalažo kot tak in torej določa eno od značilnosti, ki se zahtevajo za proizvod, kot so dimenzije, prodajni opis, etiketiranje ali označevanje (sodba z dne 10. julija 2014, Ivansson in drugi, C 307/13</w:t>
        <w:noBreakHyphen/>
        <w:t xml:space="preserve">, EU:C:2014:2058, točka 19 in navedena sodna praksa). Vendar se, kot je generalni pravobranilec navedel v točki 74 sklepnih predlogov, belgijska ureditev ne nanaša na pirotehnične izdelke ali na njihovo embalažo kot take, tako da ta ureditev ne predpisuje ene od zahtevanih značilnosti teh izdelkov. Zato ta ureditev ni „tehnična specifikacija“ v smislu člena 1, točka 3, Direktive 98/34.“</w:t>
      </w:r>
    </w:p>
    <w:p w14:paraId="3C1C0D5D" w14:textId="77777777">
      <w:pPr>
        <w:spacing w:after="0" w:line="240" w:lineRule="auto"/>
      </w:pPr>
    </w:p>
    <w:p w14:paraId="1B398E2A" w14:textId="0E921DB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4" w:anchor="ctx1" w:history="1">
        <w:r>
          <w:rPr>
            <w:color w:val="0000FF"/>
            <w:u w:val="single"/>
          </w:rPr>
          <w:t xml:space="preserve">Sodba z dne 28. maja 2020</w:t>
        </w:r>
      </w:hyperlink>
      <w:r>
        <w:t xml:space="preserve">, ECO-WIND Construction, C-727/17, EU:C:2020:393, točki 36 in 37.</w:t>
      </w:r>
      <w:bookmarkEnd w:id="41"/>
    </w:p>
    <w:p w14:paraId="0A0FB1E2" w14:textId="77777777">
      <w:pPr>
        <w:widowControl w:val="0"/>
        <w:autoSpaceDE w:val="0"/>
        <w:autoSpaceDN w:val="0"/>
        <w:spacing w:after="0" w:line="240" w:lineRule="auto"/>
        <w:jc w:val="both"/>
        <w:rPr>
          <w:rFonts w:ascii="Times New Roman" w:hAnsi="Times New Roman" w:cs="Times New Roman" w:eastAsia="Times New Roman"/>
          <w:szCs w:val="20"/>
        </w:rPr>
      </w:pPr>
    </w:p>
    <w:p w14:paraId="1727EFAA" w14:textId="2501EFD3">
      <w:pPr>
        <w:pStyle w:val="P68B1DB1-P68B1DB1-Normal135"/>
        <w:widowControl w:val="0"/>
        <w:autoSpaceDE w:val="0"/>
        <w:autoSpaceDN w:val="0"/>
        <w:spacing w:after="0" w:line="240" w:lineRule="auto"/>
        <w:jc w:val="both"/>
        <w:rPr>
          <w:b w:val="0"/>
          <w:bCs/>
          <w:i w:val="0"/>
          <w:iCs/>
        </w:rPr>
      </w:pPr>
      <w:r>
        <w:t xml:space="preserve">Uredba, ki določa najmanjšo razdaljo za postavitev vetrnih turbin, ni „tehnična specifikacija“, saj ne določa značilnosti proizvoda. </w:t>
      </w:r>
    </w:p>
    <w:p w14:paraId="722207F3" w14:textId="77777777">
      <w:pPr>
        <w:widowControl w:val="0"/>
        <w:autoSpaceDE w:val="0"/>
        <w:autoSpaceDN w:val="0"/>
        <w:spacing w:after="0" w:line="240" w:lineRule="auto"/>
        <w:jc w:val="both"/>
        <w:rPr>
          <w:rFonts w:ascii="Times New Roman" w:hAnsi="Times New Roman" w:cs="Times New Roman" w:eastAsia="Times New Roman"/>
          <w:szCs w:val="20"/>
        </w:rPr>
      </w:pPr>
    </w:p>
    <w:p w14:paraId="1E97E227" w14:textId="71BD8F6B">
      <w:pPr>
        <w:pStyle w:val="P68B1DB1-P68B1DB1-Normal1820"/>
        <w:widowControl w:val="0"/>
        <w:autoSpaceDE w:val="0"/>
        <w:autoSpaceDN w:val="0"/>
        <w:spacing w:after="0" w:line="240" w:lineRule="auto"/>
        <w:ind w:left="567"/>
        <w:jc w:val="both"/>
        <w:rPr>
          <w:sz w:val="18"/>
          <w:szCs w:val="18"/>
        </w:rPr>
      </w:pPr>
      <w:r>
        <w:t xml:space="preserve">„36. [...] v zvezi z morebitno uvrstitvijo iste zahteve kot tehničnega predpisa, ker spada v kategorijo „tehničnih specifikacij“, je treba poudariti, da tehnična specifikacija predpostavlja, da se nacionalni ukrep, ki jo predpisuje, nanaša na proizvod ali njegovo embalažo kot takega in da zato določa eno od zahtevanih značilnosti tega proizvoda (sodbi z dne 21. aprila 2005, Lindberg, C-267/03, EU:C:2005:246, točka 57, in z dne 19. julija 2012, Fortuna in drugi, C-213/11, C-214/11 in C-217/11, EU:C:2012:495, točka 28).</w:t>
      </w:r>
    </w:p>
    <w:p w14:paraId="43CBA2CC" w14:textId="77777777">
      <w:pPr>
        <w:pStyle w:val="P68B1DB1-Normal18"/>
        <w:widowControl w:val="0"/>
        <w:autoSpaceDE w:val="0"/>
        <w:autoSpaceDN w:val="0"/>
        <w:spacing w:after="0" w:line="240" w:lineRule="auto"/>
        <w:ind w:left="567"/>
        <w:jc w:val="both"/>
        <w:rPr>
          <w:sz w:val="18"/>
          <w:szCs w:val="18"/>
        </w:rPr>
      </w:pPr>
    </w:p>
    <w:p w14:paraId="76314186" w14:textId="0AD1E5B8">
      <w:pPr>
        <w:pStyle w:val="P68B1DB1-P68B1DB1-Normal1820"/>
        <w:widowControl w:val="0"/>
        <w:autoSpaceDE w:val="0"/>
        <w:autoSpaceDN w:val="0"/>
        <w:spacing w:after="0" w:line="240" w:lineRule="auto"/>
        <w:ind w:left="567"/>
        <w:jc w:val="both"/>
        <w:rPr>
          <w:iCs/>
          <w:sz w:val="18"/>
          <w:szCs w:val="18"/>
        </w:rPr>
      </w:pPr>
      <w:r>
        <w:t xml:space="preserve">37. V obravnavanem primeru pa je ureditev iz postopka v glavni stvari omejena na ureditev postavitve vetrnih elektrarn z določitvijo obvezne zahteve po najmanjši razdalji, ki jo je treba upoštevati pri njihovi namestitvi. Zato se ta ureditev ne nanaša na proizvod kot tak, v obravnavanem primeru na vetrni generator, in zato ne določa ene od zahtevanih značilnosti tega proizvoda v smislu člena 1(1)(f) Direktive 2015/1535 v povezavi s členom 1(1)(c) te direktive.“</w:t>
      </w:r>
    </w:p>
    <w:p w14:paraId="5AABB494" w14:textId="77777777">
      <w:pPr>
        <w:spacing w:after="0" w:line="240" w:lineRule="auto"/>
      </w:pPr>
    </w:p>
    <w:p w14:paraId="083B7832" w14:textId="56CC78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5" w:history="1">
        <w:r>
          <w:rPr>
            <w:color w:val="0000FF"/>
            <w:u w:val="single"/>
          </w:rPr>
          <w:t xml:space="preserve">Sodba z dne 22. oktobra 2020</w:t>
        </w:r>
      </w:hyperlink>
      <w:r>
        <w:t xml:space="preserve">, Sportingbet in Internet Opportunity Entertainment, C-275/19, EU:C:2020:856, točki 42 in 43.</w:t>
      </w:r>
      <w:bookmarkEnd w:id="42"/>
    </w:p>
    <w:p w14:paraId="6C7ED54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8C7F634" w14:textId="48937F16">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43" w:name="_Toc198043809"/>
      <w:r>
        <w:t xml:space="preserve">Nacionalna zakonodaja, ki prirejanje iger na srečo pridrži državi in zahteva, da se dovoljenja podelijo le javnim podjetjem, ni „tehnična specifikacija“, saj ne opredeljuje zahtevanih značilnosti proizvoda.</w:t>
      </w:r>
      <w:bookmarkEnd w:id="43"/>
    </w:p>
    <w:p w14:paraId="0A3D0FC5"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6392BB1A" w14:textId="67B2E488">
      <w:pPr>
        <w:pStyle w:val="P68B1DB1-P68B1DB1-Normal147"/>
        <w:widowControl w:val="0"/>
        <w:autoSpaceDE w:val="0"/>
        <w:autoSpaceDN w:val="0"/>
        <w:spacing w:after="0" w:line="240" w:lineRule="auto"/>
        <w:ind w:left="567"/>
        <w:jc w:val="both"/>
        <w:outlineLvl w:val="1"/>
        <w:rPr>
          <w:i/>
          <w:iCs/>
          <w:sz w:val="20"/>
          <w:szCs w:val="18"/>
        </w:rPr>
      </w:pPr>
      <w:bookmarkStart w:id="44" w:name="_Toc198043810"/>
      <w:r>
        <w:t xml:space="preserve">„42. V skladu s členom 1, točka 1, Direktive 83/189 je „tehnična specifikacija“ v smislu te direktive v dokumentu navedena specifikacija, ki določa zahtevane lastnosti proizvoda, kot so stopnja kakovosti, zmogljivost, varnost ali mere, vključno z zahtevami v zvezi s proizvodom glede imena, pod katerim se prodaja, izrazoslovjem, simboli, preskušanjem ali preskusnimi postopki, embalažo, označevanjem ali etiketiranjem (glej v tem smislu sodbo z dne 8. marca 2001, van der Burg, C-278/99, EU:C:2001:143, točka 20).</w:t>
      </w:r>
      <w:bookmarkEnd w:id="44"/>
    </w:p>
    <w:p w14:paraId="0F20B9AD" w14:textId="77777777">
      <w:pPr>
        <w:pStyle w:val="P68B1DB1-Normal14"/>
        <w:widowControl w:val="0"/>
        <w:autoSpaceDE w:val="0"/>
        <w:autoSpaceDN w:val="0"/>
        <w:spacing w:after="0" w:line="240" w:lineRule="auto"/>
        <w:ind w:left="567"/>
        <w:jc w:val="both"/>
        <w:outlineLvl w:val="1"/>
        <w:rPr>
          <w:i/>
          <w:iCs/>
          <w:sz w:val="20"/>
          <w:szCs w:val="18"/>
        </w:rPr>
      </w:pPr>
    </w:p>
    <w:p w14:paraId="757FE488" w14:textId="2F0812B7">
      <w:pPr>
        <w:pStyle w:val="P68B1DB1-P68B1DB1-Normal147"/>
        <w:widowControl w:val="0"/>
        <w:autoSpaceDE w:val="0"/>
        <w:autoSpaceDN w:val="0"/>
        <w:spacing w:after="0" w:line="240" w:lineRule="auto"/>
        <w:ind w:left="567"/>
        <w:jc w:val="both"/>
        <w:outlineLvl w:val="1"/>
        <w:rPr>
          <w:i/>
          <w:iCs/>
          <w:sz w:val="20"/>
          <w:szCs w:val="18"/>
        </w:rPr>
      </w:pPr>
      <w:bookmarkStart w:id="45" w:name="_Toc198043811"/>
      <w:r>
        <w:t xml:space="preserve">43. Ker člena 3 in 9 uredbe-zakona št. 422/89 določata pravila o koncesijah za prirejanje iger na srečo ali iger na srečo ter pogoje in območja za opravljanje te dejavnosti, ni razvidno, da bi se te določbe nanašale na značilnosti, ki se zahtevajo za proizvod v smislu člena 1(1) Direktive 83/189, tako da jih ni mogoče opredeliti kot ‚tehnične predpise‘ v smislu člena 1, točka 5, te direktive.“</w:t>
      </w:r>
      <w:bookmarkEnd w:id="45"/>
    </w:p>
    <w:p w14:paraId="317449EC" w14:textId="20C2AD43">
      <w:pPr>
        <w:spacing w:after="0" w:line="240" w:lineRule="auto"/>
      </w:pPr>
      <w:r>
        <w:br w:type="page"/>
      </w:r>
    </w:p>
    <w:p w14:paraId="5544B741" w14:textId="1E79FEAA">
      <w:pPr>
        <w:pStyle w:val="P68B1DB1-Heading24"/>
        <w:numPr>
          <w:ilvl w:val="0"/>
          <w:numId w:val="35"/>
        </w:numPr>
        <w:spacing w:before="0" w:after="0"/>
        <w:jc w:val="center"/>
        <w:rPr>
          <w:bCs/>
          <w:color w:val="auto"/>
        </w:rPr>
      </w:pPr>
      <w:bookmarkStart w:id="46" w:name="_Ref194484250"/>
      <w:bookmarkStart w:id="47" w:name="_Toc203035668"/>
      <w:r>
        <w:t xml:space="preserve">Druge zahteve</w:t>
      </w:r>
      <w:bookmarkEnd w:id="46"/>
      <w:bookmarkEnd w:id="47"/>
    </w:p>
    <w:p w14:paraId="48370E42" w14:textId="77777777">
      <w:pPr>
        <w:pStyle w:val="BodyText"/>
      </w:pPr>
    </w:p>
    <w:p w14:paraId="032AC50F" w14:textId="77777777">
      <w:pPr>
        <w:pStyle w:val="P68B1DB1-BodyText11"/>
        <w:ind w:left="567"/>
        <w:rPr>
          <w:i/>
        </w:rPr>
      </w:pPr>
      <w:r>
        <w:t xml:space="preserve">„‚druge zahteve‘ pomenijo zahtevo, ki ni tehnična specifikacija in ki velja za proizvod zaradi varstva zlasti potrošnikov ali okolja in ki vpliva na njegov življenjski cikel po tem, ko je bil dan na trg, kot so pogoji uporabe, recikliranja, ponovne uporabe ali odstranjevanja, kadar lahko taki pogoji znatno vplivajo na sestavo ali naravo proizvoda ali njegovo trženje;“</w:t>
      </w:r>
    </w:p>
    <w:p w14:paraId="1AD68414" w14:textId="77777777">
      <w:pPr>
        <w:pStyle w:val="BodyText"/>
        <w:ind w:left="567"/>
        <w:rPr>
          <w:i/>
          <w:iCs/>
        </w:rPr>
      </w:pPr>
    </w:p>
    <w:p w14:paraId="3295AC84" w14:textId="258D2B2D">
      <w:pPr>
        <w:pStyle w:val="BodyText"/>
        <w:ind w:left="1440"/>
        <w:jc w:val="right"/>
      </w:pPr>
      <w:r>
        <w:t xml:space="preserve">(Člen 1(1)(d) Direktive (EU) 2015/1535)</w:t>
      </w:r>
    </w:p>
    <w:p w14:paraId="330805BE" w14:textId="77777777">
      <w:pPr>
        <w:spacing w:after="0" w:line="240" w:lineRule="auto"/>
      </w:pPr>
    </w:p>
    <w:p w14:paraId="55D10FEE" w14:textId="55169F6A">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6" w:history="1">
        <w:r>
          <w:rPr>
            <w:color w:val="0000FF"/>
            <w:u w:val="single"/>
          </w:rPr>
          <w:t xml:space="preserve">Sodba z dne 21. aprila 2005</w:t>
        </w:r>
      </w:hyperlink>
      <w:r>
        <w:t xml:space="preserve">, Lindberg, C-267/03, EU:C:2005:246, točke od 68 do 78.</w:t>
      </w:r>
      <w:bookmarkEnd w:id="48"/>
    </w:p>
    <w:p w14:paraId="505D095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3CD77B" w14:textId="14D45A80">
      <w:pPr>
        <w:pStyle w:val="P68B1DB1-P68B1DB1-Normal135"/>
        <w:widowControl w:val="0"/>
        <w:tabs>
          <w:tab w:val="left" w:pos="396"/>
          <w:tab w:val="left" w:pos="425"/>
        </w:tabs>
        <w:autoSpaceDE w:val="0"/>
        <w:autoSpaceDN w:val="0"/>
        <w:spacing w:after="0" w:line="240" w:lineRule="auto"/>
        <w:jc w:val="both"/>
        <w:rPr>
          <w:b w:val="0"/>
          <w:bCs/>
          <w:i w:val="0"/>
          <w:iCs/>
        </w:rPr>
      </w:pPr>
      <w:r>
        <w:t xml:space="preserve">Nacionalno prepoved nekaterih iger na srečo je mogoče opredeliti kot „drugo zahtevo“, če lahko vpliva na sestavo, naravo ali trženje proizvoda. Če pa prepoved ne dopušča uporabe proizvoda, bo opisana kot določba o prepovedi (glej del I, poddel e. „Določbe o prepovedi“ tega dokumenta).</w:t>
      </w:r>
    </w:p>
    <w:p w14:paraId="652340FB"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1480B8F9" w14:textId="6F01164B">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„68. [...] ugotoviti je treba, da se zdi, da je nacionalni ukrep, kot je prepoved iz postopka v glavni stvari, posebej zajet s pojmom „druge zahteve“, ki je bil z Direktivo 94/10 vstavljen v Direktivo 83/189, da bi se razširilo njegovo področje uporabe, in da zato ne spada v kategorijo tehničnih specifikacij.</w:t>
      </w:r>
    </w:p>
    <w:p w14:paraId="2944EF7E"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54A46FBE" w14:textId="533DD288">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69. V bistvu gre za zahtevo, ki je določena za proizvod, torej za napravo za igre na igralnih avtomatih, predvsem zaradi varstva potrošnikov, torej zadevnih igralcev.</w:t>
      </w:r>
    </w:p>
    <w:p w14:paraId="435FA3FD"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7230431" w14:textId="24C978CF">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70. Pod takimi pogoji se prepoved, kot jo določajo upoštevne določbe spremenjenega zakona o loterijah, nanaša na uporabo proizvoda iz člena 1, točka 9, Direktive 83/189.</w:t>
      </w:r>
    </w:p>
    <w:p w14:paraId="25649921"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F534BDA" w14:textId="11B53D06">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71. Poleg tega zadevna zahteva za igralne naprave v glavni stvari ni predpisana zaradi dajanja v promet le-teh, ampak vpliva na njihov življenjski ciklus potem, ko so dane v promet, v smislu opredelitve izraza „druge zahteve“, določene s členom 1, točka 3, Direktive 83/189.</w:t>
      </w:r>
    </w:p>
    <w:p w14:paraId="59919AE6"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1F045F1" w14:textId="2B5F018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72. Da bi jo bilo mogoče uvrstiti med „druge zahteve“ iz člena 1, točka 3, Direktive 83/189, mora zahteva, kot je zadevna prepoved uporabe naprav za igre na igralnih avtomatih v postopku v glavni stvari, pomeniti „pogoj“, ki se v tem primeru nanaša na uporabo zadevnega proizvoda, ki lahko znatno vpliva na sestavo ali značilnost proizvoda ali na njegovo trženje.</w:t>
      </w:r>
    </w:p>
    <w:p w14:paraId="39B806F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3F01875" w14:textId="05AA70B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73. Vendar se postavi vprašanje, ali je treba omenjeno prepoved opredeliti kot „pogoj“, ki se nanaša na uporabo zadevnega proizvoda, ali pa gre nasprotno za nacionalni ukrep iz tretje skupine tehničnih predpisov iz člena 1, točka 9, Direktive 83/189, ki jo je v to direktivo prav tako uvedla Direktiva 94/10, in sicer iz skupine, ki zajema predvsem „zakonske določbe [...] držav članic glede prepovedi [...] uporabe proizvoda“.</w:t>
      </w:r>
    </w:p>
    <w:p w14:paraId="0CE71B7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91591B4" w14:textId="6B2734B5">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74. Ali nacionalni ukrep, kot je ta v zadevi v glavni stvari, spada v eno ali v drugo skupino tehničnih predpisov, je odvisno od obsega prepovedi, ki jo ta ukrep določa.</w:t>
      </w:r>
    </w:p>
    <w:p w14:paraId="6B836853"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2B46325D" w14:textId="0B46917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75. V tem oziru je pomembno, da omenjena tretja skupina tehničnih predpisov, opredeljena v členu 1, točka 9, Direktive 83/189, za razliko od druge skupine, ki jo sestavljajo druge zahteve iz člena 1, točka 3, te direktive, ne vsebuje pogoja, v skladu s katerim bi morala biti zadevna prepoved taka, da bi lahko znatno vplivala na sestavo ali značilnosti proizvoda oziroma na njegovo trženje.</w:t>
      </w:r>
    </w:p>
    <w:p w14:paraId="3F06D727"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0478C3F2" w14:textId="527C7CD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76. Če se ta tretja skupina tehničnih predpisov nanaša predvsem na prepoved uporabe, mora iti za ukrepe, katerih obseg očitno presega omejitev določenih možnih uporab zadevnega proizvoda in ki torej niso omejeni samo na utesnjevanje uporabe le-tega.</w:t>
      </w:r>
    </w:p>
    <w:p w14:paraId="2801C70C"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73DF0AC" w14:textId="160B2A71">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77. Kot je poudaril generalni pravobranilec v točki 70 svojih sklepnih predlogov, se ta skupina tehničnih predpisov nanaša predvsem na nacionalne ukrepe, ki dovoljujejo izključno obrobno uporabo, ki se lahko razumno pričakuje od zadevnega proizvoda. Predložitveno sodišče mora preveriti, ali je tako tudi v primeru prepovedi iz nacionalne določbe v postopku v glavni stvari.</w:t>
      </w:r>
    </w:p>
    <w:p w14:paraId="4E46E41B"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0A9AFAF" w14:textId="62EB4C4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78. Če bi se po takem preverjanju izkazalo, da v postopku v glavni stvari ni tako, bi bila lahko ta nacionalna določba opredeljena kot druge zahteve, če bi se ugotovilo, da je spoštovanje te zahteve de jure obvezno za uporabo proizvoda v zadevni državi članici v smislu člena 1, točka 9, Direktive 83/189. Vendar mora v tem primeru predložitveno sodišče preveriti tudi, ali lahko zadevna prepoved pomembno vpliva na sestavo ali naravo proizvoda ali na njegovo trženje v smislu člena 1(3).“</w:t>
      </w:r>
    </w:p>
    <w:p w14:paraId="58C5982D" w14:textId="77777777">
      <w:pPr>
        <w:widowControl w:val="0"/>
        <w:autoSpaceDE w:val="0"/>
        <w:autoSpaceDN w:val="0"/>
        <w:spacing w:after="0" w:line="240" w:lineRule="auto"/>
        <w:jc w:val="both"/>
        <w:outlineLvl w:val="1"/>
      </w:pPr>
    </w:p>
    <w:p w14:paraId="2F6BDAC1" w14:textId="2FA8E91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7" w:history="1">
        <w:r>
          <w:rPr>
            <w:color w:val="0000FF"/>
            <w:u w:val="single"/>
          </w:rPr>
          <w:t xml:space="preserve">Sodba z dne 9. junija 2011</w:t>
        </w:r>
      </w:hyperlink>
      <w:r>
        <w:t xml:space="preserve">, Intercommunale Intermosane in Fédération de l’industrie et du gaz, C-361/10, EU:C:2011:382, točki 20 in 21</w:t>
      </w:r>
      <w:bookmarkEnd w:id="49"/>
    </w:p>
    <w:p w14:paraId="57B3E0E0"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C6C525" w14:textId="4FA3F43D">
      <w:pPr>
        <w:pStyle w:val="P68B1DB1-P68B1DB1-Normal135"/>
        <w:widowControl w:val="0"/>
        <w:autoSpaceDE w:val="0"/>
        <w:autoSpaceDN w:val="0"/>
        <w:spacing w:after="0" w:line="240" w:lineRule="auto"/>
        <w:jc w:val="both"/>
        <w:rPr>
          <w:b w:val="0"/>
          <w:bCs/>
          <w:i w:val="0"/>
          <w:iCs/>
        </w:rPr>
      </w:pPr>
      <w:r>
        <w:t xml:space="preserve">Nacionalnih določb, ki določajo minimalne zahteve za gradnjo električnih naprav in varnost delavcev, ni mogoče opredeliti kot „druge zahteve“, saj njihova splošna narava ne omogoča znatnega vpliva na sestavo, naravo ali trženje zadevnih proizvodov.</w:t>
      </w:r>
    </w:p>
    <w:p w14:paraId="2685F921" w14:textId="77777777">
      <w:pPr>
        <w:pStyle w:val="P68B1DB1-Normal14"/>
        <w:widowControl w:val="0"/>
        <w:autoSpaceDE w:val="0"/>
        <w:autoSpaceDN w:val="0"/>
        <w:spacing w:after="0" w:line="240" w:lineRule="auto"/>
        <w:ind w:left="567"/>
        <w:jc w:val="both"/>
      </w:pPr>
    </w:p>
    <w:p w14:paraId="7CB334E9" w14:textId="5A4E49E5">
      <w:pPr>
        <w:pStyle w:val="P68B1DB1-P68B1DB1-Normal147"/>
        <w:widowControl w:val="0"/>
        <w:autoSpaceDE w:val="0"/>
        <w:autoSpaceDN w:val="0"/>
        <w:spacing w:after="0" w:line="240" w:lineRule="auto"/>
        <w:ind w:left="567"/>
        <w:jc w:val="both"/>
        <w:rPr>
          <w:i/>
          <w:iCs/>
          <w:sz w:val="20"/>
          <w:szCs w:val="18"/>
        </w:rPr>
      </w:pPr>
      <w:r>
        <w:t xml:space="preserve">„20. V skladu s sodno prakso morajo minimalne zahteve, določene z navedenimi določbami, da bi jih bilo mogoče opredeliti kot „druge zahteve“ v smislu člena 1, točka 4, Direktive 98/34, pomeniti „pogoje“, ki lahko občutno vplivajo na sestavo ali značilnost proizvoda ali na njegovo trženje (glej v tem smislu zgoraj navedeno sodbo Lindberg, točka 72).</w:t>
      </w:r>
    </w:p>
    <w:p w14:paraId="0201CB41" w14:textId="77777777">
      <w:pPr>
        <w:pStyle w:val="P68B1DB1-Normal14"/>
        <w:widowControl w:val="0"/>
        <w:autoSpaceDE w:val="0"/>
        <w:autoSpaceDN w:val="0"/>
        <w:spacing w:after="0" w:line="240" w:lineRule="auto"/>
        <w:ind w:left="567"/>
        <w:jc w:val="both"/>
        <w:rPr>
          <w:i/>
          <w:iCs/>
          <w:sz w:val="20"/>
          <w:szCs w:val="18"/>
        </w:rPr>
      </w:pPr>
    </w:p>
    <w:p w14:paraId="19DF32CA" w14:textId="1B626E8C">
      <w:pPr>
        <w:pStyle w:val="P68B1DB1-P68B1DB1-Normal147"/>
        <w:widowControl w:val="0"/>
        <w:autoSpaceDE w:val="0"/>
        <w:autoSpaceDN w:val="0"/>
        <w:spacing w:after="0" w:line="240" w:lineRule="auto"/>
        <w:ind w:left="567"/>
        <w:jc w:val="both"/>
        <w:rPr>
          <w:bCs/>
          <w:i/>
          <w:iCs/>
          <w:sz w:val="20"/>
          <w:szCs w:val="18"/>
        </w:rPr>
      </w:pPr>
      <w:r>
        <w:t xml:space="preserve">21. Ob upoštevanju splošne narave navedenih zahtev te zahteve ne morejo pomeniti takih pogojev in jih zato ni mogoče opredeliti kot „druge zahteve“ v smislu člena 1(4) Direktive.“</w:t>
      </w:r>
    </w:p>
    <w:p w14:paraId="22AC2F60" w14:textId="77777777">
      <w:pPr>
        <w:spacing w:after="0" w:line="240" w:lineRule="auto"/>
      </w:pPr>
    </w:p>
    <w:p w14:paraId="42A24500" w14:textId="38331AD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8" w:history="1">
        <w:r>
          <w:rPr>
            <w:color w:val="0000FF"/>
            <w:u w:val="single"/>
          </w:rPr>
          <w:t xml:space="preserve">Sodba z dne 19. julija 2012</w:t>
        </w:r>
      </w:hyperlink>
      <w:r>
        <w:t xml:space="preserve">, Fortuna in drugi, C-213/11, C-214/11 in C-217/11, EU:C:2012:495, točke 35, 36 in 40</w:t>
      </w:r>
      <w:bookmarkEnd w:id="50"/>
    </w:p>
    <w:p w14:paraId="663DE3A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F531831" w14:textId="1178CA17">
      <w:pPr>
        <w:pStyle w:val="P68B1DB1-P68B1DB1-Normal135"/>
        <w:widowControl w:val="0"/>
        <w:tabs>
          <w:tab w:val="left" w:pos="451"/>
        </w:tabs>
        <w:autoSpaceDE w:val="0"/>
        <w:autoSpaceDN w:val="0"/>
        <w:spacing w:after="0" w:line="240" w:lineRule="auto"/>
        <w:jc w:val="both"/>
        <w:rPr>
          <w:b w:val="0"/>
          <w:bCs/>
          <w:i w:val="0"/>
          <w:iCs/>
        </w:rPr>
      </w:pPr>
      <w:r>
        <w:t xml:space="preserve">Nacionalne določbe, ki omejujejo delovanje igralnih avtomatov zunaj igralnic, je mogoče opredeliti kot „druge zahteve“ in torej kot „tehnične predpise“, če pomembno vplivajo na naravo ali trženje zadevnih proizvodov. </w:t>
      </w:r>
    </w:p>
    <w:p w14:paraId="61D3F52D"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20"/>
          <w:szCs w:val="16"/>
        </w:rPr>
      </w:pPr>
    </w:p>
    <w:p w14:paraId="1B71B669" w14:textId="30006E3D">
      <w:pPr>
        <w:pStyle w:val="P68B1DB1-P68B1DB1-Normal147"/>
        <w:widowControl w:val="0"/>
        <w:tabs>
          <w:tab w:val="left" w:pos="451"/>
        </w:tabs>
        <w:autoSpaceDE w:val="0"/>
        <w:autoSpaceDN w:val="0"/>
        <w:spacing w:after="0" w:line="240" w:lineRule="auto"/>
        <w:ind w:left="567"/>
        <w:jc w:val="both"/>
        <w:rPr>
          <w:i/>
          <w:sz w:val="20"/>
          <w:szCs w:val="18"/>
        </w:rPr>
      </w:pPr>
      <w:r>
        <w:t xml:space="preserve">„35. [...] Sodišče je razsodilo, da morajo biti zadevni nacionalni ukrepi, da bi jih bilo mogoče opredeliti kot „druge zahteve“ v smislu člena 1(4) Direktive 98/34, „pogoji“, ki lahko pomembno vplivajo na sestavo, naravo ali trženje zadevnega proizvoda (glej v tem smislu zgoraj navedeni sodbi Lindberg, točka 72, in Intercommunale Intermosane in Fédération de l’industrie et du gaz, točka 20).</w:t>
      </w:r>
    </w:p>
    <w:p w14:paraId="746FA5AB" w14:textId="77777777">
      <w:pPr>
        <w:pStyle w:val="P68B1DB1-Normal14"/>
        <w:widowControl w:val="0"/>
        <w:tabs>
          <w:tab w:val="left" w:pos="451"/>
        </w:tabs>
        <w:autoSpaceDE w:val="0"/>
        <w:autoSpaceDN w:val="0"/>
        <w:spacing w:after="0" w:line="240" w:lineRule="auto"/>
        <w:ind w:left="567"/>
        <w:jc w:val="both"/>
        <w:rPr>
          <w:i/>
          <w:sz w:val="20"/>
          <w:szCs w:val="18"/>
        </w:rPr>
      </w:pPr>
    </w:p>
    <w:p w14:paraId="7A3394EB" w14:textId="0B6B76F9">
      <w:pPr>
        <w:pStyle w:val="P68B1DB1-P68B1DB1-Normal147"/>
        <w:widowControl w:val="0"/>
        <w:tabs>
          <w:tab w:val="left" w:pos="451"/>
        </w:tabs>
        <w:autoSpaceDE w:val="0"/>
        <w:autoSpaceDN w:val="0"/>
        <w:spacing w:after="0" w:line="240" w:lineRule="auto"/>
        <w:ind w:left="567"/>
        <w:jc w:val="both"/>
        <w:rPr>
          <w:i/>
          <w:sz w:val="20"/>
          <w:szCs w:val="18"/>
        </w:rPr>
      </w:pPr>
      <w:r>
        <w:t xml:space="preserve">36. V zvezi s tem je treba navesti, da prehodne določbe zakona o igrah na srečo vsebujejo pogoje, ki lahko vplivajo na trženje igralnih avtomatov z nizkimi dobitki. Prepoved izdajanja, podaljševanja ali spreminjanja dovoljenj za dejavnosti, povezane z igrami na igralnih avtomatih z nizkimi dobitki zunaj igralnic, neposredno vpliva na trgovino z igralnimi avtomati z nizkimi dobitki.“</w:t>
      </w:r>
    </w:p>
    <w:p w14:paraId="27E4E8B1" w14:textId="77777777">
      <w:pPr>
        <w:widowControl w:val="0"/>
        <w:tabs>
          <w:tab w:val="left" w:pos="451"/>
        </w:tabs>
        <w:autoSpaceDE w:val="0"/>
        <w:autoSpaceDN w:val="0"/>
        <w:spacing w:after="0" w:line="240" w:lineRule="auto"/>
        <w:ind w:left="567"/>
        <w:jc w:val="both"/>
        <w:rPr>
          <w:rFonts w:ascii="Times New Roman" w:hAnsi="Times New Roman" w:cs="Times New Roman" w:eastAsia="Times New Roman"/>
          <w:i/>
          <w:sz w:val="18"/>
          <w:szCs w:val="14"/>
        </w:rPr>
      </w:pPr>
    </w:p>
    <w:p w14:paraId="13BFA8BE" w14:textId="303CF5F4">
      <w:pPr>
        <w:pStyle w:val="P68B1DB1-P68B1DB1-Normal147"/>
        <w:widowControl w:val="0"/>
        <w:tabs>
          <w:tab w:val="left" w:pos="451"/>
        </w:tabs>
        <w:autoSpaceDE w:val="0"/>
        <w:autoSpaceDN w:val="0"/>
        <w:spacing w:after="0" w:line="240" w:lineRule="auto"/>
        <w:ind w:left="567"/>
        <w:jc w:val="both"/>
        <w:rPr>
          <w:i/>
          <w:sz w:val="20"/>
          <w:szCs w:val="18"/>
        </w:rPr>
      </w:pPr>
      <w:r>
        <w:t xml:space="preserve">„40. [...] na postavljeni vprašanji je treba odgovoriti, da je treba člen 1, točka 11, Direktive 98/34 razlagati tako, da lahko nacionalne določbe, kot so določbe zakona o igrah na srečo, ki bi lahko omejile ali celo postopoma onemogočile prirejanje iger na igralnih avtomatih z nizkimi dobitki kjer koli drugje kot v igralnicah in igralnih salonih, pomenijo „tehnične predpise“ v smislu te določbe. katerih osnutki morajo biti sporočeni v skladu s členom 8(1), prvi pododstavek, Direktive, če se ugotovi, da te določbe pomenijo pogoje, ki lahko znatno vplivajo na naravo ali trženje zadevnega proizvoda, kar mora preveriti predložitveno sodišče.“</w:t>
      </w:r>
    </w:p>
    <w:p w14:paraId="3AB93DB7" w14:textId="77777777">
      <w:pPr>
        <w:spacing w:after="0" w:line="240" w:lineRule="auto"/>
      </w:pPr>
    </w:p>
    <w:p w14:paraId="6F817443" w14:textId="50BA543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9" w:history="1">
        <w:r>
          <w:rPr>
            <w:b/>
            <w:i/>
            <w:color w:val="0000FF"/>
            <w:u w:val="single"/>
          </w:rPr>
          <w:t xml:space="preserve">Sodba z dne 10. julija 2014</w:t>
        </w:r>
      </w:hyperlink>
      <w:r>
        <w:rPr>
          <w:b/>
          <w:i/>
        </w:rPr>
        <w:t xml:space="preserve">, Ivansson in drugi</w:t>
      </w:r>
      <w:r>
        <w:rPr>
          <w:sz w:val="25"/>
        </w:rPr>
        <w:t>,</w:t>
      </w:r>
      <w:r>
        <w:rPr>
          <w:b/>
          <w:i/>
        </w:rPr>
        <w:t xml:space="preserve"> C-307/13, EU:C:2014:2058, točke od 26 do 28</w:t>
      </w:r>
      <w:bookmarkEnd w:id="51"/>
    </w:p>
    <w:p w14:paraId="545625E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7F9CB0B" w14:textId="6B35A590">
      <w:pPr>
        <w:pStyle w:val="P68B1DB1-P68B1DB1-Normal135"/>
        <w:widowControl w:val="0"/>
        <w:tabs>
          <w:tab w:val="left" w:pos="396"/>
          <w:tab w:val="left" w:pos="407"/>
        </w:tabs>
        <w:autoSpaceDE w:val="0"/>
        <w:autoSpaceDN w:val="0"/>
        <w:spacing w:after="0" w:line="240" w:lineRule="auto"/>
        <w:jc w:val="both"/>
        <w:rPr>
          <w:b w:val="0"/>
          <w:bCs/>
          <w:i w:val="0"/>
          <w:iCs/>
        </w:rPr>
      </w:pPr>
      <w:r>
        <w:t xml:space="preserve">Pravilo, ki določa splošni cilj udobja perutnine in kakovosti objektov za rejo, ni „druga zahteva“, saj njegova splošna narava verjetno ne bo vplivala na sestavo, naravo ali trženje končnega proizvoda. </w:t>
      </w:r>
    </w:p>
    <w:p w14:paraId="14EF2596"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581B4FF" w14:textId="624DB181">
      <w:pPr>
        <w:pStyle w:val="P68B1DB1-P68B1DB1-Normal147"/>
        <w:spacing w:after="0" w:line="240" w:lineRule="auto"/>
        <w:ind w:left="567"/>
        <w:jc w:val="both"/>
        <w:rPr>
          <w:i/>
          <w:iCs/>
          <w:sz w:val="20"/>
          <w:szCs w:val="18"/>
        </w:rPr>
      </w:pPr>
      <w:r>
        <w:t xml:space="preserve">„26. [...] Sodišče je že razsodilo, da morajo biti zadevni nacionalni ukrepi, da bi jih bilo mogoče opredeliti kot „druge zahteve“ v smislu člena 1(4) Direktive 98/34, „pogoji“, ki lahko pomembno vplivajo na sestavo ali naravo zadevnega proizvoda ali na njegovo trženje (glej sodbo Fortuna in drugi, EU:C:2012:495, točka 35 in navedena sodna praksa).</w:t>
      </w:r>
    </w:p>
    <w:p w14:paraId="4C097BBE" w14:textId="77777777">
      <w:pPr>
        <w:pStyle w:val="P68B1DB1-Normal14"/>
        <w:spacing w:after="0" w:line="240" w:lineRule="auto"/>
        <w:ind w:left="567"/>
        <w:jc w:val="both"/>
        <w:rPr>
          <w:i/>
          <w:iCs/>
          <w:sz w:val="20"/>
          <w:szCs w:val="18"/>
        </w:rPr>
      </w:pPr>
    </w:p>
    <w:p w14:paraId="22DD1173" w14:textId="5E72285F">
      <w:pPr>
        <w:pStyle w:val="P68B1DB1-P68B1DB1-Normal147"/>
        <w:spacing w:after="0" w:line="240" w:lineRule="auto"/>
        <w:ind w:left="567"/>
        <w:jc w:val="both"/>
        <w:rPr>
          <w:i/>
          <w:iCs/>
          <w:sz w:val="20"/>
          <w:szCs w:val="18"/>
        </w:rPr>
      </w:pPr>
      <w:r>
        <w:t xml:space="preserve">27. Sodišče je presodilo tudi, da če so navodila v nacionalnem ukrepu splošna, ne morejo pomeniti takih pogojev in jih zato tudi ni mogoče opredeliti kot „druge zahteve“ v smislu navedenega člena 1, točka 4 (glej v tem smislu sodbo Intercommunale Intermosane in Fédération de l’industrie et du gaz, EU:C:2011:382, točka 21).</w:t>
      </w:r>
    </w:p>
    <w:p w14:paraId="15F3320F" w14:textId="77777777">
      <w:pPr>
        <w:pStyle w:val="P68B1DB1-Normal14"/>
        <w:spacing w:after="0" w:line="240" w:lineRule="auto"/>
        <w:ind w:left="567"/>
        <w:jc w:val="both"/>
        <w:rPr>
          <w:i/>
          <w:iCs/>
          <w:sz w:val="20"/>
          <w:szCs w:val="18"/>
        </w:rPr>
      </w:pPr>
    </w:p>
    <w:p w14:paraId="2DD435A7" w14:textId="30F8D24A">
      <w:pPr>
        <w:pStyle w:val="P68B1DB1-P68B1DB1-Normal147"/>
        <w:spacing w:after="0" w:line="240" w:lineRule="auto"/>
        <w:ind w:left="567"/>
        <w:jc w:val="both"/>
        <w:rPr>
          <w:bCs/>
          <w:i/>
          <w:iCs/>
          <w:sz w:val="20"/>
          <w:szCs w:val="18"/>
        </w:rPr>
      </w:pPr>
      <w:r>
        <w:t xml:space="preserve">28. Zelo splošna formulacija člena 9 DSF, kot je navedeno v točkah 22 in 23 te sodbe, torej nasprotuje temu, da bi se štelo, da ta določba določa pogoje glede sestave ali narave zadevnih proizvodov ali njihovega trženja.“</w:t>
      </w:r>
    </w:p>
    <w:p w14:paraId="411B1718" w14:textId="77777777">
      <w:pPr>
        <w:spacing w:after="0" w:line="240" w:lineRule="auto"/>
        <w:rPr>
          <w:rFonts w:ascii="Times New Roman" w:hAnsi="Times New Roman" w:cs="Times New Roman" w:eastAsia="Times New Roman"/>
          <w:bCs/>
          <w:i/>
          <w:sz w:val="20"/>
          <w:szCs w:val="16"/>
        </w:rPr>
      </w:pPr>
    </w:p>
    <w:p w14:paraId="4751BBE0" w14:textId="22592B0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0" w:anchor="ctx1" w:history="1">
        <w:r>
          <w:rPr>
            <w:color w:val="0000FF"/>
            <w:u w:val="single"/>
          </w:rPr>
          <w:t xml:space="preserve">Sodba z dne 11. junija 2015</w:t>
        </w:r>
      </w:hyperlink>
      <w:r>
        <w:t xml:space="preserve">, Berlington Hungary in drugi, C-98/14, EU:C:2015:386, točki 98 in 99.</w:t>
      </w:r>
      <w:bookmarkEnd w:id="52"/>
    </w:p>
    <w:p w14:paraId="25A1572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998E6F5" w14:textId="77777777">
      <w:pPr>
        <w:pStyle w:val="P68B1DB1-P68B1DB1-Normal135"/>
        <w:widowControl w:val="0"/>
        <w:tabs>
          <w:tab w:val="left" w:pos="396"/>
          <w:tab w:val="left" w:pos="449"/>
        </w:tabs>
        <w:autoSpaceDE w:val="0"/>
        <w:autoSpaceDN w:val="0"/>
        <w:spacing w:after="0" w:line="240" w:lineRule="auto"/>
        <w:jc w:val="both"/>
        <w:rPr>
          <w:b w:val="0"/>
          <w:bCs/>
          <w:i w:val="0"/>
          <w:iCs/>
        </w:rPr>
      </w:pPr>
      <w:r>
        <w:t xml:space="preserve">Nacionalne določbe, ki prepovedujejo delovanje igralnih avtomatov zunaj igralnic, so „druge zahteve“, saj lahko pomembno vplivajo na naravo ali trženje takih avtomatov.</w:t>
      </w:r>
    </w:p>
    <w:p w14:paraId="39E1078A"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08EB1E5D" w14:textId="2E1379BD">
      <w:pPr>
        <w:pStyle w:val="P68B1DB1-P68B1DB1-Normal147"/>
        <w:widowControl w:val="0"/>
        <w:tabs>
          <w:tab w:val="left" w:pos="396"/>
          <w:tab w:val="left" w:pos="449"/>
        </w:tabs>
        <w:autoSpaceDE w:val="0"/>
        <w:autoSpaceDN w:val="0"/>
        <w:spacing w:after="0" w:line="240" w:lineRule="auto"/>
        <w:ind w:left="567"/>
        <w:jc w:val="both"/>
        <w:rPr>
          <w:i/>
          <w:iCs/>
          <w:sz w:val="20"/>
          <w:szCs w:val="18"/>
        </w:rPr>
      </w:pPr>
      <w:bookmarkStart w:id="53" w:name="point98"/>
      <w:r>
        <w:t>„</w:t>
      </w:r>
      <w:bookmarkEnd w:id="53"/>
      <w:r>
        <w:t xml:space="preserve">98. [...] Sodišče je že razsodilo, da je nacionalni ukrep, ki prirejanje nekaterih iger na srečo omejuje na igralnice, „tehnični predpis“ v smislu člena 1, točka 11, te direktive, če lahko pomembno vpliva na naravo ali trženje proizvodov, uporabljenih v tem okviru (glej v tem smislu sodbi Komisija/Grčija, C-65/05, EU:C:2006:673, točka 61, in Fortuna in drugi, C-213/11, C-214/11 in C-217/11, EU:C:2012:495, točki 24 in 40).</w:t>
      </w:r>
    </w:p>
    <w:p w14:paraId="3EF89879" w14:textId="77777777">
      <w:pPr>
        <w:pStyle w:val="P68B1DB1-Normal14"/>
        <w:widowControl w:val="0"/>
        <w:tabs>
          <w:tab w:val="left" w:pos="396"/>
          <w:tab w:val="left" w:pos="449"/>
        </w:tabs>
        <w:autoSpaceDE w:val="0"/>
        <w:autoSpaceDN w:val="0"/>
        <w:spacing w:after="0" w:line="240" w:lineRule="auto"/>
        <w:ind w:left="567"/>
        <w:jc w:val="both"/>
        <w:rPr>
          <w:i/>
          <w:iCs/>
          <w:sz w:val="20"/>
          <w:szCs w:val="18"/>
        </w:rPr>
      </w:pPr>
    </w:p>
    <w:p w14:paraId="61FE26C2" w14:textId="47FD8C72">
      <w:pPr>
        <w:pStyle w:val="P68B1DB1-P68B1DB1-Normal147"/>
        <w:widowControl w:val="0"/>
        <w:tabs>
          <w:tab w:val="left" w:pos="396"/>
          <w:tab w:val="left" w:pos="449"/>
        </w:tabs>
        <w:autoSpaceDE w:val="0"/>
        <w:autoSpaceDN w:val="0"/>
        <w:spacing w:after="0" w:line="240" w:lineRule="auto"/>
        <w:ind w:left="567"/>
        <w:jc w:val="both"/>
        <w:rPr>
          <w:i/>
          <w:iCs/>
          <w:sz w:val="20"/>
          <w:szCs w:val="18"/>
        </w:rPr>
      </w:pPr>
      <w:r>
        <w:t xml:space="preserve">99. Vendar lahko prepoved uporabe igralnih avtomatov zunaj igralnic, kot je ta, ki je bila uvedena z zakonom o spremembi iz leta 2012, znatno vpliva na naravo ali trženje teh avtomatov, ki so proizvodi, za katere se lahko uporablja člen 34 PDEU (glej sodbo Läärä in drugi, C-124/97, EU:C:1999:435, točki 20 in 24), saj zmanjšuje možnosti njihove uporabe.“</w:t>
      </w:r>
    </w:p>
    <w:p w14:paraId="6E21C148" w14:textId="77777777">
      <w:pPr>
        <w:pStyle w:val="P68B1DB1-Normal14"/>
        <w:widowControl w:val="0"/>
        <w:tabs>
          <w:tab w:val="left" w:pos="396"/>
          <w:tab w:val="left" w:pos="449"/>
        </w:tabs>
        <w:autoSpaceDE w:val="0"/>
        <w:autoSpaceDN w:val="0"/>
        <w:spacing w:after="0" w:line="240" w:lineRule="auto"/>
        <w:ind w:left="567"/>
        <w:jc w:val="both"/>
      </w:pPr>
    </w:p>
    <w:p w14:paraId="2000DB13" w14:textId="27A949A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1" w:history="1">
        <w:r>
          <w:rPr>
            <w:color w:val="0000FF"/>
            <w:u w:val="single"/>
          </w:rPr>
          <w:t xml:space="preserve">Sodba z dne 13. oktobra 2016</w:t>
        </w:r>
      </w:hyperlink>
      <w:r>
        <w:t xml:space="preserve">, Naczelnik Urzędu Celnego I w Ł., C-303/15, EU:C:2016:771, točke od 25 do 30</w:t>
      </w:r>
      <w:bookmarkEnd w:id="54"/>
    </w:p>
    <w:p w14:paraId="5BE11B60"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65E429E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Določba, ki opravljanje dejavnosti iger na srečo pogojuje s posedovanjem dovoljenja za obratovanje igralnice, ni „druga zahteva“. Čeprav lahko določbe, ki omejujejo prirejanje iger na srečo na igralnice, znatno vplivajo na trženje povezanih proizvodov, saj zmanjšujejo njihove distribucijske poti, pravila, ki urejajo pogoje za ustanavljanje podjetij, verjetno ne bodo pomembno vplivala na naravo ali trženje uporabljenih proizvodov.</w:t>
      </w:r>
    </w:p>
    <w:p w14:paraId="7D28A90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 w:val="20"/>
          <w:szCs w:val="18"/>
        </w:rPr>
      </w:pPr>
    </w:p>
    <w:p w14:paraId="1BE98C7F" w14:textId="7F54B5A4">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„25. Nazadnje, za ugotovitev, ali člen 6(1) zakona o igrah na srečo spada bodisi na področje uporabe člena 1(4) Direktive 98/34 bodisi na področje uporabe člena 1, točka 11, te direktive, je treba preveriti, ali lahko taka določba pomembno vpliva na sestavo, naravo ali trženje zadevnega izdelka, v tem primeru igralnih avtomatov, kot „pogoja“ v zvezi z uporabo zadevnega izdelka, ali pa gre za nacionalni ukrep, ki spada v kategorijo prepovedi iz člena 1, točka 11, te direktive.</w:t>
      </w:r>
    </w:p>
    <w:p w14:paraId="69BFAFE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9CB89CD" w14:textId="3DFDE1A5">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26. Glede tega je treba spomniti, da člen 14(1) zakona o igrah na srečo omejuje prirejanje iger z ruleto, igralnimi kartami in kockami ter iger na igralnih avtomatih na igralnice. Ta določba je bila sporočena Komisiji kot „tehnični predpis“ glede na to, da je Sodišče že razsodilo, prvič, da nacionalni ukrep, ki prirejanje nekaterih iger na srečo omejuje na igralnice, pomeni „tehnični predpis“ v smislu člena 1, točka 11, Direktive 98/34, ker lahko občutno vpliva na značilnost ali trženje zadevnih proizvodov v teh okoliščinah, in drugič, da lahko prepoved upravljanja nekaterih proizvodov zunaj igralnic znatno vpliva na trženje teh proizvodov z zmanjšanjem možnosti njihove uporabe (glej v tem smislu sodbo z dne 11. junija 2015, Berlington Hungary in drugi, C-98/14, EU:C:2015:386, točki 98 in 99).</w:t>
      </w:r>
    </w:p>
    <w:p w14:paraId="107284B9"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145A5B71" w14:textId="6CEF0E10">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27. Ni pa bil sporočen člen 6(1) tega zakona, v skladu s katerim je za dejavnosti na področju iger z ruleto, igralnimi kartami in kockami ter iger na igralnih avtomatih potrebno dovoljenje za upravljanje igralnice.</w:t>
      </w:r>
    </w:p>
    <w:p w14:paraId="6972B44C"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07BB4ED" w14:textId="2BEC0401">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Trditve Komisije, da tesna povezava med zadevnima nacionalnima določbama pomeni, da člena 14(1) zakona o igrah na srečo ni mogoče ločiti od člena 6(1) tega zakona, ni mogoče sprejeti. Kot je namreč generalni pravobranilec navedel v točkah od 38 do 44 sklepnih predlogov, imata člen 6(1) navedenega zakona in njegov člen 14(1) različni funkciji in področji uporabe. Opisni element iz člena 6(1) tega zakona, s katerim je zadevno dovoljenje označeno kot dovoljenje „za upravljanje igralnice“, ne spremeni te ugotovitve.</w:t>
      </w:r>
    </w:p>
    <w:p w14:paraId="54D8E8D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2068C2E4" w14:textId="0FD51152">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29. Zato je treba ugotoviti, da člena 6(1) zakona o igrah na srečo ni mogoče šteti za „drugo zahtevo“ v smislu člena 1, točka 4, Direktive 98/34, ker pomeni dovoljenje, ki se s to nacionalno določbo zahteva za prirejanje iger na srečo, pogoj za dejavnost prirejanja takih iger, drugače od člena 14(1) tega zakona, ki določa pogoje za zadevne proizvode s prepovedovanjem njihovega upravljanja zunaj igralnic.</w:t>
      </w:r>
    </w:p>
    <w:p w14:paraId="6E096F4E"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AFFF24D" w14:textId="079610FD">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30. Poleg tega v skladu z ustaljeno sodno prakso določbe nacionalnega prava, ki določajo le pogoje za ustanavljanje ali opravljanje storitev podjetij, kot so določbe, ki opravljanje gospodarske dejavnosti pogojujejo s predhodnim dovoljenjem, niso tehnični predpisi v smislu člena 1, točka 11, Direktive 98/34 (glej v tem smislu sodbo z dne 4. februarja 2016, Ince, C-336/14, EU:C:2016:72, točka 76 in navedena sodna praksa).“</w:t>
      </w:r>
    </w:p>
    <w:p w14:paraId="47FF74A0" w14:textId="77777777">
      <w:pPr>
        <w:spacing w:after="0" w:line="240" w:lineRule="auto"/>
        <w:rPr>
          <w:sz w:val="20"/>
          <w:szCs w:val="20"/>
        </w:rPr>
      </w:pPr>
    </w:p>
    <w:p w14:paraId="2E29F352" w14:textId="7C1F042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2" w:history="1">
        <w:r>
          <w:rPr>
            <w:color w:val="0000FF"/>
            <w:u w:val="single"/>
          </w:rPr>
          <w:t xml:space="preserve">Sodba z dne 27. oktobra 2016</w:t>
        </w:r>
      </w:hyperlink>
      <w:r>
        <w:t xml:space="preserve">, James Elliott Construction, C-613/14, EU:C:2016:821, točke od 67 do 69.</w:t>
      </w:r>
      <w:bookmarkEnd w:id="55"/>
    </w:p>
    <w:p w14:paraId="1A68586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ED19EDB" w14:textId="566C76FE">
      <w:pPr>
        <w:widowControl w:val="0"/>
        <w:tabs>
          <w:tab w:val="left" w:pos="430"/>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Nacionalne določbe, ki določajo implicitne pogodbene pogoje v zvezi s tržno kakovostjo, primernostjo za uporabo ali kakovostjo proizvodov, ki se prodajajo, ne pomenijo „drugih zahtev“, saj zaradi njihove splošne narave verjetno ne bodo pomembno vplivale na sestavo, naravo ali trženje zadevnih proizvodov.</w:t>
      </w:r>
    </w:p>
    <w:p w14:paraId="030038CF" w14:textId="77777777">
      <w:pPr>
        <w:widowControl w:val="0"/>
        <w:tabs>
          <w:tab w:val="left" w:pos="430"/>
        </w:tabs>
        <w:autoSpaceDE w:val="0"/>
        <w:autoSpaceDN w:val="0"/>
        <w:spacing w:after="0" w:line="240" w:lineRule="auto"/>
        <w:jc w:val="both"/>
        <w:rPr>
          <w:rFonts w:ascii="Times New Roman" w:hAnsi="Times New Roman" w:cs="Times New Roman" w:eastAsia="Times New Roman"/>
          <w:sz w:val="20"/>
          <w:szCs w:val="18"/>
        </w:rPr>
      </w:pPr>
    </w:p>
    <w:p w14:paraId="3AC7F779" w14:textId="3E2215BE">
      <w:pPr>
        <w:pStyle w:val="P68B1DB1-P68B1DB1-Normal147"/>
        <w:widowControl w:val="0"/>
        <w:tabs>
          <w:tab w:val="left" w:pos="430"/>
        </w:tabs>
        <w:autoSpaceDE w:val="0"/>
        <w:autoSpaceDN w:val="0"/>
        <w:spacing w:after="0" w:line="240" w:lineRule="auto"/>
        <w:ind w:left="567"/>
        <w:jc w:val="both"/>
        <w:rPr>
          <w:i/>
          <w:iCs/>
          <w:sz w:val="20"/>
          <w:szCs w:val="18"/>
        </w:rPr>
      </w:pPr>
      <w:r>
        <w:t xml:space="preserve">„67. V obravnavanem primeru je po eni strani očitno, da določbe, kakršne so te v postopku v glavni stvari, same po sebi ali kot jih razlagajo irska sodišča, ne spadajo pod pojem „tehnična specifikacija“ v smislu člena 1(3) Direktive 98/34. Ta pojem zajema le nacionalne ukrepe, ki se nanašajo na proizvod ali njegovo embalažo in tako določajo eno od zahtevanih značilnosti proizvoda (sodba z dne 10. julija 2014, Ivansson in drugi, C-307/13, EU:C:2014:2058, točka 19 in navedena sodna praksa). To pa očitno ni tako pri zahtevi, ki se, če se stranki ne dogovorita drugače, na splošno uporablja pri prodaji vseh proizvodov.</w:t>
      </w:r>
    </w:p>
    <w:p w14:paraId="246DB47A" w14:textId="77777777">
      <w:pPr>
        <w:pStyle w:val="P68B1DB1-Normal14"/>
        <w:widowControl w:val="0"/>
        <w:tabs>
          <w:tab w:val="left" w:pos="430"/>
        </w:tabs>
        <w:autoSpaceDE w:val="0"/>
        <w:autoSpaceDN w:val="0"/>
        <w:spacing w:after="0" w:line="240" w:lineRule="auto"/>
        <w:ind w:left="567"/>
        <w:jc w:val="both"/>
        <w:rPr>
          <w:i/>
          <w:iCs/>
          <w:sz w:val="20"/>
          <w:szCs w:val="18"/>
        </w:rPr>
      </w:pPr>
    </w:p>
    <w:p w14:paraId="1FB165CB" w14:textId="02F7A50F">
      <w:pPr>
        <w:pStyle w:val="P68B1DB1-P68B1DB1-Normal147"/>
        <w:widowControl w:val="0"/>
        <w:tabs>
          <w:tab w:val="left" w:pos="430"/>
        </w:tabs>
        <w:autoSpaceDE w:val="0"/>
        <w:autoSpaceDN w:val="0"/>
        <w:spacing w:after="0" w:line="240" w:lineRule="auto"/>
        <w:ind w:left="567"/>
        <w:jc w:val="both"/>
        <w:rPr>
          <w:i/>
          <w:iCs/>
          <w:sz w:val="20"/>
          <w:szCs w:val="18"/>
        </w:rPr>
      </w:pPr>
      <w:r>
        <w:t xml:space="preserve">68. Drugič in iz istega razloga teh določb ni mogoče opredeliti kot „druge zahteve“ v smislu člena 1(4) Direktive 98/34.</w:t>
      </w:r>
    </w:p>
    <w:p w14:paraId="739ADC6F" w14:textId="77777777">
      <w:pPr>
        <w:pStyle w:val="P68B1DB1-Normal14"/>
        <w:widowControl w:val="0"/>
        <w:tabs>
          <w:tab w:val="left" w:pos="430"/>
        </w:tabs>
        <w:autoSpaceDE w:val="0"/>
        <w:autoSpaceDN w:val="0"/>
        <w:spacing w:after="0" w:line="240" w:lineRule="auto"/>
        <w:ind w:left="567"/>
        <w:jc w:val="both"/>
        <w:rPr>
          <w:i/>
          <w:iCs/>
          <w:sz w:val="20"/>
          <w:szCs w:val="18"/>
        </w:rPr>
      </w:pPr>
    </w:p>
    <w:p w14:paraId="1707774D" w14:textId="76CDFE30">
      <w:pPr>
        <w:pStyle w:val="P68B1DB1-P68B1DB1-Normal147"/>
        <w:widowControl w:val="0"/>
        <w:tabs>
          <w:tab w:val="left" w:pos="430"/>
        </w:tabs>
        <w:autoSpaceDE w:val="0"/>
        <w:autoSpaceDN w:val="0"/>
        <w:spacing w:after="0" w:line="240" w:lineRule="auto"/>
        <w:ind w:left="567"/>
        <w:jc w:val="both"/>
        <w:rPr>
          <w:i/>
          <w:iCs/>
          <w:sz w:val="20"/>
          <w:szCs w:val="18"/>
        </w:rPr>
      </w:pPr>
      <w:r>
        <w:t xml:space="preserve">69. V zvezi s tem je Sodišče pojasnilo, da morajo zadevni nacionalni ukrepi, da bi jih bilo mogoče opredeliti kot ‚druge zahteve‘ v smislu te določbe, pomeniti pogoje, ki lahko znatno vplivajo na sestavo ali naravo zadevnega proizvoda ali na njegovo trženje, saj splošne zahteve ne morejo biti take pogoje in jih zato ni mogoče opredeliti kot ‚druge zahteve‘ (glej sodbo z dne 10. julija 2014, Ivansson in drugi, C-307/13, EU:C:2014:2058, točki 26 in 27 ter navedena sodna praksa).“</w:t>
      </w:r>
    </w:p>
    <w:p w14:paraId="14788AE2" w14:textId="77777777">
      <w:pPr>
        <w:pStyle w:val="P68B1DB1-Normal14"/>
        <w:widowControl w:val="0"/>
        <w:tabs>
          <w:tab w:val="left" w:pos="430"/>
        </w:tabs>
        <w:autoSpaceDE w:val="0"/>
        <w:autoSpaceDN w:val="0"/>
        <w:spacing w:after="0" w:line="240" w:lineRule="auto"/>
        <w:ind w:left="567"/>
        <w:jc w:val="both"/>
      </w:pPr>
    </w:p>
    <w:p w14:paraId="6F74C5A2" w14:textId="059511E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3" w:history="1">
        <w:r>
          <w:rPr>
            <w:color w:val="0000FF"/>
            <w:u w:val="single"/>
          </w:rPr>
          <w:t xml:space="preserve">Sodba z dne 1. februarja 2017</w:t>
        </w:r>
      </w:hyperlink>
      <w:r>
        <w:t xml:space="preserve">, Município de Palmela, C-144/16, EU:C:2017:76, točki 23 in 33.</w:t>
      </w:r>
      <w:bookmarkEnd w:id="56"/>
    </w:p>
    <w:p w14:paraId="6DCEC74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BF7FCE" w14:textId="77777777">
      <w:pPr>
        <w:pStyle w:val="P68B1DB1-P68B1DB1-Normal135"/>
        <w:widowControl w:val="0"/>
        <w:tabs>
          <w:tab w:val="left" w:pos="396"/>
          <w:tab w:val="left" w:pos="435"/>
        </w:tabs>
        <w:autoSpaceDE w:val="0"/>
        <w:autoSpaceDN w:val="0"/>
        <w:spacing w:after="0" w:line="240" w:lineRule="auto"/>
        <w:jc w:val="both"/>
        <w:rPr>
          <w:b w:val="0"/>
          <w:bCs/>
          <w:i w:val="0"/>
          <w:iCs/>
        </w:rPr>
      </w:pPr>
      <w:r>
        <w:t xml:space="preserve">Določba, ki določa zahteve glede embalaže, ki veljajo za proizvod zaradi varstva potrošnikov, je „druga zahteva“, ker se nanaša na življenjski cikel izdelkov po tem, ko so bili dani v promet, in znatno vpliva na njihovo sestavo in trženje.</w:t>
      </w:r>
    </w:p>
    <w:p w14:paraId="3D96BE4E" w14:textId="77777777">
      <w:pPr>
        <w:widowControl w:val="0"/>
        <w:tabs>
          <w:tab w:val="left" w:pos="396"/>
          <w:tab w:val="left" w:pos="435"/>
        </w:tabs>
        <w:autoSpaceDE w:val="0"/>
        <w:autoSpaceDN w:val="0"/>
        <w:spacing w:after="0" w:line="240" w:lineRule="auto"/>
        <w:ind w:hanging="142"/>
        <w:jc w:val="both"/>
        <w:rPr>
          <w:rFonts w:ascii="Times New Roman" w:hAnsi="Times New Roman" w:cs="Times New Roman" w:eastAsia="Times New Roman"/>
          <w:bCs/>
          <w:iCs/>
          <w:szCs w:val="20"/>
        </w:rPr>
      </w:pPr>
    </w:p>
    <w:p w14:paraId="5B0F8037" w14:textId="25CE703A">
      <w:pPr>
        <w:pStyle w:val="P68B1DB1-P68B1DB1-Normal135"/>
        <w:widowControl w:val="0"/>
        <w:tabs>
          <w:tab w:val="left" w:pos="396"/>
          <w:tab w:val="left" w:pos="399"/>
        </w:tabs>
        <w:autoSpaceDE w:val="0"/>
        <w:autoSpaceDN w:val="0"/>
        <w:spacing w:after="0" w:line="240" w:lineRule="auto"/>
        <w:jc w:val="both"/>
        <w:rPr>
          <w:b w:val="0"/>
          <w:bCs/>
          <w:i w:val="0"/>
          <w:iCs/>
        </w:rPr>
      </w:pPr>
      <w:r>
        <w:t xml:space="preserve">Nasprotno pa uredba, s katero se zahteva, da so informacije o največji zmogljivosti območja za prosti čas prikazane na več mestih na tem območju, zaradi svoje splošne narave ni „druga zahteva“.</w:t>
      </w:r>
    </w:p>
    <w:p w14:paraId="7CB69B90" w14:textId="77777777">
      <w:pPr>
        <w:widowControl w:val="0"/>
        <w:tabs>
          <w:tab w:val="left" w:pos="396"/>
          <w:tab w:val="left" w:pos="399"/>
        </w:tabs>
        <w:autoSpaceDE w:val="0"/>
        <w:autoSpaceDN w:val="0"/>
        <w:spacing w:after="0" w:line="240" w:lineRule="auto"/>
        <w:ind w:hanging="142"/>
        <w:jc w:val="both"/>
        <w:rPr>
          <w:rFonts w:ascii="Times New Roman" w:hAnsi="Times New Roman" w:cs="Times New Roman" w:eastAsia="Times New Roman"/>
          <w:szCs w:val="20"/>
        </w:rPr>
      </w:pPr>
    </w:p>
    <w:p w14:paraId="047ADE80" w14:textId="3A89FEEF">
      <w:pPr>
        <w:pStyle w:val="P68B1DB1-P68B1DB1-Normal1421"/>
        <w:widowControl w:val="0"/>
        <w:tabs>
          <w:tab w:val="left" w:pos="396"/>
          <w:tab w:val="left" w:pos="399"/>
        </w:tabs>
        <w:autoSpaceDE w:val="0"/>
        <w:autoSpaceDN w:val="0"/>
        <w:spacing w:after="0" w:line="240" w:lineRule="auto"/>
        <w:ind w:left="567" w:hanging="142"/>
        <w:jc w:val="both"/>
        <w:rPr>
          <w:i/>
          <w:iCs/>
        </w:rPr>
      </w:pPr>
      <w:r>
        <w:tab/>
        <w:t>„</w:t>
      </w:r>
      <w:bookmarkStart w:id="57" w:name="point23"/>
      <w:r>
        <w:t>23</w:t>
      </w:r>
      <w:bookmarkEnd w:id="57"/>
      <w:r>
        <w:t xml:space="preserve">. Glede člena 16(1) in (2) uredbe EJR, kakor je bila spremenjena z uredbo-zakonom št. 119/2009, je treba – tako kot predložitveno sodišče – ugotoviti, da je res tehnični predpis v smislu direktiv 83/189 in 98/34, saj ta določba predpisuje zahteve, naložene glede proizvoda zaradi varstva potrošnikov, ki se nanašajo na njegov življenjski ciklus, potem ko je bil dan v promet, in znatno vplivajo na sestavo in trženje tega proizvoda. Zato ta določba spada v kategorijo „drugih zahtev“ v smislu člena 1(3) Direktive 83/189 in člena 1(4) Direktive 98/34.“</w:t>
      </w:r>
    </w:p>
    <w:p w14:paraId="78B67949"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0B57ECD8" w14:textId="7EBBFF11">
      <w:pPr>
        <w:pStyle w:val="P68B1DB1-P68B1DB1-Normal1421"/>
        <w:widowControl w:val="0"/>
        <w:autoSpaceDE w:val="0"/>
        <w:autoSpaceDN w:val="0"/>
        <w:spacing w:after="0" w:line="240" w:lineRule="auto"/>
        <w:ind w:left="567"/>
        <w:jc w:val="both"/>
        <w:rPr>
          <w:i/>
          <w:iCs/>
        </w:rPr>
      </w:pPr>
      <w:r>
        <w:t>„</w:t>
      </w:r>
      <w:bookmarkStart w:id="58" w:name="point33"/>
      <w:r>
        <w:t>33</w:t>
      </w:r>
      <w:bookmarkEnd w:id="58"/>
      <w:r>
        <w:t xml:space="preserve">. [...] določba, kakršna je ta v postopku v glavni stvari, ne pomeni „druge zahteve“ v smislu člena 1(4) Direktive 98/34 ob upoštevanju splošne narave zahtev, ki jih določa (glej v tem smislu sodbo z dne 9. junija 2011, Intercommunale Intermosane in Fédération de l’industrie et du gaz, C 361/10</w:t>
        <w:noBreakHyphen/>
        <w:t xml:space="preserve">, EU:C:2011:382, točka 21). Po drugi strani pa ne vsebuje nobenih prepovedi, ki bi ga lahko uvrstile v kategorijo prepovedi iz člena 1, točka 11, te direktive.“</w:t>
      </w:r>
    </w:p>
    <w:p w14:paraId="4725CFBE" w14:textId="77777777">
      <w:pPr>
        <w:spacing w:after="0" w:line="240" w:lineRule="auto"/>
      </w:pPr>
    </w:p>
    <w:bookmarkStart w:id="59" w:name="_Hlk193299811"/>
    <w:p w14:paraId="109F8B7C" w14:textId="6B0FA9E0">
      <w:pPr>
        <w:pStyle w:val="P68B1DB1-P68B1DB1-Normal1622"/>
        <w:widowControl w:val="0"/>
        <w:autoSpaceDE w:val="0"/>
        <w:autoSpaceDN w:val="0"/>
        <w:spacing w:after="0" w:line="240" w:lineRule="auto"/>
        <w:jc w:val="both"/>
        <w:outlineLvl w:val="1"/>
        <w:rPr>
          <w:b/>
          <w:bCs/>
          <w:i/>
          <w:iCs/>
          <w:sz w:val="22"/>
          <w:szCs w:val="22"/>
        </w:rPr>
      </w:pPr>
      <w:r>
        <w:fldChar w:fldCharType="begin"/>
      </w:r>
      <w:r>
        <w:rPr>
          <w:b/>
          <w:bCs/>
          <w:i/>
          <w:iCs/>
          <w:sz w:val="22"/>
          <w:szCs w:val="22"/>
        </w:rPr>
        <w:instrText>HYPERLINK "https://curia.europa.eu/juris/document/document.jsf?text=&amp;docid=206117&amp;pageIndex=0&amp;doclang=EN&amp;mode=lst&amp;dir=&amp;occ=first&amp;part=1&amp;cid=9777324"</w:instrText>
      </w:r>
      <w:r>
        <w:rPr>
          <w:b/>
          <w:bCs/>
          <w:i/>
          <w:iCs/>
          <w:sz w:val="22"/>
          <w:szCs w:val="22"/>
        </w:rPr>
      </w:r>
      <w:r>
        <w:rPr>
          <w:b/>
          <w:bCs/>
          <w:i/>
          <w:iCs/>
          <w:sz w:val="22"/>
          <w:szCs w:val="22"/>
        </w:rPr>
        <w:fldChar w:fldCharType="separate"/>
      </w:r>
      <w:bookmarkStart w:id="60" w:name="_Toc198043820"/>
      <w:r>
        <w:rPr>
          <w:b/>
          <w:bCs/>
          <w:i/>
          <w:iCs/>
          <w:color w:val="0000FF"/>
          <w:sz w:val="22"/>
          <w:szCs w:val="22"/>
          <w:u w:val="single"/>
        </w:rPr>
        <w:t xml:space="preserve">Sodba z dne 26. septembra</w:t>
      </w:r>
      <w:r>
        <w:rPr>
          <w:b/>
          <w:bCs/>
          <w:i/>
          <w:iCs/>
          <w:color w:val="0000FF"/>
          <w:sz w:val="22"/>
          <w:szCs w:val="22"/>
          <w:u w:val="single"/>
        </w:rPr>
        <w:fldChar w:fldCharType="end"/>
        <w:t xml:space="preserve">2018, Van Gennip in drugi, C-137/17, EU:C:2018:771, točki 39 in 40</w:t>
      </w:r>
      <w:bookmarkEnd w:id="60"/>
    </w:p>
    <w:p w14:paraId="53B6D74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86CD632" w14:textId="77777777">
      <w:pPr>
        <w:pStyle w:val="P68B1DB1-P68B1DB1-Normal135"/>
        <w:widowControl w:val="0"/>
        <w:tabs>
          <w:tab w:val="left" w:pos="404"/>
        </w:tabs>
        <w:autoSpaceDE w:val="0"/>
        <w:autoSpaceDN w:val="0"/>
        <w:spacing w:after="0" w:line="240" w:lineRule="auto"/>
        <w:jc w:val="both"/>
        <w:rPr>
          <w:b w:val="0"/>
          <w:bCs/>
          <w:i w:val="0"/>
          <w:iCs/>
        </w:rPr>
      </w:pPr>
      <w:r>
        <w:t xml:space="preserve">Nacionalne določbe, ki trženje proizvodov pogojujejo s tem, da ima kupec dovoljenje za promet, ne spadajo pod pojem „druge zahteve“, ker gre za pogoj, ki ne velja za proizvode, temveč za kupce.</w:t>
      </w:r>
    </w:p>
    <w:bookmarkEnd w:id="59"/>
    <w:p w14:paraId="7262001F"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34AB9BCD" w14:textId="723202BE">
      <w:pPr>
        <w:pStyle w:val="P68B1DB1-P68B1DB1-Normal147"/>
        <w:widowControl w:val="0"/>
        <w:tabs>
          <w:tab w:val="left" w:pos="404"/>
        </w:tabs>
        <w:autoSpaceDE w:val="0"/>
        <w:autoSpaceDN w:val="0"/>
        <w:spacing w:after="0" w:line="240" w:lineRule="auto"/>
        <w:ind w:left="567"/>
        <w:jc w:val="both"/>
        <w:rPr>
          <w:i/>
          <w:iCs/>
          <w:sz w:val="20"/>
          <w:szCs w:val="18"/>
        </w:rPr>
      </w:pPr>
      <w:r>
        <w:t xml:space="preserve">„39. [...] v zvezi s kategorijo „druge zahteve“ je treba opozoriti, da mora biti nacionalni ukrep, da bi ga bilo mogoče opredeliti kot „druge zahteve“ v smislu člena 1, točka 4, Direktive 98/34, „pogoj“, ki lahko znatno vpliva na sestavo, naravo ali trženje zadevnega proizvoda (sodba z dne 13. oktobra 2016, M. in S., C-303/15, EU:C:2016:771, točka 20 in navedena sodna praksa).</w:t>
      </w:r>
    </w:p>
    <w:p w14:paraId="3684C8BC" w14:textId="77777777">
      <w:pPr>
        <w:pStyle w:val="P68B1DB1-Normal14"/>
        <w:widowControl w:val="0"/>
        <w:tabs>
          <w:tab w:val="left" w:pos="404"/>
        </w:tabs>
        <w:autoSpaceDE w:val="0"/>
        <w:autoSpaceDN w:val="0"/>
        <w:spacing w:after="0" w:line="240" w:lineRule="auto"/>
        <w:ind w:left="567"/>
        <w:jc w:val="both"/>
        <w:rPr>
          <w:i/>
          <w:iCs/>
          <w:sz w:val="20"/>
          <w:szCs w:val="18"/>
        </w:rPr>
      </w:pPr>
    </w:p>
    <w:p w14:paraId="1F15B628" w14:textId="0E023F78">
      <w:pPr>
        <w:pStyle w:val="P68B1DB1-P68B1DB1-Normal147"/>
        <w:widowControl w:val="0"/>
        <w:tabs>
          <w:tab w:val="left" w:pos="404"/>
        </w:tabs>
        <w:autoSpaceDE w:val="0"/>
        <w:autoSpaceDN w:val="0"/>
        <w:spacing w:after="0" w:line="240" w:lineRule="auto"/>
        <w:ind w:left="567"/>
        <w:jc w:val="both"/>
        <w:rPr>
          <w:i/>
          <w:iCs/>
          <w:sz w:val="20"/>
          <w:szCs w:val="18"/>
        </w:rPr>
      </w:pPr>
      <w:r>
        <w:t xml:space="preserve">40. V zvezi s tem je treba poudariti, kot je to storil generalni pravobranilec v točki 76 sklepnih predlogov, da belgijska ureditev prodajo pirotehničnih izdelkov, katerih vsebnost pirotehničnih snovi ali zmesi je večja od 1 kg, pogojuje s tem, da kupec pridobi dovoljenje. Tako zahtevano dovoljenje ni pogoj za zadevni izdelek, ampak za potencialne kupce in posredno za gospodarske subjekte, ki prodajajo pirotehnične izdelke (glej v tem smislu sodbi z dne 21. aprila 2005, Lindberg, C-267/03, EU:C:2005:246, točka 87, in z dne 13. oktobra 2016, M. in S., C-303/15, EU:C:2016:771, točka 29).“</w:t>
      </w:r>
    </w:p>
    <w:p w14:paraId="1EF9D88D" w14:textId="77777777">
      <w:pPr>
        <w:spacing w:after="0" w:line="240" w:lineRule="auto"/>
      </w:pPr>
    </w:p>
    <w:p w14:paraId="71F55FA7" w14:textId="4326F27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4" w:anchor="ctx1" w:history="1">
        <w:r>
          <w:rPr>
            <w:color w:val="0000FF"/>
            <w:u w:val="single"/>
          </w:rPr>
          <w:t xml:space="preserve">Sodba z dne 28. maja 2020</w:t>
        </w:r>
      </w:hyperlink>
      <w:r>
        <w:t xml:space="preserve">, ECO-WIND Construction, C-727/17, EU:C:2020:393, točki 40 in 41.</w:t>
      </w:r>
      <w:bookmarkEnd w:id="61"/>
    </w:p>
    <w:p w14:paraId="6D637FFA" w14:textId="77777777">
      <w:pPr>
        <w:widowControl w:val="0"/>
        <w:autoSpaceDE w:val="0"/>
        <w:autoSpaceDN w:val="0"/>
        <w:spacing w:after="0" w:line="240" w:lineRule="auto"/>
        <w:jc w:val="both"/>
        <w:rPr>
          <w:rFonts w:ascii="Times New Roman" w:hAnsi="Times New Roman" w:cs="Times New Roman" w:eastAsia="Times New Roman"/>
          <w:szCs w:val="20"/>
        </w:rPr>
      </w:pPr>
    </w:p>
    <w:p w14:paraId="1D3192D5" w14:textId="77777777">
      <w:pPr>
        <w:pStyle w:val="P68B1DB1-P68B1DB1-Normal135"/>
        <w:widowControl w:val="0"/>
        <w:autoSpaceDE w:val="0"/>
        <w:autoSpaceDN w:val="0"/>
        <w:spacing w:after="0" w:line="240" w:lineRule="auto"/>
        <w:jc w:val="both"/>
        <w:rPr>
          <w:b w:val="0"/>
          <w:bCs/>
          <w:i w:val="0"/>
          <w:iCs/>
        </w:rPr>
      </w:pPr>
      <w:r>
        <w:t xml:space="preserve">Uredba, ki določa najmanjšo razdaljo za postavitev vetrnih turbin, ne spada v kategorijo „drugih zahtev“, ker njen vpliv na trženje zadevnih proizvodov ni dovolj neposreden.</w:t>
      </w:r>
    </w:p>
    <w:p w14:paraId="11DAB658" w14:textId="77777777">
      <w:pPr>
        <w:widowControl w:val="0"/>
        <w:autoSpaceDE w:val="0"/>
        <w:autoSpaceDN w:val="0"/>
        <w:spacing w:after="0" w:line="240" w:lineRule="auto"/>
        <w:jc w:val="both"/>
        <w:rPr>
          <w:rFonts w:ascii="Times New Roman" w:hAnsi="Times New Roman" w:cs="Times New Roman" w:eastAsia="Times New Roman"/>
          <w:szCs w:val="20"/>
        </w:rPr>
      </w:pPr>
    </w:p>
    <w:p w14:paraId="0E9213F5" w14:textId="153822EB">
      <w:pPr>
        <w:pStyle w:val="P68B1DB1-BodyText19"/>
        <w:ind w:left="567"/>
        <w:rPr>
          <w:iCs/>
        </w:rPr>
      </w:pPr>
      <w:r>
        <w:t xml:space="preserve">„40. [...] iz ustaljene sodne prakse izhaja, da ta kategorija zajema zakonodajo, ki določa pogoj, ki lahko znatno vpliva na sestavo, naravo ali trženje proizvoda (sodbi z dne 21. aprila 2005, Lindberg, C-267/03, EU:C:2005:246, točke od 69 do 72, in z dne 19. julija 2012, Fortuna in drugi, C-213/11, C-214/11 in C-217/11, EU:C:2012:495, točka 35), pri čemer se te „druge zahteve“ nanašajo na zahteve, ki izhajajo iz upoštevanja življenjskega cikla zadevnega proizvoda po tem, ko je bil dan na trg, in se nanašajo zlasti na njegovo uporabo.</w:t>
      </w:r>
    </w:p>
    <w:p w14:paraId="15144425" w14:textId="77777777">
      <w:pPr>
        <w:pStyle w:val="P68B1DB1-BodyText19"/>
        <w:ind w:left="567"/>
        <w:rPr>
          <w:iCs/>
        </w:rPr>
      </w:pPr>
    </w:p>
    <w:p w14:paraId="45870460" w14:textId="6B88BEBE">
      <w:pPr>
        <w:pStyle w:val="P68B1DB1-BodyText19"/>
        <w:ind w:left="567"/>
        <w:rPr>
          <w:iCs/>
        </w:rPr>
      </w:pPr>
      <w:r>
        <w:t xml:space="preserve">41. V obravnavanem primeru pa je treba tako kot pri presoji iz točke 37 te sodbe navesti, da zahteva, da se pri namestitvi vetrne elektrarne upošteva minimalna razdalja med njo in zgradbami s stanovanjsko funkcijo, ni neposredno povezana s sestavo, naravo ali trženjem proizvoda, kot je vetrni generator. V zvezi s tem, tudi če bi ta zahteva povzročila omejitev lokacij, primernih za postavitev vetrnih turbin, in zato vplivala na trženje vetrnih generatorjev, ta učinek ne bi bil dovolj neposreden, da bi ta zahteva spadala v kategorijo „drugih zahtev“ iz člena 1(1)(f) Direktive 2015/1535.“</w:t>
      </w:r>
    </w:p>
    <w:p w14:paraId="67BFB4E8" w14:textId="77777777">
      <w:pPr>
        <w:spacing w:after="0" w:line="240" w:lineRule="auto"/>
      </w:pPr>
    </w:p>
    <w:p w14:paraId="408C26E9" w14:textId="6A65B0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5" w:history="1">
        <w:r>
          <w:rPr>
            <w:rStyle w:val="Hyperlink"/>
            <w:rFonts w:ascii="Times New Roman" w:hAnsi="Times New Roman" w:cs="Times New Roman" w:eastAsia="Times New Roman"/>
            <w:b/>
            <w:i/>
            <w:color w:val="0000FF"/>
            <w:szCs w:val="20"/>
          </w:rPr>
          <w:t xml:space="preserve">Sodba z dne 4. novembra 2022</w:t>
        </w:r>
      </w:hyperlink>
      <w:r>
        <w:rPr>
          <w:rFonts w:ascii="Times New Roman" w:hAnsi="Times New Roman" w:cs="Times New Roman" w:eastAsia="Times New Roman"/>
          <w:b/>
          <w:i/>
          <w:szCs w:val="20"/>
        </w:rPr>
        <w:t xml:space="preserve">, Phytofar, C</w:t>
        <w:noBreakHyphen/>
        <w:t xml:space="preserve">658/21, EU:C:2022:925, točke od 36 do 42.</w:t>
      </w:r>
      <w:bookmarkEnd w:id="62"/>
    </w:p>
    <w:p w14:paraId="5BBD916F" w14:textId="77777777">
      <w:pPr>
        <w:widowControl w:val="0"/>
        <w:autoSpaceDE w:val="0"/>
        <w:autoSpaceDN w:val="0"/>
        <w:spacing w:after="0" w:line="240" w:lineRule="auto"/>
        <w:jc w:val="both"/>
        <w:rPr>
          <w:rFonts w:ascii="Times New Roman" w:hAnsi="Times New Roman" w:cs="Times New Roman" w:eastAsia="Times New Roman"/>
          <w:szCs w:val="20"/>
        </w:rPr>
      </w:pPr>
    </w:p>
    <w:p w14:paraId="12813288" w14:textId="64B11198">
      <w:pPr>
        <w:pStyle w:val="P68B1DB1-P68B1DB1-Normal135"/>
        <w:widowControl w:val="0"/>
        <w:autoSpaceDE w:val="0"/>
        <w:autoSpaceDN w:val="0"/>
        <w:spacing w:after="0" w:line="240" w:lineRule="auto"/>
        <w:jc w:val="both"/>
        <w:outlineLvl w:val="1"/>
        <w:rPr>
          <w:b w:val="0"/>
          <w:bCs/>
          <w:i w:val="0"/>
          <w:iCs/>
          <w:sz w:val="20"/>
        </w:rPr>
      </w:pPr>
      <w:bookmarkStart w:id="63" w:name="_Toc198043823"/>
      <w:r>
        <w:t xml:space="preserve">Zakonodaja, ki osebam, ki nimajo dovoljenja za opravljanje dejavnosti, prepoveduje uporabo pesticidov, ki vsebujejo glifosat, bi lahko pomenila „drugo zahtevo“, saj bi lahko pomembno vplivala na trženje glifosata. Pomen tega vpliva se presoja glede na obseg nakupov zadevnih proizvodov in spremembe prodajnih navad.</w:t>
      </w:r>
      <w:bookmarkEnd w:id="63"/>
    </w:p>
    <w:p w14:paraId="017C51C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19599530" w14:textId="17AE1EBB">
      <w:pPr>
        <w:spacing w:after="0" w:line="240" w:lineRule="auto"/>
        <w:ind w:left="567"/>
        <w:jc w:val="both"/>
        <w:rPr>
          <w:rFonts w:ascii="Times New Roman" w:hAnsi="Times New Roman" w:cs="Times New Roman"/>
          <w:i/>
          <w:sz w:val="20"/>
          <w:szCs w:val="20"/>
        </w:rPr>
        <w:pStyle w:val="P68B1DB1-Normal20"/>
      </w:pPr>
      <w:r>
        <w:t xml:space="preserve">„36. V obravnavani zadevi iz preambule odloka z dne 14. julija 2017, najprej, izhaja, da je prepoved, ki jo ta odlok določa, naložena zaradi varovanja zdravja ljudi in okolja.</w:t>
      </w:r>
    </w:p>
    <w:p w14:paraId="1CBD02C5" w14:textId="77777777">
      <w:pPr>
        <w:spacing w:after="0" w:line="240" w:lineRule="auto"/>
        <w:ind w:left="567"/>
        <w:jc w:val="both"/>
        <w:rPr>
          <w:rFonts w:ascii="Times New Roman" w:hAnsi="Times New Roman" w:cs="Times New Roman"/>
          <w:i/>
          <w:sz w:val="20"/>
          <w:szCs w:val="20"/>
        </w:rPr>
      </w:pPr>
    </w:p>
    <w:p w14:paraId="1A20049E" w14:textId="08504F01">
      <w:pPr>
        <w:spacing w:after="0" w:line="240" w:lineRule="auto"/>
        <w:ind w:left="567"/>
        <w:jc w:val="both"/>
        <w:rPr>
          <w:rFonts w:ascii="Times New Roman" w:hAnsi="Times New Roman" w:cs="Times New Roman"/>
          <w:i/>
          <w:sz w:val="20"/>
          <w:szCs w:val="20"/>
        </w:rPr>
        <w:pStyle w:val="P68B1DB1-Normal20"/>
      </w:pPr>
      <w:r>
        <w:t xml:space="preserve">37. Dalje, navesti je treba, da se ta prepoved nanaša na življenjski cikel pesticidov, ki vsebujejo glifosat, potem ko so bili dani na trg, z določitvijo pogoja, ki je z uporabo teh proizvodov povezan tako, da jih lahko na zemljiščih v zasebni rabi uporabljajo samo strokovnjaki, ki imajo dovoljenje za uporabo fitofarmacevtskih sredstev.</w:t>
      </w:r>
    </w:p>
    <w:p w14:paraId="595DD057" w14:textId="77777777">
      <w:pPr>
        <w:spacing w:after="0" w:line="240" w:lineRule="auto"/>
        <w:ind w:left="567"/>
        <w:jc w:val="both"/>
        <w:rPr>
          <w:rFonts w:ascii="Times New Roman" w:hAnsi="Times New Roman" w:cs="Times New Roman"/>
          <w:i/>
          <w:sz w:val="20"/>
          <w:szCs w:val="20"/>
        </w:rPr>
      </w:pPr>
    </w:p>
    <w:p w14:paraId="7F0E7EDE" w14:textId="698ECA01">
      <w:pPr>
        <w:spacing w:after="0" w:line="240" w:lineRule="auto"/>
        <w:ind w:left="567"/>
        <w:jc w:val="both"/>
        <w:rPr>
          <w:rFonts w:ascii="Times New Roman" w:hAnsi="Times New Roman" w:cs="Times New Roman"/>
          <w:i/>
          <w:sz w:val="20"/>
          <w:szCs w:val="20"/>
        </w:rPr>
        <w:pStyle w:val="P68B1DB1-Normal20"/>
      </w:pPr>
      <w:r>
        <w:t xml:space="preserve">38. Nazadnje, treba je ugotoviti, da lahko tak ukrep prepovedi vpliva na trženje zadevnih proizvodov.</w:t>
      </w:r>
    </w:p>
    <w:p w14:paraId="6A260A53" w14:textId="77777777">
      <w:pPr>
        <w:spacing w:after="0" w:line="240" w:lineRule="auto"/>
        <w:ind w:left="567"/>
        <w:jc w:val="both"/>
        <w:rPr>
          <w:rFonts w:ascii="Times New Roman" w:hAnsi="Times New Roman" w:cs="Times New Roman"/>
          <w:i/>
          <w:sz w:val="20"/>
          <w:szCs w:val="20"/>
        </w:rPr>
      </w:pPr>
    </w:p>
    <w:p w14:paraId="5066FFC6" w14:textId="1BDD0139">
      <w:pPr>
        <w:spacing w:after="0" w:line="240" w:lineRule="auto"/>
        <w:ind w:left="567"/>
        <w:jc w:val="both"/>
        <w:rPr>
          <w:rFonts w:ascii="Times New Roman" w:hAnsi="Times New Roman" w:cs="Times New Roman"/>
          <w:i/>
          <w:sz w:val="20"/>
          <w:szCs w:val="20"/>
        </w:rPr>
        <w:pStyle w:val="P68B1DB1-Normal20"/>
      </w:pPr>
      <w:r>
        <w:t xml:space="preserve">39. Ta ukrep namreč vodi do izginotja ene kategorije potencialnih kupcev pesticidov, ki vsebujejo glifosat, in sicer posameznikov, ki želijo take pesticide uporabljati sami, brez uporabe storitev strokovnjakov, ki imajo zahtevano dovoljenje za uporabo fitofarmacevtskih sredstev. Taka omejitev možnosti uporabe pesticidov, ki vsebujejo glifosat, torej vpliva na njihovo trženje (glej po analogiji sodbo z dne 13. oktobra 2016, M. in S., C-303/15, EU:C:2016:771, točka 26 in navedena sodna praksa).</w:t>
      </w:r>
    </w:p>
    <w:p w14:paraId="1A6F1ECE" w14:textId="77777777">
      <w:pPr>
        <w:spacing w:after="0" w:line="240" w:lineRule="auto"/>
        <w:ind w:left="567"/>
        <w:jc w:val="both"/>
        <w:rPr>
          <w:rFonts w:ascii="Times New Roman" w:hAnsi="Times New Roman" w:cs="Times New Roman"/>
          <w:i/>
          <w:sz w:val="20"/>
          <w:szCs w:val="20"/>
        </w:rPr>
      </w:pPr>
    </w:p>
    <w:p w14:paraId="33FD9071" w14:textId="2955C650">
      <w:pPr>
        <w:spacing w:after="0" w:line="240" w:lineRule="auto"/>
        <w:ind w:left="567"/>
        <w:jc w:val="both"/>
        <w:rPr>
          <w:rFonts w:ascii="Times New Roman" w:hAnsi="Times New Roman" w:cs="Times New Roman"/>
          <w:i/>
          <w:sz w:val="20"/>
          <w:szCs w:val="20"/>
        </w:rPr>
        <w:pStyle w:val="P68B1DB1-Normal20"/>
      </w:pPr>
      <w:r>
        <w:t xml:space="preserve">40. Vendar – kot v pisnem stališču navaja Komisija – da bi bilo mogoče ukrep, uveden z odlokom z dne 14. julija 2017, opredeliti kot „tehnični predpis“, ki spada v kategorijo „druge zahteve“ v smislu člena 1(1)(d) in (f) Direktive 2015/1535, mora ta ukrep „znatno“ vplivati na trženje pesticidov, ki vsebujejo glifosat.</w:t>
      </w:r>
    </w:p>
    <w:p w14:paraId="219AFD18" w14:textId="77777777">
      <w:pPr>
        <w:spacing w:after="0" w:line="240" w:lineRule="auto"/>
        <w:ind w:left="567"/>
        <w:jc w:val="both"/>
        <w:rPr>
          <w:rFonts w:ascii="Times New Roman" w:hAnsi="Times New Roman" w:cs="Times New Roman"/>
          <w:i/>
          <w:sz w:val="20"/>
          <w:szCs w:val="20"/>
        </w:rPr>
      </w:pPr>
    </w:p>
    <w:p w14:paraId="51EC447B" w14:textId="2F0134D7">
      <w:pPr>
        <w:spacing w:after="0" w:line="240" w:lineRule="auto"/>
        <w:ind w:left="567"/>
        <w:jc w:val="both"/>
        <w:rPr>
          <w:rFonts w:ascii="Times New Roman" w:hAnsi="Times New Roman" w:cs="Times New Roman"/>
          <w:i/>
          <w:sz w:val="20"/>
          <w:szCs w:val="20"/>
        </w:rPr>
        <w:pStyle w:val="P68B1DB1-Normal20"/>
      </w:pPr>
      <w:r>
        <w:t xml:space="preserve">41. Predložitveno sodišče mora preveriti, ali je v obravnavani zadevi res tako.</w:t>
      </w:r>
    </w:p>
    <w:p w14:paraId="700BF673" w14:textId="77777777">
      <w:pPr>
        <w:spacing w:after="0" w:line="240" w:lineRule="auto"/>
        <w:ind w:left="567"/>
        <w:jc w:val="both"/>
        <w:rPr>
          <w:rFonts w:ascii="Times New Roman" w:hAnsi="Times New Roman" w:cs="Times New Roman"/>
          <w:i/>
          <w:sz w:val="20"/>
          <w:szCs w:val="20"/>
        </w:rPr>
      </w:pPr>
    </w:p>
    <w:p w14:paraId="15FA9CD4" w14:textId="12DBE6E1">
      <w:pPr>
        <w:spacing w:after="0" w:line="240" w:lineRule="auto"/>
        <w:ind w:left="567"/>
        <w:jc w:val="both"/>
        <w:rPr>
          <w:rFonts w:ascii="Times New Roman" w:hAnsi="Times New Roman" w:cs="Times New Roman"/>
          <w:i/>
          <w:sz w:val="20"/>
          <w:szCs w:val="20"/>
        </w:rPr>
        <w:pStyle w:val="P68B1DB1-Normal20"/>
      </w:pPr>
      <w:r>
        <w:t xml:space="preserve">42. Predložitveno sodišče bo pri tej presoji lahko upoštevalo med drugim celotni obseg prodaje pesticidov, ki vsebujejo glifosat, na ozemlju regije Flamske, in spremembo nakupovalnih navad vsake skupine kupcev na podlagi pogostosti njihovih nakupov in količine kupljenega proizvoda ter spremembe kraja nakupa in distribucijskih kanalov. V tem okviru lahko to sodišče upošteva, v kolikšnem obsegu, prvič, povpraševanje poklicnih uporabnikov nadomešča povpraševanje posameznikov, ki uporabljajo storitve poklicnih uporabnikov, in, drugič, posamezni uporabniki zdaj namesto tistih, ki vsebujejo to snov, dobijo pesticide brez glifosata.“</w:t>
      </w:r>
    </w:p>
    <w:p w14:paraId="4A5F3F04" w14:textId="77777777">
      <w:pPr>
        <w:spacing w:after="0" w:line="240" w:lineRule="auto"/>
        <w:ind w:left="567"/>
        <w:jc w:val="both"/>
      </w:pPr>
    </w:p>
    <w:p w14:paraId="430159AA" w14:textId="501CF88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6" w:history="1">
        <w:r>
          <w:rPr>
            <w:rStyle w:val="Hyperlink"/>
            <w:rFonts w:ascii="Times New Roman" w:hAnsi="Times New Roman" w:cs="Times New Roman" w:eastAsia="Times New Roman"/>
            <w:b/>
            <w:i/>
            <w:color w:val="0000FF"/>
            <w:szCs w:val="20"/>
          </w:rPr>
          <w:t xml:space="preserve">Sodba z dne 9. marca 2023</w:t>
        </w:r>
      </w:hyperlink>
      <w:r>
        <w:rPr>
          <w:rFonts w:ascii="Times New Roman" w:hAnsi="Times New Roman" w:cs="Times New Roman" w:eastAsia="Times New Roman"/>
          <w:b/>
          <w:i/>
          <w:szCs w:val="20"/>
        </w:rPr>
        <w:t xml:space="preserve">, Vapo Atlantic, C-604/21, EU:C:2023:175, točki 40 in 41.</w:t>
      </w:r>
      <w:bookmarkEnd w:id="64"/>
    </w:p>
    <w:p w14:paraId="25D9A71A" w14:textId="77777777">
      <w:pPr>
        <w:widowControl w:val="0"/>
        <w:autoSpaceDE w:val="0"/>
        <w:autoSpaceDN w:val="0"/>
        <w:spacing w:after="0" w:line="240" w:lineRule="auto"/>
        <w:jc w:val="both"/>
        <w:rPr>
          <w:rFonts w:ascii="Times New Roman" w:hAnsi="Times New Roman" w:cs="Times New Roman" w:eastAsia="Times New Roman"/>
          <w:szCs w:val="20"/>
        </w:rPr>
      </w:pPr>
    </w:p>
    <w:p w14:paraId="68D99C30" w14:textId="07845CAB">
      <w:pPr>
        <w:widowControl w:val="0"/>
        <w:autoSpaceDE w:val="0"/>
        <w:autoSpaceDN w:val="0"/>
        <w:spacing w:after="0" w:line="240" w:lineRule="auto"/>
        <w:jc w:val="both"/>
        <w:outlineLvl w:val="1"/>
        <w:rPr>
          <w:rFonts w:ascii="Times New Roman" w:hAnsi="Times New Roman" w:cs="Times New Roman" w:eastAsia="Times New Roman"/>
          <w:bCs/>
          <w:iCs/>
          <w:szCs w:val="20"/>
        </w:rPr>
        <w:pStyle w:val="P68B1DB1-Normal14"/>
      </w:pPr>
      <w:bookmarkStart w:id="65" w:name="_Toc198043825"/>
      <w:r>
        <w:t xml:space="preserve">Nacionalna zakonodaja, ki od upravljavcev, ki sproščajo pogonska goriva v porabo, zahteva, da prispevajo k doseganju ciljev za vključitev biogoriv v pogonska goriva in katerih kršitev lahko privede do finančnih sankcij, lahko pomembno vpliva na trženje goriv. Zato pomeni „drugo zahtevo“.</w:t>
      </w:r>
      <w:bookmarkEnd w:id="65"/>
    </w:p>
    <w:p w14:paraId="397991C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F49CA88" w14:textId="0C6B3003">
      <w:pPr>
        <w:pStyle w:val="P68B1DB1-Normal20"/>
        <w:widowControl w:val="0"/>
        <w:autoSpaceDE w:val="0"/>
        <w:autoSpaceDN w:val="0"/>
        <w:spacing w:after="0" w:line="240" w:lineRule="auto"/>
        <w:ind w:left="567"/>
        <w:jc w:val="both"/>
        <w:outlineLvl w:val="1"/>
      </w:pPr>
      <w:bookmarkStart w:id="66" w:name="_Toc198043826"/>
      <w:r>
        <w:t xml:space="preserve">„40. V obravnavanem primeru se vprašanja predložitvenega sodišča nanašajo na nacionalno ureditev, ki od gospodarskih subjektov, ki sproščajo pogonska goriva v porabo, razen UNP in zemeljskega plina, zahteva, da prispevajo k izpolnjevanju ciljev dodajanja biogoriv letnim količinam pogonskih goriv, ki jih dajejo v porabo, in sicer cilja 10 % za leto 2020. Čeprav taka ureditev ne določa natančne vrste pogonskega goriva, niti ne določa odstotka biogoriva, ki ga je treba fizično dodati pogonskim gorivom, niti ne določa vrste biogoriva, ki se doda, se zahteva, ki jo določa in ki je sprejeta zaradi varstva okolja, nanaša na življenjski cikel pogonskih goriv, potem ko so bila dana na trg, in lahko znatno vpliva na trženje navedenih proizvodov, saj lahko nespoštovanje obveznosti dodajanja biogoriv, ki jo določa, povzroči naložitev denarnega nadomestila.</w:t>
      </w:r>
      <w:bookmarkEnd w:id="66"/>
    </w:p>
    <w:p w14:paraId="4CEBAF3A" w14:textId="77777777">
      <w:pPr>
        <w:pStyle w:val="P68B1DB1-Normal20"/>
        <w:widowControl w:val="0"/>
        <w:autoSpaceDE w:val="0"/>
        <w:autoSpaceDN w:val="0"/>
        <w:spacing w:after="0" w:line="240" w:lineRule="auto"/>
        <w:ind w:left="567"/>
        <w:jc w:val="both"/>
        <w:outlineLvl w:val="1"/>
      </w:pPr>
    </w:p>
    <w:p w14:paraId="08AE2C99" w14:textId="38734870">
      <w:pPr>
        <w:pStyle w:val="P68B1DB1-Normal20"/>
        <w:widowControl w:val="0"/>
        <w:autoSpaceDE w:val="0"/>
        <w:autoSpaceDN w:val="0"/>
        <w:spacing w:after="0" w:line="240" w:lineRule="auto"/>
        <w:ind w:left="567"/>
        <w:jc w:val="both"/>
        <w:outlineLvl w:val="1"/>
        <w:rPr>
          <w:iCs/>
        </w:rPr>
      </w:pPr>
      <w:bookmarkStart w:id="67" w:name="_Toc198043827"/>
      <w:r>
        <w:t xml:space="preserve">41. Iz tega sledi, da je nacionalni zakon, ki določa cilj vključitve 10 % biogoriv v pogonska goriva, ki jih gospodarski subjekt sprosti v porabo v letu 2020, zajet s pojmom „druge zahteve“ v smislu člena 1(4) Direktive 98/34 in je torej „tehnični predpis“ v smislu člena 1, točka 11, te direktive.“</w:t>
      </w:r>
      <w:bookmarkEnd w:id="67"/>
    </w:p>
    <w:p w14:paraId="6064CE7D" w14:textId="77777777">
      <w:pPr>
        <w:pStyle w:val="P68B1DB1-BodyText10"/>
        <w:rPr>
          <w:bCs/>
        </w:rPr>
      </w:pPr>
    </w:p>
    <w:p w14:paraId="3F05E4B7" w14:textId="77777777">
      <w:pPr>
        <w:spacing w:after="0" w:line="278" w:lineRule="auto"/>
        <w:rPr>
          <w:rFonts w:ascii="Times New Roman" w:hAnsi="Times New Roman" w:cs="Times New Roman" w:eastAsia="Times New Roman"/>
          <w:b/>
          <w:sz w:val="24"/>
          <w:szCs w:val="20"/>
        </w:rPr>
      </w:pPr>
      <w:r>
        <w:br w:type="page"/>
      </w:r>
    </w:p>
    <w:p w14:paraId="39F57DA0" w14:textId="51AFFAF0">
      <w:pPr>
        <w:pStyle w:val="P68B1DB1-Heading24"/>
        <w:numPr>
          <w:ilvl w:val="0"/>
          <w:numId w:val="35"/>
        </w:numPr>
        <w:spacing w:before="0" w:after="0"/>
        <w:jc w:val="center"/>
        <w:rPr>
          <w:bCs/>
          <w:color w:val="auto"/>
        </w:rPr>
      </w:pPr>
      <w:bookmarkStart w:id="68" w:name="_Ref196314214"/>
      <w:bookmarkStart w:id="69" w:name="_Toc203035669"/>
      <w:r>
        <w:t xml:space="preserve">Pravilnik o storitvah</w:t>
      </w:r>
      <w:bookmarkEnd w:id="5"/>
      <w:bookmarkEnd w:id="68"/>
      <w:bookmarkEnd w:id="69"/>
    </w:p>
    <w:p w14:paraId="19E12A03" w14:textId="77777777">
      <w:pPr>
        <w:pStyle w:val="BodyText"/>
      </w:pPr>
    </w:p>
    <w:p w14:paraId="6D8B2150" w14:textId="77777777">
      <w:pPr>
        <w:pStyle w:val="P68B1DB1-BodyText11"/>
        <w:ind w:left="567"/>
        <w:rPr>
          <w:iCs/>
        </w:rPr>
      </w:pPr>
      <w:r>
        <w:t xml:space="preserve">„‚predpis o storitvah‘ pomeni splošno zahtevo v zvezi z začetkom in opravljanjem storitvenih dejavnosti v smislu točke (b), zlasti določbe v zvezi s ponudnikom storitev, storitvami in prejemnikom storitev, razen vseh pravil, ki niso posebej namenjena storitvam, opredeljenim v navedeni točki. </w:t>
      </w:r>
    </w:p>
    <w:p w14:paraId="7C9B8AC3" w14:textId="77777777">
      <w:pPr>
        <w:pStyle w:val="P68B1DB1-BodyText11"/>
        <w:ind w:left="567"/>
        <w:rPr>
          <w:iCs/>
        </w:rPr>
      </w:pPr>
    </w:p>
    <w:p w14:paraId="46FCE36C" w14:textId="0D89DACC">
      <w:pPr>
        <w:pStyle w:val="P68B1DB1-BodyText11"/>
        <w:ind w:left="567"/>
        <w:rPr>
          <w:iCs/>
        </w:rPr>
      </w:pPr>
      <w:r>
        <w:t xml:space="preserve">Za namene te opredelitve pojmov: </w:t>
      </w:r>
    </w:p>
    <w:p w14:paraId="0FA17B64" w14:textId="77777777">
      <w:pPr>
        <w:pStyle w:val="P68B1DB1-BodyText11"/>
        <w:ind w:left="567"/>
        <w:rPr>
          <w:iCs/>
        </w:rPr>
      </w:pPr>
    </w:p>
    <w:p w14:paraId="5287D99C" w14:textId="40B4253E">
      <w:pPr>
        <w:pStyle w:val="P68B1DB1-BodyText11"/>
        <w:numPr>
          <w:ilvl w:val="0"/>
          <w:numId w:val="30"/>
        </w:numPr>
        <w:rPr>
          <w:iCs/>
        </w:rPr>
      </w:pPr>
      <w:r>
        <w:t xml:space="preserve">šteje, da je pravilo posebej namenjeno storitvam informacijske družbe, kadar je, ob upoštevanju razlogov za njegovo sprejetje in njegovega normodajnega dela, poseben namen in predmet vseh ali nekaterih določb pravila urediti take storitve jasno in z določenim ciljem; </w:t>
      </w:r>
    </w:p>
    <w:p w14:paraId="112BC54B" w14:textId="13ACB17B">
      <w:pPr>
        <w:pStyle w:val="P68B1DB1-BodyText11"/>
        <w:numPr>
          <w:ilvl w:val="0"/>
          <w:numId w:val="30"/>
        </w:numPr>
        <w:rPr>
          <w:iCs/>
        </w:rPr>
      </w:pPr>
      <w:r>
        <w:t xml:space="preserve">za pravilo se ne šteje, da je posebej namenjeno storitvam informacijske družbe, če vpliva na te storitve le implicitno ali postransko;“</w:t>
      </w:r>
    </w:p>
    <w:p w14:paraId="573C811F" w14:textId="77777777">
      <w:pPr>
        <w:pStyle w:val="BodyText"/>
        <w:ind w:left="567"/>
        <w:rPr>
          <w:i/>
          <w:iCs/>
        </w:rPr>
      </w:pPr>
    </w:p>
    <w:p w14:paraId="2735376A" w14:textId="709F0465">
      <w:pPr>
        <w:pStyle w:val="BodyText"/>
        <w:ind w:left="1440"/>
        <w:jc w:val="right"/>
      </w:pPr>
      <w:r>
        <w:t xml:space="preserve">(Člen 1(1)(e) Direktive (EU) 2015/1535)</w:t>
      </w:r>
    </w:p>
    <w:p w14:paraId="2412BA9D" w14:textId="7742CFA6">
      <w:pPr>
        <w:spacing w:after="0" w:line="240" w:lineRule="auto"/>
      </w:pPr>
    </w:p>
    <w:p w14:paraId="047B2ADB" w14:textId="17E336C2">
      <w:pPr>
        <w:spacing w:after="0" w:line="240" w:lineRule="auto"/>
        <w:ind w:left="567"/>
        <w:jc w:val="both"/>
        <w:rPr>
          <w:rFonts w:ascii="Times New Roman" w:hAnsi="Times New Roman" w:cs="Times New Roman"/>
          <w:i/>
          <w:sz w:val="24"/>
          <w:szCs w:val="24"/>
        </w:rPr>
        <w:pStyle w:val="P68B1DB1-Normal12"/>
      </w:pPr>
      <w:r>
        <w:t xml:space="preserve">„,storitev‘ pomeni vsako storitev informacijske družbe, tj. vsako storitev, ki se običajno opravi odplačno, na daljavo, elektronsko in na zahtevo prejemnika storitev. </w:t>
      </w:r>
    </w:p>
    <w:p w14:paraId="0A07BEF1" w14:textId="77777777">
      <w:pPr>
        <w:spacing w:after="0" w:line="240" w:lineRule="auto"/>
        <w:ind w:left="567"/>
        <w:jc w:val="both"/>
        <w:rPr>
          <w:rFonts w:ascii="Times New Roman" w:hAnsi="Times New Roman" w:cs="Times New Roman"/>
          <w:i/>
          <w:sz w:val="24"/>
          <w:szCs w:val="24"/>
        </w:rPr>
      </w:pPr>
    </w:p>
    <w:p w14:paraId="0427D520" w14:textId="77777777">
      <w:pPr>
        <w:spacing w:after="0" w:line="240" w:lineRule="auto"/>
        <w:ind w:left="567"/>
        <w:jc w:val="both"/>
        <w:rPr>
          <w:rFonts w:ascii="Times New Roman" w:hAnsi="Times New Roman" w:cs="Times New Roman"/>
          <w:i/>
          <w:sz w:val="24"/>
          <w:szCs w:val="24"/>
        </w:rPr>
        <w:pStyle w:val="P68B1DB1-Normal12"/>
      </w:pPr>
      <w:r>
        <w:t xml:space="preserve">Za namene te opredelitve pojmov: </w:t>
      </w:r>
    </w:p>
    <w:p w14:paraId="14B11324" w14:textId="77777777">
      <w:pPr>
        <w:spacing w:after="0" w:line="240" w:lineRule="auto"/>
        <w:ind w:left="567"/>
        <w:jc w:val="both"/>
        <w:rPr>
          <w:rFonts w:ascii="Times New Roman" w:hAnsi="Times New Roman" w:cs="Times New Roman"/>
          <w:i/>
          <w:sz w:val="24"/>
          <w:szCs w:val="24"/>
        </w:rPr>
      </w:pPr>
    </w:p>
    <w:p w14:paraId="0727DDA2" w14:textId="77777777">
      <w:pPr>
        <w:spacing w:after="0" w:line="240" w:lineRule="auto"/>
        <w:ind w:left="1440"/>
        <w:jc w:val="both"/>
        <w:rPr>
          <w:rFonts w:ascii="Times New Roman" w:hAnsi="Times New Roman" w:cs="Times New Roman"/>
          <w:i/>
          <w:sz w:val="24"/>
          <w:szCs w:val="24"/>
        </w:rPr>
        <w:pStyle w:val="P68B1DB1-Normal12"/>
      </w:pPr>
      <w:r>
        <w:t xml:space="preserve">(I) „na daljavo“ pomeni, da se storitev opravlja, ne da bi bile stranke sočasno navzoče; </w:t>
      </w:r>
    </w:p>
    <w:p w14:paraId="21A0956B" w14:textId="56365680">
      <w:pPr>
        <w:spacing w:after="0" w:line="240" w:lineRule="auto"/>
        <w:ind w:left="1440"/>
        <w:jc w:val="both"/>
        <w:rPr>
          <w:rFonts w:ascii="Times New Roman" w:hAnsi="Times New Roman" w:cs="Times New Roman"/>
          <w:i/>
          <w:sz w:val="24"/>
          <w:szCs w:val="24"/>
        </w:rPr>
        <w:pStyle w:val="P68B1DB1-Normal12"/>
      </w:pPr>
      <w:r>
        <w:t xml:space="preserve">(II) „z elektronskimi sredstvi“ pomeni, da se storitev pošlje na začetku in sprejme na cilju z elektronsko opremo za obdelavo (vključno z digitalnim zgoščevanjem) in shranjevanje podatkov ter se v celoti prenaša, pošilja in sprejema po žici, radiu, optičnih sredstvih ali drugih elektromagnetnih sredstvih; </w:t>
      </w:r>
    </w:p>
    <w:p w14:paraId="5C56E529" w14:textId="12F1F1E7">
      <w:pPr>
        <w:spacing w:after="0" w:line="240" w:lineRule="auto"/>
        <w:ind w:left="1440"/>
        <w:jc w:val="both"/>
        <w:rPr>
          <w:rFonts w:ascii="Times New Roman" w:hAnsi="Times New Roman" w:cs="Times New Roman"/>
          <w:i/>
          <w:sz w:val="24"/>
          <w:szCs w:val="24"/>
        </w:rPr>
        <w:pStyle w:val="P68B1DB1-Normal12"/>
      </w:pPr>
      <w:r>
        <w:t xml:space="preserve">(III) „na posamezno zahtevo prejemnika storitev“ pomeni, da se storitev opravlja s prenosom podatkov na posamezno zahtevo. </w:t>
      </w:r>
    </w:p>
    <w:p w14:paraId="514F222E" w14:textId="77777777">
      <w:pPr>
        <w:spacing w:after="0" w:line="240" w:lineRule="auto"/>
        <w:jc w:val="both"/>
        <w:rPr>
          <w:rFonts w:ascii="Times New Roman" w:hAnsi="Times New Roman" w:cs="Times New Roman"/>
          <w:i/>
          <w:sz w:val="24"/>
          <w:szCs w:val="24"/>
        </w:rPr>
      </w:pPr>
    </w:p>
    <w:p w14:paraId="11E4DACC" w14:textId="7501B95E">
      <w:pPr>
        <w:spacing w:after="0" w:line="240" w:lineRule="auto"/>
        <w:ind w:left="567"/>
        <w:jc w:val="both"/>
        <w:rPr>
          <w:rFonts w:ascii="Times New Roman" w:hAnsi="Times New Roman" w:cs="Times New Roman"/>
          <w:i/>
          <w:sz w:val="24"/>
          <w:szCs w:val="24"/>
        </w:rPr>
        <w:pStyle w:val="P68B1DB1-Normal12"/>
      </w:pPr>
      <w:r>
        <w:t xml:space="preserve">Okvirni seznam storitev, ki niso zajete v tej opredelitvi, je določen v Prilogi I;“</w:t>
      </w:r>
    </w:p>
    <w:p w14:paraId="1FF17DD0" w14:textId="77777777">
      <w:pPr>
        <w:spacing w:after="0" w:line="240" w:lineRule="auto"/>
        <w:ind w:left="567"/>
        <w:jc w:val="both"/>
        <w:rPr>
          <w:rFonts w:ascii="Times New Roman" w:hAnsi="Times New Roman" w:cs="Times New Roman"/>
          <w:i/>
          <w:iCs/>
          <w:sz w:val="24"/>
          <w:szCs w:val="24"/>
        </w:rPr>
      </w:pPr>
    </w:p>
    <w:p w14:paraId="6EAE1680" w14:textId="066C5520">
      <w:pPr>
        <w:pStyle w:val="BodyText"/>
        <w:ind w:left="1440"/>
        <w:jc w:val="right"/>
      </w:pPr>
      <w:r>
        <w:t xml:space="preserve">(Člen 1(1)(b) Direktive (EU) 2015/1535)</w:t>
      </w:r>
    </w:p>
    <w:p w14:paraId="3979F0D8" w14:textId="77777777">
      <w:pPr>
        <w:spacing w:after="0" w:line="240" w:lineRule="auto"/>
        <w:ind w:left="567"/>
        <w:jc w:val="both"/>
        <w:rPr>
          <w:rFonts w:ascii="Times New Roman" w:hAnsi="Times New Roman" w:cs="Times New Roman"/>
          <w:i/>
          <w:iCs/>
          <w:sz w:val="24"/>
          <w:szCs w:val="24"/>
        </w:rPr>
      </w:pPr>
    </w:p>
    <w:p w14:paraId="325579F5" w14:textId="5717D74C">
      <w:pPr>
        <w:pStyle w:val="P68B1DB1-Normal12"/>
        <w:spacing w:after="0" w:line="240" w:lineRule="auto"/>
        <w:ind w:left="567"/>
        <w:jc w:val="both"/>
        <w:rPr>
          <w:iCs/>
        </w:rPr>
      </w:pPr>
      <w:r>
        <w:t xml:space="preserve">„Okvirni seznam storitev, ki niso zajete v drugem pododstavku člena 1(1)(b) </w:t>
      </w:r>
    </w:p>
    <w:p w14:paraId="2833D888" w14:textId="77777777">
      <w:pPr>
        <w:spacing w:after="0" w:line="240" w:lineRule="auto"/>
        <w:ind w:left="567"/>
        <w:jc w:val="both"/>
        <w:rPr>
          <w:rFonts w:ascii="Times New Roman" w:hAnsi="Times New Roman" w:cs="Times New Roman"/>
          <w:i/>
          <w:iCs/>
          <w:sz w:val="24"/>
          <w:szCs w:val="24"/>
        </w:rPr>
      </w:pPr>
    </w:p>
    <w:p w14:paraId="45BC8C0F" w14:textId="59EDD8A8">
      <w:pPr>
        <w:pStyle w:val="P68B1DB1-ListParagraph21"/>
        <w:numPr>
          <w:ilvl w:val="0"/>
          <w:numId w:val="33"/>
        </w:numPr>
        <w:spacing w:after="0" w:line="240" w:lineRule="auto"/>
        <w:jc w:val="center"/>
        <w:rPr>
          <w:rFonts w:ascii="Times New Roman" w:hAnsi="Times New Roman" w:cs="Times New Roman"/>
          <w:i/>
          <w:sz w:val="24"/>
          <w:szCs w:val="24"/>
        </w:rPr>
      </w:pPr>
      <w:r>
        <w:t xml:space="preserve">Storitve, ki se ne opravljajo na daljavo‘</w:t>
      </w:r>
    </w:p>
    <w:p w14:paraId="0869B267" w14:textId="77777777">
      <w:pPr>
        <w:pStyle w:val="ListParagraph"/>
        <w:spacing w:after="0" w:line="240" w:lineRule="auto"/>
        <w:ind w:left="927"/>
        <w:rPr>
          <w:rFonts w:ascii="Times New Roman" w:hAnsi="Times New Roman" w:cs="Times New Roman"/>
          <w:i/>
          <w:sz w:val="24"/>
          <w:szCs w:val="24"/>
        </w:rPr>
      </w:pPr>
    </w:p>
    <w:p w14:paraId="15316F3F" w14:textId="637F4A7C">
      <w:pPr>
        <w:spacing w:after="0" w:line="240" w:lineRule="auto"/>
        <w:ind w:left="567"/>
        <w:rPr>
          <w:rFonts w:ascii="Times New Roman" w:hAnsi="Times New Roman" w:cs="Times New Roman"/>
          <w:i/>
          <w:sz w:val="24"/>
          <w:szCs w:val="24"/>
        </w:rPr>
        <w:pStyle w:val="P68B1DB1-Normal12"/>
      </w:pPr>
      <w:r>
        <w:t xml:space="preserve">Storitve, ki se opravljajo v fizični prisotnosti izvajalca in prejemnika, tudi če vključujejo uporabo elektronskih naprav: </w:t>
      </w:r>
    </w:p>
    <w:p w14:paraId="3362CCDE" w14:textId="74A453DA">
      <w:pPr>
        <w:spacing w:after="0" w:line="240" w:lineRule="auto"/>
        <w:ind w:left="1287"/>
        <w:rPr>
          <w:rFonts w:ascii="Times New Roman" w:hAnsi="Times New Roman" w:cs="Times New Roman"/>
          <w:i/>
          <w:sz w:val="24"/>
          <w:szCs w:val="24"/>
        </w:rPr>
        <w:pStyle w:val="P68B1DB1-Normal12"/>
      </w:pPr>
      <w:r>
        <w:t xml:space="preserve">(a) zdravniške preglede ali zdravljenje v zdravniški kirurgiji z uporabo elektronske opreme, kjer je pacient fizično prisoten; </w:t>
      </w:r>
    </w:p>
    <w:p w14:paraId="705A25A8" w14:textId="77777777">
      <w:pPr>
        <w:spacing w:after="0" w:line="240" w:lineRule="auto"/>
        <w:ind w:left="567" w:firstLine="720"/>
        <w:rPr>
          <w:rFonts w:ascii="Times New Roman" w:hAnsi="Times New Roman" w:cs="Times New Roman"/>
          <w:i/>
          <w:sz w:val="24"/>
          <w:szCs w:val="24"/>
        </w:rPr>
        <w:pStyle w:val="P68B1DB1-Normal12"/>
      </w:pPr>
      <w:r>
        <w:t xml:space="preserve">(b) vpogled v elektronski katalog v trgovini s stranko na kraju samem; </w:t>
      </w:r>
    </w:p>
    <w:p w14:paraId="7DA6C469" w14:textId="5F31D5B1">
      <w:pPr>
        <w:spacing w:after="0" w:line="240" w:lineRule="auto"/>
        <w:ind w:left="1287"/>
        <w:rPr>
          <w:rFonts w:ascii="Times New Roman" w:hAnsi="Times New Roman" w:cs="Times New Roman"/>
          <w:i/>
          <w:sz w:val="24"/>
          <w:szCs w:val="24"/>
        </w:rPr>
        <w:pStyle w:val="P68B1DB1-Normal12"/>
      </w:pPr>
      <w:r>
        <w:t xml:space="preserve">(C) rezervacijo letalske vozovnice pri potovalni agenciji v fizični navzočnosti stranke prek računalniške mreže; </w:t>
      </w:r>
    </w:p>
    <w:p w14:paraId="01C9EFAD" w14:textId="77777777">
      <w:pPr>
        <w:spacing w:after="0" w:line="240" w:lineRule="auto"/>
        <w:ind w:left="1287"/>
        <w:rPr>
          <w:rFonts w:ascii="Times New Roman" w:hAnsi="Times New Roman" w:cs="Times New Roman"/>
          <w:i/>
          <w:sz w:val="24"/>
          <w:szCs w:val="24"/>
        </w:rPr>
        <w:pStyle w:val="P68B1DB1-Normal12"/>
      </w:pPr>
      <w:r>
        <w:t xml:space="preserve">(d) elektronske igre, ki so na voljo v videosaloni, kjer je stranka fizično prisotna. </w:t>
      </w:r>
    </w:p>
    <w:p w14:paraId="487F2005" w14:textId="77777777">
      <w:pPr>
        <w:spacing w:after="0" w:line="240" w:lineRule="auto"/>
        <w:ind w:left="567"/>
        <w:rPr>
          <w:rFonts w:ascii="Times New Roman" w:hAnsi="Times New Roman" w:cs="Times New Roman"/>
          <w:i/>
          <w:sz w:val="24"/>
          <w:szCs w:val="24"/>
        </w:rPr>
      </w:pPr>
    </w:p>
    <w:p w14:paraId="3AFC7951" w14:textId="251CDA9A">
      <w:pPr>
        <w:pStyle w:val="P68B1DB1-ListParagraph21"/>
        <w:numPr>
          <w:ilvl w:val="0"/>
          <w:numId w:val="33"/>
        </w:numPr>
        <w:spacing w:after="0" w:line="240" w:lineRule="auto"/>
        <w:jc w:val="center"/>
        <w:rPr>
          <w:rFonts w:ascii="Times New Roman" w:hAnsi="Times New Roman" w:cs="Times New Roman"/>
          <w:i/>
          <w:sz w:val="24"/>
          <w:szCs w:val="24"/>
        </w:rPr>
      </w:pPr>
      <w:r>
        <w:t xml:space="preserve">Storitve, ki se ne opravljajo z elektronsko opremo</w:t>
      </w:r>
    </w:p>
    <w:p w14:paraId="7F20B717" w14:textId="77777777">
      <w:pPr>
        <w:pStyle w:val="ListParagraph"/>
        <w:spacing w:after="0" w:line="240" w:lineRule="auto"/>
        <w:ind w:left="927"/>
        <w:rPr>
          <w:rFonts w:ascii="Times New Roman" w:hAnsi="Times New Roman" w:cs="Times New Roman"/>
          <w:i/>
          <w:sz w:val="24"/>
          <w:szCs w:val="24"/>
        </w:rPr>
      </w:pPr>
    </w:p>
    <w:p w14:paraId="02C6FE7C" w14:textId="77777777">
      <w:pPr>
        <w:spacing w:after="0" w:line="240" w:lineRule="auto"/>
        <w:ind w:left="567"/>
        <w:rPr>
          <w:rFonts w:ascii="Times New Roman" w:hAnsi="Times New Roman" w:cs="Times New Roman"/>
          <w:i/>
          <w:sz w:val="24"/>
          <w:szCs w:val="24"/>
        </w:rPr>
        <w:pStyle w:val="P68B1DB1-Normal12"/>
      </w:pPr>
      <w:r>
        <w:t xml:space="preserve">— storitve z materialno vsebino, čeprav se opravljajo prek elektronskih naprav: </w:t>
      </w:r>
    </w:p>
    <w:p w14:paraId="271D8E4D" w14:textId="77777777">
      <w:pPr>
        <w:spacing w:after="0" w:line="240" w:lineRule="auto"/>
        <w:ind w:left="567" w:firstLine="720"/>
        <w:rPr>
          <w:rFonts w:ascii="Times New Roman" w:hAnsi="Times New Roman" w:cs="Times New Roman"/>
          <w:i/>
          <w:sz w:val="24"/>
          <w:szCs w:val="24"/>
        </w:rPr>
        <w:pStyle w:val="P68B1DB1-Normal12"/>
      </w:pPr>
      <w:r>
        <w:t xml:space="preserve">(a) avtomati za izdajo gotovine ali vozovnic (bankovci, železniške vozovnice); </w:t>
      </w:r>
    </w:p>
    <w:p w14:paraId="07693B6B" w14:textId="1A59726A">
      <w:pPr>
        <w:spacing w:after="0" w:line="240" w:lineRule="auto"/>
        <w:ind w:left="1287"/>
        <w:rPr>
          <w:rFonts w:ascii="Times New Roman" w:hAnsi="Times New Roman" w:cs="Times New Roman"/>
          <w:i/>
          <w:sz w:val="24"/>
          <w:szCs w:val="24"/>
        </w:rPr>
        <w:pStyle w:val="P68B1DB1-Normal12"/>
      </w:pPr>
      <w:r>
        <w:t xml:space="preserve">(b) dostop do cestnih omrežij, parkirišč itd., pristojbine za uporabo, tudi če so na vhodu/izstopu elektronske naprave, ki nadzorujejo dostop in/ali zagotavljajo pravilno plačilo, </w:t>
      </w:r>
    </w:p>
    <w:p w14:paraId="6B193BE7" w14:textId="77777777">
      <w:pPr>
        <w:spacing w:after="0" w:line="240" w:lineRule="auto"/>
        <w:ind w:left="567"/>
        <w:rPr>
          <w:rFonts w:ascii="Times New Roman" w:hAnsi="Times New Roman" w:cs="Times New Roman"/>
          <w:i/>
          <w:sz w:val="24"/>
          <w:szCs w:val="24"/>
        </w:rPr>
        <w:pStyle w:val="P68B1DB1-Normal12"/>
      </w:pPr>
      <w:r>
        <w:t xml:space="preserve">— nespletne storitve: distribucija CD-ROM-ov ali programske opreme na disketih, </w:t>
      </w:r>
    </w:p>
    <w:p w14:paraId="421C0A6C" w14:textId="77777777">
      <w:pPr>
        <w:spacing w:after="0" w:line="240" w:lineRule="auto"/>
        <w:ind w:left="567"/>
        <w:rPr>
          <w:rFonts w:ascii="Times New Roman" w:hAnsi="Times New Roman" w:cs="Times New Roman"/>
          <w:i/>
          <w:sz w:val="24"/>
          <w:szCs w:val="24"/>
        </w:rPr>
        <w:pStyle w:val="P68B1DB1-Normal12"/>
      </w:pPr>
      <w:r>
        <w:t xml:space="preserve">— storitve, ki se ne zagotavljajo prek sistemov elektronske obdelave/inventarja: </w:t>
      </w:r>
    </w:p>
    <w:p w14:paraId="48C8B4AA" w14:textId="77777777">
      <w:pPr>
        <w:spacing w:after="0" w:line="240" w:lineRule="auto"/>
        <w:ind w:left="567" w:firstLine="720"/>
        <w:rPr>
          <w:rFonts w:ascii="Times New Roman" w:hAnsi="Times New Roman" w:cs="Times New Roman"/>
          <w:i/>
          <w:sz w:val="24"/>
          <w:szCs w:val="24"/>
        </w:rPr>
        <w:pStyle w:val="P68B1DB1-Normal12"/>
      </w:pPr>
      <w:r>
        <w:t xml:space="preserve">(a) storitve govorne telefonije; </w:t>
      </w:r>
    </w:p>
    <w:p w14:paraId="56C7B905" w14:textId="77777777">
      <w:pPr>
        <w:spacing w:after="0" w:line="240" w:lineRule="auto"/>
        <w:ind w:left="567" w:firstLine="720"/>
        <w:rPr>
          <w:rFonts w:ascii="Times New Roman" w:hAnsi="Times New Roman" w:cs="Times New Roman"/>
          <w:i/>
          <w:sz w:val="24"/>
          <w:szCs w:val="24"/>
        </w:rPr>
        <w:pStyle w:val="P68B1DB1-Normal12"/>
      </w:pPr>
      <w:r>
        <w:t xml:space="preserve">(b) storitve telefaksa/tekse; </w:t>
      </w:r>
    </w:p>
    <w:p w14:paraId="4711D7CC" w14:textId="77777777">
      <w:pPr>
        <w:spacing w:after="0" w:line="240" w:lineRule="auto"/>
        <w:ind w:left="567" w:firstLine="720"/>
        <w:rPr>
          <w:rFonts w:ascii="Times New Roman" w:hAnsi="Times New Roman" w:cs="Times New Roman"/>
          <w:i/>
          <w:sz w:val="24"/>
          <w:szCs w:val="24"/>
        </w:rPr>
        <w:pStyle w:val="P68B1DB1-Normal12"/>
      </w:pPr>
      <w:r>
        <w:t xml:space="preserve">(C) storitve, ki se zagotavljajo prek govorne telefonije ali telefaksa; </w:t>
      </w:r>
    </w:p>
    <w:p w14:paraId="129084EE" w14:textId="77777777">
      <w:pPr>
        <w:spacing w:after="0" w:line="240" w:lineRule="auto"/>
        <w:ind w:left="567" w:firstLine="720"/>
        <w:rPr>
          <w:rFonts w:ascii="Times New Roman" w:hAnsi="Times New Roman" w:cs="Times New Roman"/>
          <w:i/>
          <w:sz w:val="24"/>
          <w:szCs w:val="24"/>
        </w:rPr>
        <w:pStyle w:val="P68B1DB1-Normal12"/>
      </w:pPr>
      <w:r>
        <w:t xml:space="preserve">(d) po telefonu/telefaksu zdravnika; </w:t>
      </w:r>
    </w:p>
    <w:p w14:paraId="4D484D71" w14:textId="77777777">
      <w:pPr>
        <w:spacing w:after="0" w:line="240" w:lineRule="auto"/>
        <w:ind w:left="567" w:firstLine="720"/>
        <w:rPr>
          <w:rFonts w:ascii="Times New Roman" w:hAnsi="Times New Roman" w:cs="Times New Roman"/>
          <w:i/>
          <w:sz w:val="24"/>
          <w:szCs w:val="24"/>
        </w:rPr>
        <w:pStyle w:val="P68B1DB1-Normal12"/>
      </w:pPr>
      <w:r>
        <w:t xml:space="preserve">(e) posvetovanje z odvetnikom po telefonu/telefaksu; </w:t>
      </w:r>
    </w:p>
    <w:p w14:paraId="69CFBD9E" w14:textId="77777777">
      <w:pPr>
        <w:spacing w:after="0" w:line="240" w:lineRule="auto"/>
        <w:ind w:left="567" w:firstLine="720"/>
        <w:rPr>
          <w:rFonts w:ascii="Times New Roman" w:hAnsi="Times New Roman" w:cs="Times New Roman"/>
          <w:i/>
          <w:sz w:val="24"/>
          <w:szCs w:val="24"/>
        </w:rPr>
        <w:pStyle w:val="P68B1DB1-Normal12"/>
      </w:pPr>
      <w:r>
        <w:t xml:space="preserve">(F) neposredno trženje po telefonu/telefaksu. </w:t>
      </w:r>
    </w:p>
    <w:p w14:paraId="7998BDE8" w14:textId="77777777">
      <w:pPr>
        <w:spacing w:after="0" w:line="240" w:lineRule="auto"/>
        <w:ind w:left="567" w:firstLine="720"/>
        <w:rPr>
          <w:rFonts w:ascii="Times New Roman" w:hAnsi="Times New Roman" w:cs="Times New Roman"/>
          <w:i/>
          <w:sz w:val="24"/>
          <w:szCs w:val="24"/>
        </w:rPr>
      </w:pPr>
    </w:p>
    <w:p w14:paraId="61AA40DF" w14:textId="73BA62B1">
      <w:pPr>
        <w:spacing w:after="0" w:line="240" w:lineRule="auto"/>
        <w:ind w:left="567"/>
        <w:jc w:val="center"/>
        <w:rPr>
          <w:rFonts w:ascii="Times New Roman" w:hAnsi="Times New Roman" w:cs="Times New Roman"/>
          <w:i/>
          <w:sz w:val="24"/>
          <w:szCs w:val="24"/>
        </w:rPr>
        <w:pStyle w:val="P68B1DB1-Normal12"/>
      </w:pPr>
      <w:r>
        <w:t xml:space="preserve">3. Storitve, ki se ne opravljajo na zahtevo prejemnika storitev</w:t>
      </w:r>
    </w:p>
    <w:p w14:paraId="36C37D64" w14:textId="77777777">
      <w:pPr>
        <w:spacing w:after="0" w:line="240" w:lineRule="auto"/>
        <w:ind w:left="567"/>
        <w:jc w:val="center"/>
        <w:rPr>
          <w:rFonts w:ascii="Times New Roman" w:hAnsi="Times New Roman" w:cs="Times New Roman"/>
          <w:i/>
          <w:sz w:val="24"/>
          <w:szCs w:val="24"/>
        </w:rPr>
      </w:pPr>
    </w:p>
    <w:p w14:paraId="79A4497E" w14:textId="5069126A">
      <w:pPr>
        <w:spacing w:after="0" w:line="240" w:lineRule="auto"/>
        <w:ind w:left="567"/>
        <w:rPr>
          <w:rFonts w:ascii="Times New Roman" w:hAnsi="Times New Roman" w:cs="Times New Roman"/>
          <w:i/>
          <w:sz w:val="24"/>
          <w:szCs w:val="24"/>
        </w:rPr>
        <w:pStyle w:val="P68B1DB1-Normal12"/>
      </w:pPr>
      <w:r>
        <w:t xml:space="preserve">Storitve, ki se opravljajo s prenosom podatkov brez osebne zahteve, ki jih sočasno prejema neomejeno število posameznih prejemnikov (večtočkovno oddajanje): </w:t>
      </w:r>
    </w:p>
    <w:p w14:paraId="7348FF90" w14:textId="622E29E3">
      <w:pPr>
        <w:spacing w:after="0" w:line="240" w:lineRule="auto"/>
        <w:ind w:left="1287"/>
        <w:rPr>
          <w:rFonts w:ascii="Times New Roman" w:hAnsi="Times New Roman" w:cs="Times New Roman"/>
          <w:i/>
          <w:sz w:val="24"/>
          <w:szCs w:val="24"/>
        </w:rPr>
        <w:pStyle w:val="P68B1DB1-Normal12"/>
      </w:pPr>
      <w:r>
        <w:t xml:space="preserve">(a) storitve razširjanja televizijskih programov (vključno s skoraj video storitvami na zahtevo), zajete v točki (e) člena 1(1) Direktive 2010/13/EU; </w:t>
      </w:r>
    </w:p>
    <w:p w14:paraId="52812E73" w14:textId="77777777">
      <w:pPr>
        <w:spacing w:after="0" w:line="240" w:lineRule="auto"/>
        <w:ind w:left="567" w:firstLine="720"/>
        <w:rPr>
          <w:rFonts w:ascii="Times New Roman" w:hAnsi="Times New Roman" w:cs="Times New Roman"/>
          <w:i/>
          <w:sz w:val="24"/>
          <w:szCs w:val="24"/>
        </w:rPr>
        <w:pStyle w:val="P68B1DB1-Normal12"/>
      </w:pPr>
      <w:r>
        <w:t xml:space="preserve">(b) radiodifuzijske storitve; </w:t>
      </w:r>
    </w:p>
    <w:p w14:paraId="50FD6B17" w14:textId="6C6940F1">
      <w:pPr>
        <w:spacing w:after="0" w:line="240" w:lineRule="auto"/>
        <w:ind w:left="567" w:firstLine="720"/>
        <w:pStyle w:val="P68B1DB1-Normal12"/>
      </w:pPr>
      <w:r>
        <w:t xml:space="preserve">(C) (televizijsko) teletekst.“</w:t>
      </w:r>
    </w:p>
    <w:p w14:paraId="4CB8A09D" w14:textId="49490E91">
      <w:pPr>
        <w:pStyle w:val="BodyText"/>
        <w:ind w:left="1440"/>
        <w:jc w:val="right"/>
      </w:pPr>
      <w:r>
        <w:t xml:space="preserve">(Priloga I k Direktivi (EU) 2015/1535)</w:t>
      </w:r>
    </w:p>
    <w:p w14:paraId="4AFCA90D" w14:textId="77777777">
      <w:pPr>
        <w:spacing w:after="0" w:line="240" w:lineRule="auto"/>
      </w:pPr>
    </w:p>
    <w:p w14:paraId="27152DAF" w14:textId="403C1BD4">
      <w:pPr>
        <w:widowControl w:val="0"/>
        <w:autoSpaceDE w:val="0"/>
        <w:autoSpaceDN w:val="0"/>
        <w:spacing w:after="0" w:line="240" w:lineRule="auto"/>
        <w:jc w:val="both"/>
        <w:rPr>
          <w:rFonts w:ascii="Times New Roman" w:hAnsi="Times New Roman" w:cs="Times New Roman" w:eastAsia="Times New Roman"/>
          <w:i/>
          <w:iCs/>
          <w:sz w:val="20"/>
          <w:szCs w:val="16"/>
        </w:rPr>
      </w:pPr>
      <w:hyperlink r:id="rId47" w:history="1">
        <w:r>
          <w:rPr>
            <w:rStyle w:val="Hyperlink"/>
            <w:rFonts w:ascii="Times New Roman" w:hAnsi="Times New Roman" w:cs="Times New Roman" w:eastAsia="Times New Roman"/>
            <w:b/>
            <w:i/>
            <w:color w:val="0000FF"/>
            <w:szCs w:val="20"/>
          </w:rPr>
          <w:t xml:space="preserve">Sodba z dne 2. junija 2005</w:t>
        </w:r>
      </w:hyperlink>
      <w:r>
        <w:rPr>
          <w:rFonts w:ascii="Times New Roman" w:hAnsi="Times New Roman" w:cs="Times New Roman" w:eastAsia="Times New Roman"/>
          <w:b/>
          <w:i/>
          <w:szCs w:val="20"/>
        </w:rPr>
        <w:t xml:space="preserve">, Mediakabel BV, C-89/04, EU:C:2005:348, točki 38 in 39.</w:t>
      </w:r>
    </w:p>
    <w:p w14:paraId="72864DF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0D3FE7F" w14:textId="7CBF6B01">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Storitev razširjanja televizijskih programov, ki je na voljo na zahtevo naročnika, vendar za katero ponudnik določi pogostost in čas filmov, ne pomeni „storitve informacijske družbe“, saj vsebino izbere in načrtuje ponudnik in se zato ne zagotavlja na posamezno zahtevo prejemnika.</w:t>
      </w:r>
    </w:p>
    <w:p w14:paraId="35F17E14"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DC4243A" w14:textId="1EBB386A">
      <w:pPr>
        <w:pStyle w:val="P68B1DB1-Normal15"/>
        <w:widowControl w:val="0"/>
        <w:autoSpaceDE w:val="0"/>
        <w:autoSpaceDN w:val="0"/>
        <w:spacing w:after="0" w:line="240" w:lineRule="auto"/>
        <w:ind w:left="567"/>
        <w:jc w:val="both"/>
      </w:pPr>
      <w:r>
        <w:t xml:space="preserve">„38. Čeprav taka storitev izpolnjuje prvi dve merili za opredelitev „storitev informacijske družbe“ v smislu člena 1(2) Direktive 98/34, torej se opravlja na daljavo in delno prenaša z elektronsko opremo, ne izpolnjuje tretjega merila pojma, v skladu s katerim je treba zadevno storitev opravljati „na posamezno zahtevo prejemnika storitev“. Seznam filmov, ponujenih znotraj storitve, kakršna je storitev „Filmtime“, sestavi ponudnik storitve. Ta izbor filmov je ponujen vsem naročnikom pod enakimi pogoji v časopisih ali prek informacij na televizijskem zaslonu, navedeni filmi pa so dostopni ob urah predvajanja, ki jih določi ponudnik. Osebni ključ, ki omogoča dostop do filmov, je samo sredstvo za dešifriranje slik, katerih signali se sočasno pošiljajo vsem naročnikom.</w:t>
      </w:r>
    </w:p>
    <w:p w14:paraId="68AEB66F" w14:textId="77777777">
      <w:pPr>
        <w:pStyle w:val="P68B1DB1-Normal15"/>
        <w:widowControl w:val="0"/>
        <w:autoSpaceDE w:val="0"/>
        <w:autoSpaceDN w:val="0"/>
        <w:spacing w:after="0" w:line="240" w:lineRule="auto"/>
        <w:ind w:left="567"/>
        <w:jc w:val="both"/>
      </w:pPr>
    </w:p>
    <w:p w14:paraId="145EEF38" w14:textId="74B1BC98">
      <w:pPr>
        <w:pStyle w:val="P68B1DB1-Normal15"/>
        <w:widowControl w:val="0"/>
        <w:autoSpaceDE w:val="0"/>
        <w:autoSpaceDN w:val="0"/>
        <w:spacing w:after="0" w:line="240" w:lineRule="auto"/>
        <w:ind w:left="567"/>
        <w:jc w:val="both"/>
        <w:rPr>
          <w:iCs/>
        </w:rPr>
      </w:pPr>
      <w:r>
        <w:t xml:space="preserve">39. Take storitve torej ne naroči posamično posamezni prejemnik, ki naj bi svobodno izbiral programe v interaktivnem okviru. Šteti jo je treba za skoraj video storitev na zahtevo, ki se opravlja na podlagi ‚od točke do več točk‘, in ne ‚na posamezno zahtevo prejemnika storitev‘.“</w:t>
      </w:r>
    </w:p>
    <w:p w14:paraId="5E8F8952" w14:textId="190BF10B">
      <w:pPr>
        <w:widowControl w:val="0"/>
        <w:autoSpaceDE w:val="0"/>
        <w:autoSpaceDN w:val="0"/>
        <w:spacing w:after="0" w:line="240" w:lineRule="auto"/>
        <w:ind w:left="567"/>
        <w:jc w:val="both"/>
      </w:pPr>
    </w:p>
    <w:p w14:paraId="6027638F" w14:textId="40792564">
      <w:pPr>
        <w:pStyle w:val="P68B1DB1-Normal13"/>
        <w:widowControl w:val="0"/>
        <w:autoSpaceDE w:val="0"/>
        <w:autoSpaceDN w:val="0"/>
        <w:spacing w:after="0" w:line="240" w:lineRule="auto"/>
        <w:jc w:val="both"/>
        <w:outlineLvl w:val="1"/>
      </w:pPr>
      <w:hyperlink r:id="rId48" w:history="1">
        <w:r>
          <w:rPr>
            <w:color w:val="0000FF"/>
            <w:u w:val="single"/>
          </w:rPr>
          <w:t xml:space="preserve">Sodba z dne 2. februarja 2016</w:t>
        </w:r>
      </w:hyperlink>
      <w:r>
        <w:t xml:space="preserve">, Ince, C-336/14, EU:C:2016:72, točki 75 in 76.</w:t>
      </w:r>
      <w:bookmarkEnd w:id="70"/>
    </w:p>
    <w:p w14:paraId="62235723"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32F669F1" w14:textId="7D474CDE">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Style w:val="P68B1DB1-Normal14"/>
      </w:pPr>
      <w:r>
        <w:t xml:space="preserve">Nacionalne določbe, ki omejujejo ponujanje spletnih iger na srečo ali prepovedujejo spletno oglaševanje takih iger, se lahko štejejo za „pravila o storitvah“, saj se nanašajo na „storitev informacijske družbe“. Nasprotno pa se določbe, ki zahtevajo predhodno dovoljenje za prireditelje iger na srečo ali prepovedujejo izdajo takega dovoljenja zasebnim subjektom, nanašajo na pogoje za ustanavljanje podjetij in zato ne pomenijo „pravil o storitvah“.</w:t>
      </w:r>
    </w:p>
    <w:p w14:paraId="156FC50A"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26E8979D" w14:textId="42272F10">
      <w:pPr>
        <w:pStyle w:val="P68B1DB1-Normal15"/>
        <w:widowControl w:val="0"/>
        <w:autoSpaceDE w:val="0"/>
        <w:autoSpaceDN w:val="0"/>
        <w:spacing w:after="0" w:line="240" w:lineRule="auto"/>
        <w:ind w:left="567"/>
        <w:jc w:val="both"/>
      </w:pPr>
      <w:r>
        <w:t xml:space="preserve">„75. [...] nekatere določbe Pogodbe o igrah na srečo je mogoče opredeliti kot „pravila o storitvah“, če se nanašajo na „storitev informacijske družbe“ v smislu člena 1, točka 2, Direktive 98/34. Te določbe zajemajo tudi prepoved ponujanja iger na srečo na internetu iz člena 4(4) pogodbe o igrah na srečo, izjeme od te prepovedi, navedene v členu 25(6) te pogodbe, omejitve možnosti ponujanja športnih stav prek telekomunikacijskih sredstev na podlagi člena 21(2) te pogodbe in prepoved oglaševanja iger na srečo na spletu in po telekomunikacijskih napravah,v skladu s členom 5(3) te pogodbe.</w:t>
      </w:r>
    </w:p>
    <w:p w14:paraId="440D35CE" w14:textId="77777777">
      <w:pPr>
        <w:pStyle w:val="P68B1DB1-Normal15"/>
        <w:widowControl w:val="0"/>
        <w:autoSpaceDE w:val="0"/>
        <w:autoSpaceDN w:val="0"/>
        <w:spacing w:after="0" w:line="240" w:lineRule="auto"/>
        <w:ind w:left="567"/>
        <w:jc w:val="both"/>
      </w:pPr>
    </w:p>
    <w:p w14:paraId="7CF19AC0" w14:textId="0AA0DFE8">
      <w:pPr>
        <w:pStyle w:val="P68B1DB1-Normal15"/>
        <w:widowControl w:val="0"/>
        <w:autoSpaceDE w:val="0"/>
        <w:autoSpaceDN w:val="0"/>
        <w:spacing w:after="0" w:line="240" w:lineRule="auto"/>
        <w:ind w:left="567"/>
        <w:jc w:val="both"/>
        <w:rPr>
          <w:iCs/>
        </w:rPr>
      </w:pPr>
      <w:r>
        <w:t xml:space="preserve">76. Nasprotno pa druge določbe pogodbe o igrah na srečo, ki se ne nanašajo na „storitve informacijske družbe“ v smislu člena 1, točka 2, Direktive 98/34, kot so določbe, ki uvajajo obveznost pridobitve dovoljenja za prirejanje ali pobiranje športnih stav ter nemožnost izdaje takšnega dovoljenja zasebnim ponudnikom, niso „tehnični predpisi“ v smislu člena 1, točka 11, te direktive. Nacionalne določbe, ki določajo le pogoje za ustanovitev ali opravljanje storitev podjetij, kot so določbe, ki opravljanje dejavnosti pogojujejo s predhodnim dovoljenjem, niso tehnični predpisi v smislu te določbe (glej v tem smislu sodbo Lindberg, C-267/03, EU:C:2005:246, točka 87).“</w:t>
      </w:r>
    </w:p>
    <w:p w14:paraId="284BC1DD" w14:textId="77777777">
      <w:pPr>
        <w:spacing w:after="0" w:line="240" w:lineRule="auto"/>
      </w:pPr>
    </w:p>
    <w:p w14:paraId="792D1FCB" w14:textId="5D8C5452">
      <w:pPr>
        <w:pStyle w:val="P68B1DB1-Normal13"/>
        <w:widowControl w:val="0"/>
        <w:autoSpaceDE w:val="0"/>
        <w:autoSpaceDN w:val="0"/>
        <w:spacing w:after="0" w:line="240" w:lineRule="auto"/>
        <w:jc w:val="both"/>
        <w:outlineLvl w:val="1"/>
      </w:pPr>
      <w:hyperlink r:id="rId49" w:history="1">
        <w:r>
          <w:rPr>
            <w:color w:val="0000FF"/>
            <w:u w:val="single"/>
          </w:rPr>
          <w:t xml:space="preserve">Sodba Sodišča z dne 13. oktobra 2016</w:t>
        </w:r>
      </w:hyperlink>
      <w:r>
        <w:t xml:space="preserve">, Naczelnik Urzędu Celnego I w., C 303/15,</w:t>
        <w:noBreakHyphen/>
        <w:t xml:space="preserve">ECLI:EU:C:2016:771, točka 24.</w:t>
      </w:r>
      <w:bookmarkEnd w:id="71"/>
    </w:p>
    <w:p w14:paraId="5329A61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0996FF96" w14:textId="3530BD3E">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Določba, ki opravljanje dejavnosti iger na srečo pogojuje s pridobitvijo dovoljenja za upravljanje igralnice, ne pomeni „predpisa o storitvah“, saj se ne nanaša na „storitev informacijske družbe“.</w:t>
      </w:r>
    </w:p>
    <w:p w14:paraId="1E1EAAA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7469D564" w14:textId="52BCBAAC">
      <w:pPr>
        <w:pStyle w:val="P68B1DB1-Normal15"/>
        <w:widowControl w:val="0"/>
        <w:tabs>
          <w:tab w:val="left" w:pos="396"/>
          <w:tab w:val="left" w:pos="399"/>
        </w:tabs>
        <w:autoSpaceDE w:val="0"/>
        <w:autoSpaceDN w:val="0"/>
        <w:spacing w:after="0" w:line="240" w:lineRule="auto"/>
        <w:ind w:left="567" w:hanging="142"/>
        <w:jc w:val="both"/>
        <w:rPr>
          <w:iCs/>
        </w:rPr>
      </w:pPr>
      <w:r>
        <w:t>„</w:t>
      </w:r>
      <w:bookmarkStart w:id="72" w:name="point24"/>
      <w:r>
        <w:t>24</w:t>
      </w:r>
      <w:bookmarkEnd w:id="72"/>
      <w:r>
        <w:t xml:space="preserve">. [...] te določbe ni mogoče uvrstiti v kategorijo „pravil o storitvah [informacijske družbe]“ v smislu člena 1, točka 5, Direktive 98/34, ker se ne nanaša na „storitev informacijske družbe“ v smislu člena 1(2) te direktive.“</w:t>
      </w:r>
    </w:p>
    <w:p w14:paraId="2022FC13" w14:textId="77777777">
      <w:pPr>
        <w:spacing w:after="0" w:line="240" w:lineRule="auto"/>
      </w:pPr>
    </w:p>
    <w:bookmarkStart w:id="73" w:name="_Hlk202362486"/>
    <w:p w14:paraId="3ED876F3" w14:textId="767BC230">
      <w:pPr>
        <w:pStyle w:val="P68B1DB1-Normal13"/>
        <w:widowControl w:val="0"/>
        <w:autoSpaceDE w:val="0"/>
        <w:autoSpaceDN w:val="0"/>
        <w:spacing w:after="0" w:line="240" w:lineRule="auto"/>
        <w:jc w:val="both"/>
        <w:outlineLvl w:val="1"/>
      </w:pPr>
      <w:r>
        <w:fldChar w:fldCharType="begin"/>
      </w:r>
      <w:r>
        <w:instrText>HYPERLINK "https://curia.europa.eu/juris/document/document.jsf?text=&amp;docid=198051&amp;pageIndex=0&amp;doclang=EN&amp;mode=lst&amp;dir=&amp;occ=first&amp;part=1&amp;cid=10880021"</w:instrText>
      </w:r>
      <w:r>
        <w:fldChar w:fldCharType="separate"/>
      </w:r>
      <w:bookmarkStart w:id="74" w:name="_Toc198043830"/>
      <w:r>
        <w:rPr>
          <w:color w:val="0000FF"/>
          <w:u w:val="single"/>
        </w:rPr>
        <w:t xml:space="preserve">Sodba z dne 20. decembra</w:t>
      </w:r>
      <w:r>
        <w:rPr>
          <w:color w:val="0000FF"/>
          <w:u w:val="single"/>
        </w:rPr>
        <w:fldChar w:fldCharType="end"/>
        <w:t xml:space="preserve">2017, Falbert in drugi, C</w:t>
        <w:noBreakHyphen/>
        <w:t xml:space="preserve">255/16, EU:C:2017:983, točke od 27 do 29, 32 in 33</w:t>
      </w:r>
      <w:bookmarkEnd w:id="74"/>
    </w:p>
    <w:bookmarkEnd w:id="73"/>
    <w:p w14:paraId="1158306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227D8B" w14:textId="4F8DA22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Nacionalne določbe o storitvah iger na srečo ali oglaševanja so lahko „pravila o storitvah“, če se neposredno nanašajo na storitve, ki se opravljajo na daljavo, elektronsko in na zahtevo prejemnika. Čeprav besedilo takih določb ne razlikuje med spletnimi in nespletnimi storitvami, je mogoče o njihovem cilju glede „storitev informacijske družbe“ sklepati iz njihovih uvodnih izjav ali </w:t>
      </w:r>
      <w:r>
        <w:rPr>
          <w:i/>
        </w:rPr>
        <w:t xml:space="preserve">pripravljalnih dokumentov</w:t>
      </w:r>
      <w:r>
        <w:t>.</w:t>
      </w:r>
    </w:p>
    <w:p w14:paraId="7F177100" w14:textId="77777777">
      <w:pPr>
        <w:widowControl w:val="0"/>
        <w:autoSpaceDE w:val="0"/>
        <w:autoSpaceDN w:val="0"/>
        <w:spacing w:after="0" w:line="240" w:lineRule="auto"/>
        <w:jc w:val="both"/>
        <w:rPr>
          <w:rFonts w:ascii="Times New Roman" w:hAnsi="Times New Roman" w:cs="Times New Roman" w:eastAsia="Times New Roman"/>
          <w:szCs w:val="20"/>
        </w:rPr>
      </w:pPr>
    </w:p>
    <w:p w14:paraId="7F9B9A73" w14:textId="7410A16D">
      <w:pPr>
        <w:pStyle w:val="P68B1DB1-Normal15"/>
        <w:widowControl w:val="0"/>
        <w:autoSpaceDE w:val="0"/>
        <w:autoSpaceDN w:val="0"/>
        <w:spacing w:after="0" w:line="240" w:lineRule="auto"/>
        <w:ind w:left="567"/>
        <w:jc w:val="both"/>
      </w:pPr>
      <w:r>
        <w:t xml:space="preserve">„27. Spomniti je treba, da v skladu z besedilom člena 1, točka 2, te direktive ta skupina „tehničnih predpisov“ zajema samo predpise v zvezi s storitvami informacijske družbe, torej vsemi storitvami, ki se opravljajo na daljavo, elektronsko in na zahtevo prejemnika storitev (sodba z dne 13. oktobra 2016, M. in S., C-303/15, EU:C:2016:771, točka 21, in z dne 1. februarja 2017, Município de Palmela, C-144/16, EU:C:2017:76, točka 28).</w:t>
      </w:r>
    </w:p>
    <w:p w14:paraId="0F8135B3" w14:textId="77777777">
      <w:pPr>
        <w:pStyle w:val="P68B1DB1-Normal15"/>
        <w:widowControl w:val="0"/>
        <w:autoSpaceDE w:val="0"/>
        <w:autoSpaceDN w:val="0"/>
        <w:spacing w:after="0" w:line="240" w:lineRule="auto"/>
        <w:ind w:left="567"/>
        <w:jc w:val="both"/>
      </w:pPr>
    </w:p>
    <w:p w14:paraId="6AF5DAAF" w14:textId="403D67A9">
      <w:pPr>
        <w:pStyle w:val="P68B1DB1-Normal15"/>
        <w:widowControl w:val="0"/>
        <w:autoSpaceDE w:val="0"/>
        <w:autoSpaceDN w:val="0"/>
        <w:spacing w:after="0" w:line="240" w:lineRule="auto"/>
        <w:ind w:left="567"/>
        <w:jc w:val="both"/>
      </w:pPr>
      <w:r>
        <w:t xml:space="preserve">28. V zvezi s tem je treba poudariti, da se člen 10(3), točka 3, zakona o igrah na srečo načeloma nanaša na dve vrsti storitev, in sicer na eni strani na storitve oglaševanja, ki so neposredni predmet sankcij, ki jih določa ta določba, in na drugih strani na storitve iger na srečo, na katere se nanaša prepoved oglaševanja in ki so, gledano v celoti, glavni predmet zakona o igrah na srečo.</w:t>
      </w:r>
    </w:p>
    <w:p w14:paraId="74D3506D" w14:textId="77777777">
      <w:pPr>
        <w:pStyle w:val="P68B1DB1-Normal15"/>
        <w:widowControl w:val="0"/>
        <w:autoSpaceDE w:val="0"/>
        <w:autoSpaceDN w:val="0"/>
        <w:spacing w:after="0" w:line="240" w:lineRule="auto"/>
        <w:ind w:left="567"/>
        <w:jc w:val="both"/>
      </w:pPr>
    </w:p>
    <w:p w14:paraId="5664402E" w14:textId="11E23D14">
      <w:pPr>
        <w:pStyle w:val="P68B1DB1-Normal15"/>
        <w:widowControl w:val="0"/>
        <w:autoSpaceDE w:val="0"/>
        <w:autoSpaceDN w:val="0"/>
        <w:spacing w:after="0" w:line="240" w:lineRule="auto"/>
        <w:ind w:left="567"/>
        <w:jc w:val="both"/>
        <w:rPr>
          <w:iCs/>
        </w:rPr>
      </w:pPr>
      <w:r>
        <w:t xml:space="preserve">29. Tako oglaševalske storitve kot storitve iger na srečo, če se med drugim opravljajo elektronsko (spletno), pomenijo „storitve informacijske družbe“ v smislu člena 1(2) Direktive 98/34 in z njimi povezanih pravil, ki jih je zato mogoče šteti za „pravila o storitvah“ v smislu člena 1, točka 5, Direktive 98/34.“</w:t>
      </w:r>
    </w:p>
    <w:p w14:paraId="5EFEFCC0" w14:textId="77777777">
      <w:pPr>
        <w:widowControl w:val="0"/>
        <w:autoSpaceDE w:val="0"/>
        <w:autoSpaceDN w:val="0"/>
        <w:spacing w:after="0" w:line="240" w:lineRule="auto"/>
        <w:ind w:left="567"/>
        <w:jc w:val="both"/>
        <w:rPr>
          <w:rFonts w:ascii="Times New Roman" w:hAnsi="Times New Roman" w:cs="Times New Roman" w:eastAsia="Times New Roman"/>
          <w:i/>
          <w:iCs/>
          <w:szCs w:val="20"/>
        </w:rPr>
      </w:pPr>
    </w:p>
    <w:p w14:paraId="41A42BF7" w14:textId="5C64577C">
      <w:pPr>
        <w:pStyle w:val="P68B1DB1-Normal15"/>
        <w:widowControl w:val="0"/>
        <w:autoSpaceDE w:val="0"/>
        <w:autoSpaceDN w:val="0"/>
        <w:spacing w:after="0" w:line="240" w:lineRule="auto"/>
        <w:ind w:left="567"/>
        <w:jc w:val="both"/>
      </w:pPr>
      <w:r>
        <w:t xml:space="preserve">„32. V zvezi s tem je treba navesti, prvič, da je treba na vprašanje, ali je predpis posebej namenjen storitvam informacijske družbe, v skladu s členom 1, točka 5, prva alinea, Direktive 98/34, odgovoriti ob upoštevanju obrazložitve in besedila tega predpisa. Poleg tega se na podlagi te določbe ne zahteva, da je „poseben namen in cilj“ zadevnega pravila v celoti urediti storitve informacijske družbe, saj zadošča, da temu namenu ali cilju sledijo nekatere določbe tega pravila.</w:t>
      </w:r>
    </w:p>
    <w:p w14:paraId="52376DA8" w14:textId="77777777">
      <w:pPr>
        <w:pStyle w:val="P68B1DB1-Normal15"/>
        <w:widowControl w:val="0"/>
        <w:autoSpaceDE w:val="0"/>
        <w:autoSpaceDN w:val="0"/>
        <w:spacing w:after="0" w:line="240" w:lineRule="auto"/>
        <w:ind w:left="567"/>
        <w:jc w:val="both"/>
      </w:pPr>
    </w:p>
    <w:p w14:paraId="0315D791" w14:textId="4196282E">
      <w:pPr>
        <w:pStyle w:val="P68B1DB1-Normal15"/>
        <w:widowControl w:val="0"/>
        <w:autoSpaceDE w:val="0"/>
        <w:autoSpaceDN w:val="0"/>
        <w:spacing w:after="0" w:line="240" w:lineRule="auto"/>
        <w:ind w:left="567"/>
        <w:jc w:val="both"/>
        <w:rPr>
          <w:iCs/>
        </w:rPr>
      </w:pPr>
      <w:r>
        <w:t xml:space="preserve">33. Zato, če zgolj iz besedila nacionalnega predpisa ni razvidno, da je vsaj delno namenjen posebej ureditvi storitev informacijske družbe – kot v obravnavani zadevi, v kateri besedilo ne razlikuje med storitvami, ki se opravljajo zunaj spleta, in storitvami, ki se opravljajo na spletu – je ta cilj vseeno mogoče jasno razbrati iz obrazložitve tega pravila, kot v obravnavanem primeru, tudi v okviru upoštevnih nacionalnih pravil o razlagi, ki med drugim omogočajo pripravo pripravljalnih dokumentov za to pravilo.“</w:t>
      </w:r>
    </w:p>
    <w:p w14:paraId="4FC111DB" w14:textId="77777777">
      <w:pPr>
        <w:spacing w:after="0" w:line="240" w:lineRule="auto"/>
      </w:pPr>
    </w:p>
    <w:p w14:paraId="61BC4E90" w14:textId="11306B2B">
      <w:pPr>
        <w:pStyle w:val="P68B1DB1-Normal13"/>
        <w:widowControl w:val="0"/>
        <w:autoSpaceDE w:val="0"/>
        <w:autoSpaceDN w:val="0"/>
        <w:spacing w:after="0" w:line="240" w:lineRule="auto"/>
        <w:jc w:val="both"/>
        <w:outlineLvl w:val="1"/>
      </w:pPr>
      <w:hyperlink r:id="rId50" w:history="1">
        <w:r>
          <w:rPr>
            <w:color w:val="0000FF"/>
            <w:u w:val="single"/>
          </w:rPr>
          <w:t xml:space="preserve">Sodba z dne 20. decembra 2017</w:t>
        </w:r>
      </w:hyperlink>
      <w:r>
        <w:t xml:space="preserve">, Asociación Profesional Elite Taxi, C</w:t>
        <w:noBreakHyphen/>
        <w:t xml:space="preserve">434/15, EU:C:2017:981, točke 37 in od 39 do 41.</w:t>
      </w:r>
      <w:bookmarkEnd w:id="75"/>
    </w:p>
    <w:p w14:paraId="101ED87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7072DE" w14:textId="5D866F13">
      <w:pPr>
        <w:widowControl w:val="0"/>
        <w:tabs>
          <w:tab w:val="left" w:pos="446"/>
        </w:tabs>
        <w:autoSpaceDE w:val="0"/>
        <w:autoSpaceDN w:val="0"/>
        <w:spacing w:after="0" w:line="240" w:lineRule="auto"/>
        <w:jc w:val="both"/>
        <w:rPr>
          <w:rFonts w:ascii="Times New Roman" w:hAnsi="Times New Roman" w:cs="Times New Roman" w:eastAsia="Times New Roman"/>
          <w:szCs w:val="20"/>
        </w:rPr>
        <w:pStyle w:val="P68B1DB1-Normal14"/>
      </w:pPr>
      <w:r>
        <w:t xml:space="preserve">Za posredniško storitev, ki prek aplikacije za pametni telefon za plačilo povezuje nepoklicne voznike, ki uporabljajo lastna vozila, z osebami, ki iščejo mestni prevoz, je treba šteti, da je neločljivo povezana s prevozno storitvijo in je zato opredeljena kot „storitev na področju prevoza“ (in ne kot „storitev informacijske družbe“).</w:t>
      </w:r>
    </w:p>
    <w:p w14:paraId="39437988" w14:textId="77777777">
      <w:pPr>
        <w:widowControl w:val="0"/>
        <w:tabs>
          <w:tab w:val="left" w:pos="446"/>
        </w:tabs>
        <w:autoSpaceDE w:val="0"/>
        <w:autoSpaceDN w:val="0"/>
        <w:spacing w:after="0" w:line="240" w:lineRule="auto"/>
        <w:jc w:val="both"/>
        <w:rPr>
          <w:rFonts w:ascii="Times New Roman" w:hAnsi="Times New Roman" w:cs="Times New Roman" w:eastAsia="Times New Roman"/>
          <w:szCs w:val="20"/>
        </w:rPr>
      </w:pPr>
    </w:p>
    <w:p w14:paraId="2DF36F50" w14:textId="0FDBA667">
      <w:pPr>
        <w:pStyle w:val="P68B1DB1-Normal15"/>
        <w:widowControl w:val="0"/>
        <w:tabs>
          <w:tab w:val="left" w:pos="446"/>
        </w:tabs>
        <w:autoSpaceDE w:val="0"/>
        <w:autoSpaceDN w:val="0"/>
        <w:spacing w:after="0" w:line="240" w:lineRule="auto"/>
        <w:ind w:left="567"/>
        <w:jc w:val="both"/>
        <w:rPr>
          <w:iCs/>
        </w:rPr>
      </w:pPr>
      <w:r>
        <w:t>„</w:t>
      </w:r>
      <w:bookmarkStart w:id="76" w:name="point37"/>
      <w:r>
        <w:t>37</w:t>
      </w:r>
      <w:bookmarkEnd w:id="76"/>
      <w:r>
        <w:t xml:space="preserve">. Vendar je treba poudariti, da je storitev, kakršna je ta v postopku v glavni stvari, več kot storitev posredovanja, pri kateri se nepoklicni voznik, ki uporablja lastno vozilo, prek aplikacije za pametni telefon poveže z osebo, ki želi opraviti mestno vožnjo.“</w:t>
      </w:r>
    </w:p>
    <w:p w14:paraId="6F022088" w14:textId="77777777">
      <w:pPr>
        <w:widowControl w:val="0"/>
        <w:tabs>
          <w:tab w:val="left" w:pos="446"/>
        </w:tabs>
        <w:autoSpaceDE w:val="0"/>
        <w:autoSpaceDN w:val="0"/>
        <w:spacing w:after="0" w:line="240" w:lineRule="auto"/>
        <w:ind w:left="567"/>
        <w:jc w:val="both"/>
        <w:rPr>
          <w:rFonts w:ascii="Times New Roman" w:hAnsi="Times New Roman" w:cs="Times New Roman" w:eastAsia="Times New Roman"/>
          <w:i/>
          <w:iCs/>
          <w:sz w:val="20"/>
          <w:szCs w:val="16"/>
        </w:rPr>
      </w:pPr>
    </w:p>
    <w:p w14:paraId="311F194E" w14:textId="26FAB3A7">
      <w:pPr>
        <w:pStyle w:val="P68B1DB1-Normal15"/>
        <w:widowControl w:val="0"/>
        <w:tabs>
          <w:tab w:val="left" w:pos="446"/>
        </w:tabs>
        <w:autoSpaceDE w:val="0"/>
        <w:autoSpaceDN w:val="0"/>
        <w:spacing w:after="0" w:line="240" w:lineRule="auto"/>
        <w:ind w:left="567"/>
        <w:jc w:val="both"/>
      </w:pPr>
      <w:r>
        <w:t xml:space="preserve">„39. Glede tega iz informacij, ki jih ima Sodišče, izhaja, da storitev posredovanja družbe Uber temelji na izboru nepoklicnih voznikov, ki uporabljajo svoje lastno vozilo in ki jim ta družba da na razpolago aplikacijo, brez katere, prvič, ti vozniki ne bi mogli opravljati prevoznih storitev in, drugič, osebe, ki iščejo prevoz v mestu, ne bi mogle uporabiti storitev navedenih voznikov. Poleg tega ima družba Uber odločilen vpliv na pogoje opravljanja storitev teh voznikov. V zvezi s tem je treba med drugim navesti, da družba Uber prek istoimenske aplikacije določi vsaj maksimalno ceno prevoza, da ta družba ta znesek pobere od stranke, preden del navedenega zneska nakaže nepoklicnemu vozniku vozila, da opravlja nekolikšen nadzor nad kakovostjo vozil in njihovih voznikov ter nad ravnanjem teh voznikov, ki lahko glede na okoliščine primera privede do njihove izključitve.</w:t>
      </w:r>
    </w:p>
    <w:p w14:paraId="111A8FD1" w14:textId="77777777">
      <w:pPr>
        <w:pStyle w:val="P68B1DB1-Normal15"/>
        <w:widowControl w:val="0"/>
        <w:tabs>
          <w:tab w:val="left" w:pos="446"/>
        </w:tabs>
        <w:autoSpaceDE w:val="0"/>
        <w:autoSpaceDN w:val="0"/>
        <w:spacing w:after="0" w:line="240" w:lineRule="auto"/>
        <w:ind w:left="567"/>
        <w:jc w:val="both"/>
      </w:pPr>
    </w:p>
    <w:p w14:paraId="430C0D88" w14:textId="0D13D8D2">
      <w:pPr>
        <w:pStyle w:val="P68B1DB1-Normal15"/>
        <w:widowControl w:val="0"/>
        <w:tabs>
          <w:tab w:val="left" w:pos="446"/>
        </w:tabs>
        <w:autoSpaceDE w:val="0"/>
        <w:autoSpaceDN w:val="0"/>
        <w:spacing w:after="0" w:line="240" w:lineRule="auto"/>
        <w:ind w:left="567"/>
        <w:jc w:val="both"/>
      </w:pPr>
      <w:r>
        <w:t xml:space="preserve">40. To storitev posredovanja je torej treba obravnavati kot sestavni del celotne storitve, katere glavni element je storitev prevoza, in je tako ni mogoče opredeliti za „storitev informacijske družbe“ v smislu člena 1, točka 2, Direktive 98/34, na katerega napotuje člen 2(a) Direktive 2000/31, temveč za „storitev na področju prevoza“ v smislu člena 2(2)(d) Direktive 2006/123.</w:t>
      </w:r>
    </w:p>
    <w:p w14:paraId="406FF49F" w14:textId="77777777">
      <w:pPr>
        <w:pStyle w:val="P68B1DB1-Normal15"/>
        <w:widowControl w:val="0"/>
        <w:tabs>
          <w:tab w:val="left" w:pos="446"/>
        </w:tabs>
        <w:autoSpaceDE w:val="0"/>
        <w:autoSpaceDN w:val="0"/>
        <w:spacing w:after="0" w:line="240" w:lineRule="auto"/>
        <w:ind w:left="567"/>
        <w:jc w:val="both"/>
      </w:pPr>
    </w:p>
    <w:p w14:paraId="048208D6" w14:textId="0944F089">
      <w:pPr>
        <w:pStyle w:val="P68B1DB1-Normal15"/>
        <w:widowControl w:val="0"/>
        <w:tabs>
          <w:tab w:val="left" w:pos="446"/>
        </w:tabs>
        <w:autoSpaceDE w:val="0"/>
        <w:autoSpaceDN w:val="0"/>
        <w:spacing w:after="0" w:line="240" w:lineRule="auto"/>
        <w:ind w:left="567"/>
        <w:jc w:val="both"/>
        <w:rPr>
          <w:iCs/>
        </w:rPr>
      </w:pPr>
      <w:r>
        <w:t xml:space="preserve">41. To opredelitev sicer potrjuje sodna praksa Sodišča, v skladu s katero pojem,storitve na področju prevoza‘ ne zajema le prevoznih storitev kot takih, ampak tudi vse storitve, ki so neločljivo povezane z vsakim fizičnim dejanjem premikanja oseb ali blaga iz enega kraja v drugega s prevoznimi sredstvi (glej v tem smislu sodbo z dne 15. oktobra 2015, Grupo Itevelesa in drugi, C-168/14, EU:C:2015:685, točki 45 in 46, ter mnenje 2/15 (Sporazum o prosti trgovini s Singapurjem) z dne 16. maja 2017, EU:C:2017:376, točka 61).“</w:t>
      </w:r>
    </w:p>
    <w:p w14:paraId="058FA7B6" w14:textId="77777777">
      <w:pPr>
        <w:spacing w:after="0" w:line="240" w:lineRule="auto"/>
      </w:pPr>
    </w:p>
    <w:p w14:paraId="21433E65" w14:textId="390C959B">
      <w:pPr>
        <w:pStyle w:val="P68B1DB1-Normal13"/>
        <w:widowControl w:val="0"/>
        <w:autoSpaceDE w:val="0"/>
        <w:autoSpaceDN w:val="0"/>
        <w:spacing w:after="0" w:line="240" w:lineRule="auto"/>
        <w:jc w:val="both"/>
        <w:outlineLvl w:val="1"/>
      </w:pPr>
      <w:hyperlink r:id="rId51" w:history="1">
        <w:r>
          <w:rPr>
            <w:color w:val="0000FF"/>
            <w:u w:val="single"/>
          </w:rPr>
          <w:t xml:space="preserve">Sodba z dne 10. aprila 2018</w:t>
        </w:r>
      </w:hyperlink>
      <w:r>
        <w:t xml:space="preserve">, Uber France, C</w:t>
        <w:noBreakHyphen/>
        <w:t xml:space="preserve">320/16, EU:C:2018:221, točki 21 in 22.</w:t>
      </w:r>
      <w:bookmarkEnd w:id="77"/>
    </w:p>
    <w:p w14:paraId="2BBD650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1778BB" w14:textId="6B5C30AB">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Določba nacionalnega prava, ki določa kazenske sankcije za organizacijo sistema povezovanja strank z vozniki brez potrebnega dovoljenja, se nanaša na „storitev na področju prevoza“ (in ne na „storitev informacijske družbe“), če je storitev posredovanja, za katero se uporablja, sestavni del celotne storitve, katere glavni sestavni del je prevozna storitev.</w:t>
      </w:r>
    </w:p>
    <w:p w14:paraId="484E7398" w14:textId="77777777">
      <w:pPr>
        <w:widowControl w:val="0"/>
        <w:autoSpaceDE w:val="0"/>
        <w:autoSpaceDN w:val="0"/>
        <w:spacing w:after="0" w:line="240" w:lineRule="auto"/>
        <w:jc w:val="both"/>
        <w:rPr>
          <w:rFonts w:ascii="Times New Roman" w:hAnsi="Times New Roman" w:cs="Times New Roman" w:eastAsia="Times New Roman"/>
          <w:szCs w:val="20"/>
        </w:rPr>
      </w:pPr>
    </w:p>
    <w:p w14:paraId="279EDA7F" w14:textId="32F45CF2">
      <w:pPr>
        <w:pStyle w:val="P68B1DB1-Normal15"/>
        <w:widowControl w:val="0"/>
        <w:autoSpaceDE w:val="0"/>
        <w:autoSpaceDN w:val="0"/>
        <w:spacing w:after="0" w:line="240" w:lineRule="auto"/>
        <w:ind w:left="567"/>
        <w:jc w:val="both"/>
      </w:pPr>
      <w:r>
        <w:t xml:space="preserve">„21. [...] sodišče je ugotovilo, da je bila storitev posredovanja, ki jo je opravila zadevna družba, neločljivo povezana s ponudbo nejavnih storitev mestnega prevoza s strani te družbe, ob upoštevanju, prvič, da je ta družba predložila vlogo, brez katere ti vozniki ne bi bili napeljani k opravljanju prevoznih storitev, in da osebe, ki bi želele opraviti mestno vožnjo, ne bi uporabljale storitev, ki so jih opravljali ti vozniki, in drugič, da je ta družba odločilno vplivala na pogoje, pod katerimi ti vozniki opravljajo storitve, zlasti z določitvijo najvišje prevoznine, s pobiranjem te cene od stranke, preden jo plača nepoklicnemu vozniku vozila, in z izvajanjem določenega nadzora nad kakovostjo vozil, vozniki in njihovim ravnanjem, kar bi lahko v nekaterih okoliščinah privedlo do njihove izključitve (glej v tem smislu sodbo z dne 20. decembra 2017, Asociación Profesional Elite Taxi, C-434/15, EU:C:2017:981, točki 38 in 39).</w:t>
      </w:r>
    </w:p>
    <w:p w14:paraId="14310B36" w14:textId="77777777">
      <w:pPr>
        <w:pStyle w:val="P68B1DB1-Normal15"/>
        <w:widowControl w:val="0"/>
        <w:autoSpaceDE w:val="0"/>
        <w:autoSpaceDN w:val="0"/>
        <w:spacing w:after="0" w:line="240" w:lineRule="auto"/>
        <w:ind w:left="567"/>
        <w:jc w:val="both"/>
      </w:pPr>
    </w:p>
    <w:p w14:paraId="5AB6B3C6" w14:textId="7B9B1FC8">
      <w:pPr>
        <w:pStyle w:val="P68B1DB1-Normal15"/>
        <w:widowControl w:val="0"/>
        <w:autoSpaceDE w:val="0"/>
        <w:autoSpaceDN w:val="0"/>
        <w:spacing w:after="0" w:line="240" w:lineRule="auto"/>
        <w:ind w:left="567"/>
        <w:jc w:val="both"/>
        <w:rPr>
          <w:iCs/>
        </w:rPr>
      </w:pPr>
      <w:r>
        <w:t xml:space="preserve">22. Sodišče je na podlagi teh elementov ugotovilo, da je treba storitev posredovanja, ki je predmet te zadeve, šteti za sestavni del celotne storitve, katere glavni sestavni del je storitev prevoza, in da je zato ni treba opredeliti kot ‚storitev informacijske družbe‘ v smislu člena 1(2) Direktive 98/34, ampak kot ‚storitev na področju prevoza‘ v smislu člena 2(2)(d) Direktive 2006/123 (glej v tem smislu sodbo z dne 20. decembra 2017, Asociación Profesional Elite Taxi, C-434/15, EU:C:2017:981, točka 40).“</w:t>
      </w:r>
    </w:p>
    <w:p w14:paraId="061F40AB" w14:textId="77777777">
      <w:pPr>
        <w:spacing w:after="0" w:line="240" w:lineRule="auto"/>
      </w:pPr>
    </w:p>
    <w:p w14:paraId="3262279E" w14:textId="468F0EDF">
      <w:pPr>
        <w:pStyle w:val="P68B1DB1-Normal13"/>
        <w:widowControl w:val="0"/>
        <w:autoSpaceDE w:val="0"/>
        <w:autoSpaceDN w:val="0"/>
        <w:spacing w:after="0" w:line="240" w:lineRule="auto"/>
        <w:jc w:val="both"/>
        <w:outlineLvl w:val="1"/>
      </w:pPr>
      <w:hyperlink r:id="rId52" w:history="1">
        <w:r>
          <w:rPr>
            <w:color w:val="0000FF"/>
            <w:u w:val="single"/>
          </w:rPr>
          <w:t xml:space="preserve">Sodba z dne 26. septembra 2018</w:t>
        </w:r>
      </w:hyperlink>
      <w:r>
        <w:t xml:space="preserve">, Van Gennip in drugi, C-137/17, EU:C:2018:771, točki 42 in 43.</w:t>
      </w:r>
      <w:bookmarkEnd w:id="78"/>
    </w:p>
    <w:p w14:paraId="7A96B26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0CD5B8C" w14:textId="4108D99A">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Nacionalne določbe, ki trženje proizvodov pogojujejo s pridobitvijo dovoljenja kupca, ne spadajo pod pojem „predpis o storitvah“, saj se ne nanašajo na „storitve informacijske družbe“.</w:t>
      </w:r>
    </w:p>
    <w:p w14:paraId="5542E2DA"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725B02E1" w14:textId="700F7E6F">
      <w:pPr>
        <w:pStyle w:val="P68B1DB1-Normal15"/>
        <w:widowControl w:val="0"/>
        <w:tabs>
          <w:tab w:val="left" w:pos="404"/>
        </w:tabs>
        <w:autoSpaceDE w:val="0"/>
        <w:autoSpaceDN w:val="0"/>
        <w:spacing w:after="0" w:line="240" w:lineRule="auto"/>
        <w:ind w:left="567"/>
        <w:jc w:val="both"/>
      </w:pPr>
      <w:r>
        <w:t xml:space="preserve">„42. Glede, na tretjem mestu, kategorije „predpisi o storitvah“ je treba opozoriti, da je na podlagi člena 1, točka 5, Direktive 98/34 tak predpis vsaka splošna zahteva v zvezi z začetkom storitvenih dejavnosti iz člena 1, točka 2, te direktive, ki so „katera koli storitev informacijske družbe ali katera koli storitev, ki se običajno opravi odplačno, na daljavo, elektronsko in na zahtevo prejemnika storitev“ (sodba z dne 4. februarja 2016, Ince, C-336/14, EU:C:2016:72, točka 74).</w:t>
      </w:r>
    </w:p>
    <w:p w14:paraId="288A6CC6" w14:textId="77777777">
      <w:pPr>
        <w:pStyle w:val="P68B1DB1-Normal15"/>
        <w:widowControl w:val="0"/>
        <w:tabs>
          <w:tab w:val="left" w:pos="404"/>
        </w:tabs>
        <w:autoSpaceDE w:val="0"/>
        <w:autoSpaceDN w:val="0"/>
        <w:spacing w:after="0" w:line="240" w:lineRule="auto"/>
        <w:ind w:left="567"/>
        <w:jc w:val="both"/>
      </w:pPr>
    </w:p>
    <w:p w14:paraId="3C78C196" w14:textId="64CBA9D2">
      <w:pPr>
        <w:pStyle w:val="P68B1DB1-Normal15"/>
        <w:widowControl w:val="0"/>
        <w:tabs>
          <w:tab w:val="left" w:pos="404"/>
        </w:tabs>
        <w:autoSpaceDE w:val="0"/>
        <w:autoSpaceDN w:val="0"/>
        <w:spacing w:after="0" w:line="240" w:lineRule="auto"/>
        <w:ind w:left="567"/>
        <w:jc w:val="both"/>
        <w:rPr>
          <w:iCs/>
        </w:rPr>
      </w:pPr>
      <w:r>
        <w:t xml:space="preserve">43. V konkretnem primeru je treba, tako kot je generalni pravobranilec navedel v točki 73 sklepnih predlogov, ugotoviti, da ureditev iz postopka v glavni stvari ne zadeva storitev informacijske družbe v smislu člena 1, točka 2, Direktive 98/34. Zato ta ureditev ne more spadati v kategorijo „predpis o storitvah“ informacijske družbe v smislu člena 1, točka 5, te direktive.“</w:t>
      </w:r>
    </w:p>
    <w:p w14:paraId="09A4A6F8" w14:textId="77777777">
      <w:pPr>
        <w:spacing w:after="0" w:line="240" w:lineRule="auto"/>
      </w:pPr>
    </w:p>
    <w:p w14:paraId="037D644A" w14:textId="0A9F4072">
      <w:pPr>
        <w:pStyle w:val="P68B1DB1-Normal13"/>
        <w:widowControl w:val="0"/>
        <w:autoSpaceDE w:val="0"/>
        <w:autoSpaceDN w:val="0"/>
        <w:spacing w:after="0" w:line="240" w:lineRule="auto"/>
        <w:jc w:val="both"/>
        <w:outlineLvl w:val="1"/>
      </w:pPr>
      <w:hyperlink r:id="rId53" w:history="1">
        <w:r>
          <w:rPr>
            <w:color w:val="0000FF"/>
            <w:u w:val="single"/>
          </w:rPr>
          <w:t xml:space="preserve">Sodba z dne 12. septembra 2019</w:t>
        </w:r>
      </w:hyperlink>
      <w:r>
        <w:t xml:space="preserve">, VG Media, C-299/17, EU:C:2019:716, točke 32, 33 in 36</w:t>
      </w:r>
      <w:bookmarkEnd w:id="79"/>
    </w:p>
    <w:p w14:paraId="7C7D0A2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D8C5548"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Nacionalna določba, ki komercialnim upravljavcem iskalnikov in ponudnikom storitev komercialnih vsebin prepoveduje dajanje časopisov na voljo javnosti, je „tehnični predpis“ in jo je treba priglasiti Komisiji.</w:t>
      </w:r>
    </w:p>
    <w:p w14:paraId="0BB0ABF6" w14:textId="77777777">
      <w:pPr>
        <w:widowControl w:val="0"/>
        <w:autoSpaceDE w:val="0"/>
        <w:autoSpaceDN w:val="0"/>
        <w:spacing w:after="0" w:line="240" w:lineRule="auto"/>
        <w:jc w:val="both"/>
        <w:rPr>
          <w:rFonts w:ascii="Times New Roman" w:hAnsi="Times New Roman" w:cs="Times New Roman" w:eastAsia="Times New Roman"/>
          <w:szCs w:val="20"/>
        </w:rPr>
      </w:pPr>
    </w:p>
    <w:p w14:paraId="358DF62E" w14:textId="3E77F068">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Šteje se, da se pravilo posebej nanaša na „storitve informacijske družbe“, če se z nekaterimi določbami uresničuje ta cilj, tudi če ni izključni cilj pravila. Ta cilj je mogoče izpeljati iz obrazložitve pravila, ki se lahko pojavi v pripravljalnih dokumentih, tudi če niso izrecno razvidni iz samega besedila pravila.</w:t>
      </w:r>
    </w:p>
    <w:p w14:paraId="2BFD5FE9" w14:textId="77777777">
      <w:pPr>
        <w:widowControl w:val="0"/>
        <w:autoSpaceDE w:val="0"/>
        <w:autoSpaceDN w:val="0"/>
        <w:spacing w:after="0" w:line="240" w:lineRule="auto"/>
        <w:jc w:val="both"/>
        <w:rPr>
          <w:rFonts w:ascii="Times New Roman" w:hAnsi="Times New Roman" w:cs="Times New Roman" w:eastAsia="Times New Roman"/>
          <w:szCs w:val="20"/>
        </w:rPr>
      </w:pPr>
    </w:p>
    <w:p w14:paraId="2032E553" w14:textId="2A9A7661">
      <w:pPr>
        <w:pStyle w:val="P68B1DB1-Normal15"/>
        <w:widowControl w:val="0"/>
        <w:autoSpaceDE w:val="0"/>
        <w:autoSpaceDN w:val="0"/>
        <w:spacing w:after="0" w:line="240" w:lineRule="auto"/>
        <w:ind w:left="567"/>
        <w:jc w:val="both"/>
      </w:pPr>
      <w:r>
        <w:t xml:space="preserve">„32. V zvezi s tem je treba poudariti, da se v skladu s členom 1, točka 5, peti pododstavek, prva alinea, te direktive predpis obravnava kot posebej namenjen storitvam informacijske družbe ob upoštevanju tako razlogov za njegovo sprejetje kot tudi njegovega besedila. Poleg tega se v skladu z isto določbo ne zahteva, da je „poseben namen in cilj“ celotnega zadevnega predpisa urediti storitve informacijske družbe, saj zadošča, da temu namenu ali temu cilju sledijo nekatere določbe tega predpisa (sodba z dne 20. decembra 2017, Falbert in drugi, C-255/16, EU:C:2017:983, točka 32).</w:t>
      </w:r>
    </w:p>
    <w:p w14:paraId="5B946C01" w14:textId="77777777">
      <w:pPr>
        <w:pStyle w:val="P68B1DB1-Normal15"/>
        <w:widowControl w:val="0"/>
        <w:autoSpaceDE w:val="0"/>
        <w:autoSpaceDN w:val="0"/>
        <w:spacing w:after="0" w:line="240" w:lineRule="auto"/>
        <w:ind w:left="567"/>
        <w:jc w:val="both"/>
      </w:pPr>
    </w:p>
    <w:p w14:paraId="6C09ADB6" w14:textId="15077D61">
      <w:pPr>
        <w:pStyle w:val="P68B1DB1-Normal15"/>
        <w:widowControl w:val="0"/>
        <w:autoSpaceDE w:val="0"/>
        <w:autoSpaceDN w:val="0"/>
        <w:spacing w:after="0" w:line="240" w:lineRule="auto"/>
        <w:ind w:left="567"/>
        <w:jc w:val="both"/>
        <w:rPr>
          <w:iCs/>
        </w:rPr>
      </w:pPr>
      <w:r>
        <w:t xml:space="preserve">33. Poleg tega, tudi če zgolj iz besedila nacionalnega predpisa ne izhaja, da je vsaj delno namenjen posebni ureditvi storitev informacijske družbe, je ta cilj vseeno mogoče jasno razbrati iz obrazložitve tega pravila, kot je razvidno iz upoštevnih nacionalnih pravil razlage v zvezi s tem, zlasti iz pripravljalnih dokumentov za to pravilo (glej v tem smislu sodbo z dne 20. decembra 2017, Falbert in drugi, C-255/16, EU:C:2017:983, točka 33).“</w:t>
      </w:r>
    </w:p>
    <w:p w14:paraId="4A5A1EDF"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7E5F1F4F" w14:textId="288395A0">
      <w:pPr>
        <w:pStyle w:val="P68B1DB1-Normal15"/>
        <w:widowControl w:val="0"/>
        <w:autoSpaceDE w:val="0"/>
        <w:autoSpaceDN w:val="0"/>
        <w:spacing w:after="0" w:line="240" w:lineRule="auto"/>
        <w:ind w:left="567"/>
        <w:jc w:val="both"/>
        <w:rPr>
          <w:iCs/>
        </w:rPr>
      </w:pPr>
      <w:r>
        <w:t>„</w:t>
      </w:r>
      <w:bookmarkStart w:id="80" w:name="point36"/>
      <w:r>
        <w:t>36</w:t>
      </w:r>
      <w:bookmarkEnd w:id="80"/>
      <w:r>
        <w:t xml:space="preserve">. Čeprav predložitveno sodišče ni dalo jasnih podatkov glede posebnega namena in cilja nacionalnega predpisa v postopku v glavni stvari, pa iz stališč, ki jih je na obravnavi pred Sodiščem podala nemška vlada, vseeno izhaja, da se je sprememba UrhG prvotno posebej nanašala na ponudnike iskalnikov na spletu. Poleg tega stranki v postopku v glavni stvari in Komisija v svojih pisnih stališčih navajajo, da je bil cilj te ureditve zaščititi legitimne interese založnikov časopisov in revij v digitalnem svetu. Zato je očitno, da je bil glavni cilj in namen zadevne nacionalne določbe v postopku v glavni stvari zaščititi te založnike pred posegi spletnih iskalnikov v avtorsko pravico. V tem okviru se zdi, da je varstvo potrebno le za sistematične kršitve del spletnih založnikov s strani ponudnikov storitev informacijske družbe.“</w:t>
      </w:r>
    </w:p>
    <w:p w14:paraId="5918FFD9" w14:textId="77777777">
      <w:pPr>
        <w:spacing w:after="0" w:line="240" w:lineRule="auto"/>
      </w:pPr>
    </w:p>
    <w:p w14:paraId="76F47905" w14:textId="651D9AB2">
      <w:pPr>
        <w:pStyle w:val="P68B1DB1-Normal13"/>
        <w:spacing w:after="0" w:line="240" w:lineRule="auto"/>
      </w:pPr>
      <w:hyperlink r:id="rId54" w:history="1">
        <w:r>
          <w:rPr>
            <w:color w:val="0000FF"/>
            <w:u w:val="single"/>
          </w:rPr>
          <w:t xml:space="preserve">Sodba z dne 19. decembra 2019</w:t>
        </w:r>
      </w:hyperlink>
      <w:r>
        <w:t xml:space="preserve">, Airbnb Ireland, C</w:t>
        <w:noBreakHyphen/>
        <w:t xml:space="preserve">390/18, EU:C:2019:1112, točke od 64 do 68 in 99.</w:t>
      </w:r>
    </w:p>
    <w:p w14:paraId="1BD3BE16" w14:textId="77777777">
      <w:pPr>
        <w:widowControl w:val="0"/>
        <w:autoSpaceDE w:val="0"/>
        <w:autoSpaceDN w:val="0"/>
        <w:spacing w:after="0" w:line="240" w:lineRule="auto"/>
        <w:jc w:val="both"/>
        <w:rPr>
          <w:rFonts w:ascii="Times New Roman" w:hAnsi="Times New Roman" w:cs="Times New Roman" w:eastAsia="Times New Roman"/>
          <w:szCs w:val="20"/>
        </w:rPr>
      </w:pPr>
    </w:p>
    <w:p w14:paraId="5CA625E2"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Posredniška storitev, ki povezuje stranke z gostitelji, ki ponujajo kratkotrajno nastanitev prek elektronske platforme, hkrati pa zagotavlja pomožne storitve, pomeni „storitev informacijske družbe“, ker pomožne storitve ne zagotavljajo pomembnega vpliva na zagotavljanje nastanitvenih storitev.</w:t>
      </w:r>
    </w:p>
    <w:p w14:paraId="6D083E5E" w14:textId="77777777">
      <w:pPr>
        <w:widowControl w:val="0"/>
        <w:autoSpaceDE w:val="0"/>
        <w:autoSpaceDN w:val="0"/>
        <w:spacing w:after="0" w:line="240" w:lineRule="auto"/>
        <w:jc w:val="both"/>
        <w:rPr>
          <w:rFonts w:ascii="Times New Roman" w:hAnsi="Times New Roman" w:cs="Times New Roman" w:eastAsia="Times New Roman"/>
          <w:szCs w:val="20"/>
        </w:rPr>
      </w:pPr>
    </w:p>
    <w:p w14:paraId="42B56B92" w14:textId="704D923C">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Da bi bila storitev opredeljena kot „storitev informacijske družbe“, mora kumulativno izpolnjevati štiri pogoje: zagotoviti ga je treba za plačilo, na daljavo, z elektronskimi sredstvi in na posamezno zahtevo prejemnika.</w:t>
      </w:r>
    </w:p>
    <w:p w14:paraId="1136EA60" w14:textId="77777777">
      <w:pPr>
        <w:widowControl w:val="0"/>
        <w:autoSpaceDE w:val="0"/>
        <w:autoSpaceDN w:val="0"/>
        <w:spacing w:after="0" w:line="240" w:lineRule="auto"/>
        <w:jc w:val="both"/>
        <w:rPr>
          <w:rFonts w:ascii="Times New Roman" w:hAnsi="Times New Roman" w:cs="Times New Roman" w:eastAsia="Times New Roman"/>
          <w:szCs w:val="20"/>
        </w:rPr>
      </w:pPr>
    </w:p>
    <w:p w14:paraId="6389A1A6" w14:textId="0A8C6391">
      <w:pPr>
        <w:pStyle w:val="P68B1DB1-Normal15"/>
        <w:widowControl w:val="0"/>
        <w:autoSpaceDE w:val="0"/>
        <w:autoSpaceDN w:val="0"/>
        <w:spacing w:after="0" w:line="240" w:lineRule="auto"/>
        <w:ind w:left="567"/>
        <w:jc w:val="both"/>
      </w:pPr>
      <w:r>
        <w:t xml:space="preserve">„64. Celo vse storitve skupaj, dodatne ali ne, ki jih opravlja družba Airbnb Ireland in so navedene v točkah od 59 do 63 te sodbe, ne morejo omajati ločljivosti storitve posredovanja, ki jo opravlja ta družba, in zato njene opredelitve kot „storitve informacijske družbe“, če niso bistveno spremenile značilnosti te storitve. V zvezi s tem bi bilo sicer paradoksalno, da bi lahko te pomožne storitve z dodano vrednostjo, ki se opravljajo prek elektronske platforme za stranke te platforme, med drugim za to, da bi bilo mogoče to platformo ločiti od njenih konkurentov, ob neobstoju dodatnih elementov privedle do spremembe narave in s tem pravne opredelitve dejavnosti te platforme, kot je navedel generalni pravobranilec v točki 46 sklepnih predlogov.</w:t>
      </w:r>
    </w:p>
    <w:p w14:paraId="320B5232" w14:textId="77777777">
      <w:pPr>
        <w:pStyle w:val="P68B1DB1-Normal15"/>
        <w:widowControl w:val="0"/>
        <w:autoSpaceDE w:val="0"/>
        <w:autoSpaceDN w:val="0"/>
        <w:spacing w:after="0" w:line="240" w:lineRule="auto"/>
        <w:ind w:left="567"/>
        <w:jc w:val="both"/>
      </w:pPr>
    </w:p>
    <w:p w14:paraId="775D096C" w14:textId="35786B0F">
      <w:pPr>
        <w:pStyle w:val="P68B1DB1-Normal15"/>
        <w:widowControl w:val="0"/>
        <w:autoSpaceDE w:val="0"/>
        <w:autoSpaceDN w:val="0"/>
        <w:spacing w:after="0" w:line="240" w:lineRule="auto"/>
        <w:ind w:left="567"/>
        <w:jc w:val="both"/>
      </w:pPr>
      <w:r>
        <w:t xml:space="preserve">65. Poleg tega – in v nasprotju s tem, kar trdita združenje AHTOP in francoska vlada – načinov delovanja storitve posredovanja, kot je ta, ki jo opravlja družba Airbnb Ireland, ni mogoče enačiti z načini delovanja storitve posredovanja, ki so se obravnavali v sodbah z dne 20. decembra 2017, Asociación Profesional Elite Taxi (C-434/15, EU:C:2017:981, točka 39), in z dne 10. aprila 2018, Uber France (C-320/16, EU:C:2018:221, točka 21).</w:t>
      </w:r>
    </w:p>
    <w:p w14:paraId="473F7C74" w14:textId="77777777">
      <w:pPr>
        <w:pStyle w:val="P68B1DB1-Normal15"/>
        <w:widowControl w:val="0"/>
        <w:autoSpaceDE w:val="0"/>
        <w:autoSpaceDN w:val="0"/>
        <w:spacing w:after="0" w:line="240" w:lineRule="auto"/>
        <w:ind w:left="567"/>
        <w:jc w:val="both"/>
      </w:pPr>
    </w:p>
    <w:p w14:paraId="699650AB" w14:textId="336149BD">
      <w:pPr>
        <w:pStyle w:val="P68B1DB1-Normal15"/>
        <w:widowControl w:val="0"/>
        <w:autoSpaceDE w:val="0"/>
        <w:autoSpaceDN w:val="0"/>
        <w:spacing w:after="0" w:line="240" w:lineRule="auto"/>
        <w:ind w:left="567"/>
        <w:jc w:val="both"/>
      </w:pPr>
      <w:r>
        <w:t xml:space="preserve">66. Poleg dejstva, da sta navedeni sodbi spadali v poseben okvir prevoza potnikov v mestnem prometu, za katerega se uporablja člen 58(1) PDEU, in da storitve, ki jih opravlja družba Airbnb Ireland, niso primerljive s storitvami, ki so se obravnavale v zadevah, v katerih sta bili izdani sodbi, navedeni v prejšnji točki, na podlagi pomožnih storitev, navedenih v točkah od 59 do 63 te sodbe, ni mogoče dokazati ravni nadzora, ki jo je ugotovilo Sodišče v navedenih sodbah.</w:t>
      </w:r>
    </w:p>
    <w:p w14:paraId="46A1AADB" w14:textId="77777777">
      <w:pPr>
        <w:pStyle w:val="P68B1DB1-Normal15"/>
        <w:widowControl w:val="0"/>
        <w:autoSpaceDE w:val="0"/>
        <w:autoSpaceDN w:val="0"/>
        <w:spacing w:after="0" w:line="240" w:lineRule="auto"/>
        <w:ind w:left="567"/>
        <w:jc w:val="both"/>
      </w:pPr>
    </w:p>
    <w:p w14:paraId="43245B44" w14:textId="73F9E124">
      <w:pPr>
        <w:pStyle w:val="P68B1DB1-Normal15"/>
        <w:widowControl w:val="0"/>
        <w:autoSpaceDE w:val="0"/>
        <w:autoSpaceDN w:val="0"/>
        <w:spacing w:after="0" w:line="240" w:lineRule="auto"/>
        <w:ind w:left="567"/>
        <w:jc w:val="both"/>
      </w:pPr>
      <w:r>
        <w:t xml:space="preserve">67. Tako je Sodišče v teh sodbah poudarilo, da ima družba Uber odločilen vpliv na pogoje opravljanja storitve nepoklicnih voznikov, ki jim ta družba da na razpolago aplikacijo (sodbi z dne 20. decembra 2017, Asociación Profesional Elite Taxi, C-434/15, EU:C:2017:981, točka 39, in z dne 10. aprila 2018, Uber France, C-320/16, EU:C:2018:221, točka 21).</w:t>
      </w:r>
    </w:p>
    <w:p w14:paraId="64CE1305" w14:textId="77777777">
      <w:pPr>
        <w:pStyle w:val="P68B1DB1-Normal15"/>
        <w:widowControl w:val="0"/>
        <w:autoSpaceDE w:val="0"/>
        <w:autoSpaceDN w:val="0"/>
        <w:spacing w:after="0" w:line="240" w:lineRule="auto"/>
        <w:ind w:left="567"/>
        <w:jc w:val="both"/>
      </w:pPr>
    </w:p>
    <w:p w14:paraId="44EC953C" w14:textId="0BF6EC00">
      <w:pPr>
        <w:pStyle w:val="P68B1DB1-Normal15"/>
        <w:widowControl w:val="0"/>
        <w:autoSpaceDE w:val="0"/>
        <w:autoSpaceDN w:val="0"/>
        <w:spacing w:after="0" w:line="240" w:lineRule="auto"/>
        <w:ind w:left="567"/>
        <w:jc w:val="both"/>
      </w:pPr>
      <w:r>
        <w:t xml:space="preserve">68. Elementi, ki jih je navedlo predložitveno sodišče in na katere je bilo opozorjeno v točki 19 te sodbe, ne dokazujejo, da družba Airbnb Ireland tako odločilno vpliva na pogoje opravljanja nastanitvenih storitev, na katere se nanaša njena storitev posredovanja, zlasti ker družba Airbnb Ireland ne določa, neposredno ali posredno, zaračunane najemnine, kot je bilo ugotovljeno v točkah 56 in 62 te sodbe, še manj pa ne izbira gostiteljev ali nastanitve, ki je bila dana v najem na njeni platformi.“</w:t>
      </w:r>
    </w:p>
    <w:p w14:paraId="4325E66E"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2005D651" w14:textId="190F88B2">
      <w:pPr>
        <w:pStyle w:val="P68B1DB1-Normal15"/>
        <w:widowControl w:val="0"/>
        <w:autoSpaceDE w:val="0"/>
        <w:autoSpaceDN w:val="0"/>
        <w:spacing w:after="0" w:line="240" w:lineRule="auto"/>
        <w:ind w:left="567"/>
        <w:jc w:val="both"/>
        <w:rPr>
          <w:iCs/>
        </w:rPr>
      </w:pPr>
      <w:r>
        <w:t>„</w:t>
      </w:r>
      <w:bookmarkStart w:id="81" w:name="point99"/>
      <w:r>
        <w:t>99</w:t>
      </w:r>
      <w:bookmarkEnd w:id="81"/>
      <w:r>
        <w:t xml:space="preserve">. Glede na to, da Francoska republika ni sporočila Hoguetovega zakona, in glede na kumulativnost pogojev iz člena 3(4) Direktive 2000/31, na katere je bilo opozorjeno v točkah 84 in 85 te sodbe, je treba ugotoviti, da tega zakona nikakor ni mogoče uporabiti za posameznika, ki je v položaju, kakršen je položaj družbe Airbnb Ireland v postopku v glavni stvari, ne glede na to, ali ta zakon izpolnjuje druge pogoje iz te določbe.“</w:t>
      </w:r>
    </w:p>
    <w:p w14:paraId="261461B1" w14:textId="77777777">
      <w:pPr>
        <w:spacing w:after="0" w:line="240" w:lineRule="auto"/>
      </w:pPr>
    </w:p>
    <w:p w14:paraId="602C58A9" w14:textId="0E3EBA31">
      <w:pPr>
        <w:pStyle w:val="P68B1DB1-Normal13"/>
        <w:widowControl w:val="0"/>
        <w:autoSpaceDE w:val="0"/>
        <w:autoSpaceDN w:val="0"/>
        <w:spacing w:after="0" w:line="240" w:lineRule="auto"/>
        <w:jc w:val="both"/>
        <w:outlineLvl w:val="1"/>
      </w:pPr>
      <w:hyperlink r:id="rId55" w:history="1">
        <w:r>
          <w:rPr>
            <w:color w:val="0000FF"/>
            <w:u w:val="single"/>
          </w:rPr>
          <w:t xml:space="preserve">Sodba z dne 22. oktobra 2020</w:t>
        </w:r>
      </w:hyperlink>
      <w:r>
        <w:t xml:space="preserve">, Sportingbet in Internet Opportunity Entertainment, C</w:t>
        <w:noBreakHyphen/>
        <w:t xml:space="preserve">275/19, EU:C:2020:856, točke od 47 do 49.</w:t>
      </w:r>
      <w:bookmarkEnd w:id="82"/>
    </w:p>
    <w:p w14:paraId="2052450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2E09A3" w14:textId="049CB57F">
      <w:pPr>
        <w:pStyle w:val="P68B1DB1-Normal14"/>
        <w:widowControl w:val="0"/>
        <w:autoSpaceDE w:val="0"/>
        <w:autoSpaceDN w:val="0"/>
        <w:spacing w:after="0" w:line="240" w:lineRule="auto"/>
        <w:jc w:val="both"/>
        <w:outlineLvl w:val="1"/>
      </w:pPr>
      <w:bookmarkStart w:id="83" w:name="_Toc198043836"/>
      <w:r>
        <w:t xml:space="preserve">Ureditev, ki javnemu subjektu podeljuje izključno pravico do prirejanja nekaterih iger na srečo, tudi na internetu, spada pod pojem „predpisi o storitvah“ v delu, v katerem se nanašajo na storitev informacijske družbe.</w:t>
      </w:r>
      <w:bookmarkEnd w:id="83"/>
    </w:p>
    <w:p w14:paraId="7434769F"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312EA22E" w14:textId="5FE50AED">
      <w:pPr>
        <w:pStyle w:val="P68B1DB1-Normal15"/>
        <w:widowControl w:val="0"/>
        <w:autoSpaceDE w:val="0"/>
        <w:autoSpaceDN w:val="0"/>
        <w:spacing w:after="0" w:line="240" w:lineRule="auto"/>
        <w:ind w:left="567"/>
        <w:jc w:val="both"/>
        <w:outlineLvl w:val="1"/>
        <w:rPr>
          <w:bCs/>
        </w:rPr>
      </w:pPr>
      <w:bookmarkStart w:id="84" w:name="_Toc198043837"/>
      <w:r>
        <w:t xml:space="preserve">„47. Na podlagi člena 1, točka 5, navedene direktive je „predpis o storitvah“ vsaka splošna zahteva v zvezi z začetkom storitvenih dejavnosti v skladu s členom 1, točka 2, iste direktive, ki označujejo „katero koli storitev informacijske družbe ali katero koli storitev, ki se običajno opravi odplačno, na daljavo, elektronsko in na zahtevo prejemnika storitev“.</w:t>
      </w:r>
      <w:bookmarkEnd w:id="84"/>
    </w:p>
    <w:p w14:paraId="65107F99" w14:textId="77777777">
      <w:pPr>
        <w:pStyle w:val="P68B1DB1-Normal15"/>
        <w:widowControl w:val="0"/>
        <w:autoSpaceDE w:val="0"/>
        <w:autoSpaceDN w:val="0"/>
        <w:spacing w:after="0" w:line="240" w:lineRule="auto"/>
        <w:ind w:left="567"/>
        <w:jc w:val="both"/>
        <w:outlineLvl w:val="1"/>
        <w:rPr>
          <w:bCs/>
        </w:rPr>
      </w:pPr>
    </w:p>
    <w:p w14:paraId="44FBF5F6" w14:textId="02996DEF">
      <w:pPr>
        <w:pStyle w:val="P68B1DB1-Normal15"/>
        <w:widowControl w:val="0"/>
        <w:autoSpaceDE w:val="0"/>
        <w:autoSpaceDN w:val="0"/>
        <w:spacing w:after="0" w:line="240" w:lineRule="auto"/>
        <w:ind w:left="567"/>
        <w:jc w:val="both"/>
        <w:outlineLvl w:val="1"/>
        <w:rPr>
          <w:bCs/>
        </w:rPr>
      </w:pPr>
      <w:bookmarkStart w:id="85" w:name="_Toc198043838"/>
      <w:r>
        <w:t xml:space="preserve">48. V zvezi s tem je Sodišče že razsodilo, da je mogoče določbe o prepovedi ponujanja iger na srečo prek interneta, izjeme od te prepovedi, omejitve možnosti ponujanja športnih stav na spletu in prepovedi oglaševanja iger na srečo prek interneta opredeliti kot „predpise o storitvah“ v smislu člena 1, točka 5, Direktive 98/34, ker se nanašajo na „storitev informacijske družbe“ v smislu člena 1, točka 2, te direktive (glej po analogiji sodbo z dne 4. februarja 2016, Ince, C-336/14, EU:C:2016:72, točka 75).</w:t>
      </w:r>
      <w:bookmarkEnd w:id="85"/>
    </w:p>
    <w:p w14:paraId="1117AEFE" w14:textId="77777777">
      <w:pPr>
        <w:pStyle w:val="P68B1DB1-Normal15"/>
        <w:widowControl w:val="0"/>
        <w:autoSpaceDE w:val="0"/>
        <w:autoSpaceDN w:val="0"/>
        <w:spacing w:after="0" w:line="240" w:lineRule="auto"/>
        <w:ind w:left="567"/>
        <w:jc w:val="both"/>
        <w:outlineLvl w:val="1"/>
        <w:rPr>
          <w:bCs/>
        </w:rPr>
      </w:pPr>
    </w:p>
    <w:p w14:paraId="6626E676" w14:textId="509677C9">
      <w:pPr>
        <w:pStyle w:val="P68B1DB1-Normal15"/>
        <w:widowControl w:val="0"/>
        <w:autoSpaceDE w:val="0"/>
        <w:autoSpaceDN w:val="0"/>
        <w:spacing w:after="0" w:line="240" w:lineRule="auto"/>
        <w:ind w:left="567"/>
        <w:jc w:val="both"/>
        <w:outlineLvl w:val="1"/>
        <w:rPr>
          <w:bCs/>
        </w:rPr>
      </w:pPr>
      <w:bookmarkStart w:id="86" w:name="_Toc198043839"/>
      <w:r>
        <w:t xml:space="preserve">49. V obravnavanem primeru pa se pravila iz členov 2 in 3 uredbe-zakona št. 282/2003 nanašajo posebej na storitve informacijske družbe. Poleg tega, ker je bila družbi Santa Casa podeljena izključna pravica do prirejanja iger na srečo na spletu, te določbe vsem gospodarskim subjektom, razen Santa Casa, prepovedujejo opravljanje teh storitev.“</w:t>
      </w:r>
      <w:bookmarkEnd w:id="86"/>
    </w:p>
    <w:p w14:paraId="4D056F67" w14:textId="77777777">
      <w:pPr>
        <w:spacing w:after="0" w:line="240" w:lineRule="auto"/>
      </w:pPr>
    </w:p>
    <w:p w14:paraId="07196289" w14:textId="29A89F4E">
      <w:pPr>
        <w:pStyle w:val="P68B1DB1-Normal13"/>
        <w:widowControl w:val="0"/>
        <w:autoSpaceDE w:val="0"/>
        <w:autoSpaceDN w:val="0"/>
        <w:spacing w:after="0" w:line="240" w:lineRule="auto"/>
        <w:jc w:val="both"/>
        <w:outlineLvl w:val="1"/>
      </w:pPr>
      <w:hyperlink r:id="rId56" w:history="1">
        <w:r>
          <w:rPr>
            <w:color w:val="0000FF"/>
            <w:u w:val="single"/>
          </w:rPr>
          <w:t xml:space="preserve">Sodba z dne 3. decembra 2020</w:t>
        </w:r>
      </w:hyperlink>
      <w:r>
        <w:t xml:space="preserve">, Star Taxi App, C 62/19</w:t>
        <w:noBreakHyphen/>
        <w:t xml:space="preserve">, EU:C:2020:980, točke od 52 do 54 in od 64 do 66.</w:t>
      </w:r>
      <w:bookmarkEnd w:id="87"/>
    </w:p>
    <w:p w14:paraId="73E5D15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B75F1E" w14:textId="4E123154">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Storitev posredovanja, ki zgolj povezuje stranke z že pooblaščenimi vozniki taksijev – ne da bi sama organizirala prevozno storitev, izbirala voznike, določala prevoznine ali nadzorovala vozila ali voznike – spada v kategorijo „storitev informacijske družbe“.</w:t>
      </w:r>
    </w:p>
    <w:p w14:paraId="53C8E268" w14:textId="77777777">
      <w:pPr>
        <w:widowControl w:val="0"/>
        <w:tabs>
          <w:tab w:val="left" w:pos="437"/>
        </w:tabs>
        <w:autoSpaceDE w:val="0"/>
        <w:autoSpaceDN w:val="0"/>
        <w:spacing w:after="0" w:line="240" w:lineRule="auto"/>
        <w:ind w:hanging="142"/>
        <w:jc w:val="both"/>
        <w:rPr>
          <w:rFonts w:ascii="Times New Roman" w:hAnsi="Times New Roman" w:cs="Times New Roman" w:eastAsia="Times New Roman"/>
          <w:szCs w:val="20"/>
        </w:rPr>
      </w:pPr>
    </w:p>
    <w:p w14:paraId="6B04D4DF" w14:textId="22C1A495">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Poleg tega zakonodaje, ki se ne nanaša posebej na take storitve, ampak se uporablja brez razlikovanja za vse oblike pošiljanja, tudi po telefonu ali prek aplikacije, ni mogoče opredeliti kot „predpis o storitvah“.</w:t>
      </w:r>
    </w:p>
    <w:p w14:paraId="03141058"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7BBE402" w14:textId="02641065">
      <w:pPr>
        <w:pStyle w:val="P68B1DB1-Normal15"/>
        <w:widowControl w:val="0"/>
        <w:tabs>
          <w:tab w:val="left" w:pos="437"/>
        </w:tabs>
        <w:autoSpaceDE w:val="0"/>
        <w:autoSpaceDN w:val="0"/>
        <w:spacing w:after="0" w:line="240" w:lineRule="auto"/>
        <w:ind w:left="567"/>
        <w:jc w:val="both"/>
      </w:pPr>
      <w:r>
        <w:t xml:space="preserve">„52. Prvič, iz predložitvene določbe je razvidno, da v nasprotju s storitvijo posredovanja v zadevi, v kateri je bila izrečena sodba z dne 20. decembra 2017, Asociación Profesional Elite Taxi (C-434/15, EU:C:2017:981), ki je vzpostavila in dala na voljo ponudbo storitve mestnega prevoza, ki jih opravljajo nepoklicni vozniki, ki jih prej ni bilo na trgu, storitev iz postopka v glavni stvari, kot navaja generalni pravobranilec v točki 49 sklepnih predlogov, omogoča le povezovanje oseb, ki želijo uporabiti prevoz v mestu, zgolj s pooblaščenimi vozniki taksija, katerih dejavnost že obstaja, in za katere je navedena storitev posredovanja le eden od načinov pridobivanja strank, ki ga poleg tega nikakor niso dolžni uporabiti.</w:t>
      </w:r>
    </w:p>
    <w:p w14:paraId="0E270EA6" w14:textId="77777777">
      <w:pPr>
        <w:pStyle w:val="P68B1DB1-Normal15"/>
        <w:widowControl w:val="0"/>
        <w:tabs>
          <w:tab w:val="left" w:pos="437"/>
        </w:tabs>
        <w:autoSpaceDE w:val="0"/>
        <w:autoSpaceDN w:val="0"/>
        <w:spacing w:after="0" w:line="240" w:lineRule="auto"/>
        <w:ind w:left="567"/>
        <w:jc w:val="both"/>
      </w:pPr>
    </w:p>
    <w:p w14:paraId="0B69BBB1" w14:textId="47B62163">
      <w:pPr>
        <w:pStyle w:val="P68B1DB1-Normal15"/>
        <w:widowControl w:val="0"/>
        <w:tabs>
          <w:tab w:val="left" w:pos="437"/>
        </w:tabs>
        <w:autoSpaceDE w:val="0"/>
        <w:autoSpaceDN w:val="0"/>
        <w:spacing w:after="0" w:line="240" w:lineRule="auto"/>
        <w:ind w:left="567"/>
        <w:jc w:val="both"/>
      </w:pPr>
      <w:r>
        <w:t xml:space="preserve">53. Drugič, take storitve posredovanja ni mogoče šteti za organizacijo splošnega delovanja poznejše storitve prevoza v mestu, ker ponudnik ne izbira voznikov taksijev, ne določa cene vožnje, niti ne pobira plačila, ter prav tako ne izvaja nadzora nad kakovostjo vozil in njihovih voznikov ter nad ravnanjem zadnjenavedenih.</w:t>
      </w:r>
    </w:p>
    <w:p w14:paraId="7252306B" w14:textId="77777777">
      <w:pPr>
        <w:pStyle w:val="P68B1DB1-Normal15"/>
        <w:widowControl w:val="0"/>
        <w:tabs>
          <w:tab w:val="left" w:pos="437"/>
        </w:tabs>
        <w:autoSpaceDE w:val="0"/>
        <w:autoSpaceDN w:val="0"/>
        <w:spacing w:after="0" w:line="240" w:lineRule="auto"/>
        <w:ind w:left="567"/>
        <w:jc w:val="both"/>
      </w:pPr>
    </w:p>
    <w:p w14:paraId="40C8D3C8" w14:textId="75B913AD">
      <w:pPr>
        <w:pStyle w:val="P68B1DB1-Normal15"/>
        <w:widowControl w:val="0"/>
        <w:tabs>
          <w:tab w:val="left" w:pos="437"/>
        </w:tabs>
        <w:autoSpaceDE w:val="0"/>
        <w:autoSpaceDN w:val="0"/>
        <w:spacing w:after="0" w:line="240" w:lineRule="auto"/>
        <w:ind w:left="567"/>
        <w:jc w:val="both"/>
        <w:rPr>
          <w:iCs/>
        </w:rPr>
      </w:pPr>
      <w:r>
        <w:t xml:space="preserve">54. Iz tega sledi, da storitve posredovanja, kakršna je ta, ki jo opravlja družba Star Taxi App, ni mogoče šteti za sestavni del celotne storitve, katere glavni sestavni del je storitev prevoza, in jo je zato treba opredeliti kot „storitev informacijske družbe“ v smislu člena 2(a) Direktive 2000/31.“</w:t>
      </w:r>
    </w:p>
    <w:p w14:paraId="737174FF" w14:textId="77777777">
      <w:pPr>
        <w:widowControl w:val="0"/>
        <w:tabs>
          <w:tab w:val="left" w:pos="437"/>
        </w:tabs>
        <w:autoSpaceDE w:val="0"/>
        <w:autoSpaceDN w:val="0"/>
        <w:spacing w:after="0" w:line="240" w:lineRule="auto"/>
        <w:ind w:left="567" w:hanging="142"/>
        <w:jc w:val="both"/>
        <w:rPr>
          <w:rFonts w:ascii="Times New Roman" w:hAnsi="Times New Roman" w:cs="Times New Roman" w:eastAsia="Times New Roman"/>
          <w:i/>
          <w:iCs/>
          <w:sz w:val="20"/>
          <w:szCs w:val="16"/>
        </w:rPr>
      </w:pPr>
    </w:p>
    <w:p w14:paraId="2D6C8DFE" w14:textId="7A0EB2A0">
      <w:pPr>
        <w:pStyle w:val="P68B1DB1-Normal15"/>
        <w:widowControl w:val="0"/>
        <w:tabs>
          <w:tab w:val="left" w:pos="437"/>
        </w:tabs>
        <w:autoSpaceDE w:val="0"/>
        <w:autoSpaceDN w:val="0"/>
        <w:spacing w:after="0" w:line="240" w:lineRule="auto"/>
        <w:ind w:left="567"/>
        <w:jc w:val="both"/>
      </w:pPr>
      <w:r>
        <w:t xml:space="preserve">„64. V tem primeru je iz predložitvene odločbe razvidno, da v romunski ureditvi iz postopka v glavni stvari, bodisi da gre za zakon št. 38/2003, bodisi za sklep št. 178/2008, nikjer niso navedene storitve informacijske družbe. Poleg tega se člen 3, člen 21(1) in (3a) ter člen 41(2a) Priloge k Sklepu št. 178/2008 brez razlikovanja nanašajo na vse vrste storitev posredovanja, bodisi da se opravljajo po telefonu ali na drug način, kakršen je računalniška aplikacija.</w:t>
      </w:r>
    </w:p>
    <w:p w14:paraId="38902729" w14:textId="77777777">
      <w:pPr>
        <w:pStyle w:val="P68B1DB1-Normal15"/>
        <w:widowControl w:val="0"/>
        <w:tabs>
          <w:tab w:val="left" w:pos="437"/>
        </w:tabs>
        <w:autoSpaceDE w:val="0"/>
        <w:autoSpaceDN w:val="0"/>
        <w:spacing w:after="0" w:line="240" w:lineRule="auto"/>
        <w:ind w:left="567"/>
        <w:jc w:val="both"/>
      </w:pPr>
    </w:p>
    <w:p w14:paraId="0D3B1A3A" w14:textId="72AECFA4">
      <w:pPr>
        <w:pStyle w:val="P68B1DB1-Normal15"/>
        <w:widowControl w:val="0"/>
        <w:tabs>
          <w:tab w:val="left" w:pos="437"/>
        </w:tabs>
        <w:autoSpaceDE w:val="0"/>
        <w:autoSpaceDN w:val="0"/>
        <w:spacing w:after="0" w:line="240" w:lineRule="auto"/>
        <w:ind w:left="567"/>
        <w:jc w:val="both"/>
      </w:pPr>
      <w:r>
        <w:t xml:space="preserve">65. Poleg tega, kot je generalni pravobranilec navedel v točki 108 sklepnih predlogov, zakon št. 38/2003 ponudnikom storitev posredovanja, ki svojo dejavnost opravljajo prek aplikacije za pametni telefon, na enaki podlagi kot vsem drugim gospodarskim subjektom, ki opravljajo storitev posredovanja, nalaga, da morajo imeti opremo – v tem primeru radijske sprejemnike – ki je zaradi tehničnih načinov opravljanja te storitve povsem nekoristna. Zato ureditev, kakršna je ta iz postopka v glavni stvari s tem, da se ne nanaša posebej na storitve informacijske družbe, na takšne storitve vpliva le posredno ali postransko.</w:t>
      </w:r>
    </w:p>
    <w:p w14:paraId="2F69DDBE" w14:textId="77777777">
      <w:pPr>
        <w:pStyle w:val="P68B1DB1-Normal15"/>
        <w:widowControl w:val="0"/>
        <w:tabs>
          <w:tab w:val="left" w:pos="437"/>
        </w:tabs>
        <w:autoSpaceDE w:val="0"/>
        <w:autoSpaceDN w:val="0"/>
        <w:spacing w:after="0" w:line="240" w:lineRule="auto"/>
        <w:ind w:left="567"/>
        <w:jc w:val="both"/>
      </w:pPr>
    </w:p>
    <w:p w14:paraId="7495A598" w14:textId="143B7510">
      <w:pPr>
        <w:pStyle w:val="P68B1DB1-Normal15"/>
        <w:widowControl w:val="0"/>
        <w:tabs>
          <w:tab w:val="left" w:pos="437"/>
        </w:tabs>
        <w:autoSpaceDE w:val="0"/>
        <w:autoSpaceDN w:val="0"/>
        <w:spacing w:after="0" w:line="240" w:lineRule="auto"/>
        <w:ind w:left="567"/>
        <w:jc w:val="both"/>
        <w:rPr>
          <w:iCs/>
        </w:rPr>
      </w:pPr>
      <w:r>
        <w:t xml:space="preserve">66. Takega pravila torej ni mogoče opredeliti za „predpis o storitvah“ v smislu člena 1(1)(e) Direktive 2015/1535 in posledično za „tehnični predpis“ v smislu člena 1(1)(f) te direktive. Takega pravila torej ni mogoče šteti za „predpis o storitvah“ v smislu člena 1(1)(e) Direktive 2015/1535 in posledično za „tehnični predpis“ v smislu člena 1(1)(f) te direktive.“</w:t>
      </w:r>
    </w:p>
    <w:p w14:paraId="74769673" w14:textId="77777777">
      <w:pPr>
        <w:widowControl w:val="0"/>
        <w:tabs>
          <w:tab w:val="left" w:pos="437"/>
        </w:tabs>
        <w:autoSpaceDE w:val="0"/>
        <w:autoSpaceDN w:val="0"/>
        <w:spacing w:after="0" w:line="240" w:lineRule="auto"/>
        <w:jc w:val="both"/>
        <w:rPr>
          <w:rFonts w:ascii="Times New Roman" w:hAnsi="Times New Roman" w:cs="Times New Roman" w:eastAsia="Times New Roman"/>
          <w:i/>
          <w:iCs/>
          <w:sz w:val="20"/>
          <w:szCs w:val="16"/>
        </w:rPr>
      </w:pPr>
    </w:p>
    <w:p w14:paraId="4ECE591C" w14:textId="291CA601">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7" w:history="1">
        <w:r>
          <w:rPr>
            <w:rStyle w:val="Hyperlink"/>
            <w:rFonts w:ascii="Times New Roman" w:hAnsi="Times New Roman" w:cs="Times New Roman" w:eastAsia="Times New Roman"/>
            <w:b/>
            <w:i/>
            <w:color w:val="0000FF"/>
            <w:szCs w:val="20"/>
          </w:rPr>
          <w:t xml:space="preserve">Sodba z dne 29. februarja 2024</w:t>
        </w:r>
      </w:hyperlink>
      <w:r>
        <w:rPr>
          <w:rFonts w:ascii="Times New Roman" w:hAnsi="Times New Roman" w:cs="Times New Roman" w:eastAsia="Times New Roman"/>
          <w:b/>
          <w:i/>
          <w:szCs w:val="20"/>
        </w:rPr>
        <w:t xml:space="preserve">, Doctipharma SAS, C-606/21, EU:C:2024:179, točke 26 do 30 in 34 do 36.</w:t>
      </w:r>
      <w:bookmarkEnd w:id="88"/>
    </w:p>
    <w:p w14:paraId="5D3D60EF"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3D0A5D9F" w14:textId="5B25CF88">
      <w:pPr>
        <w:pStyle w:val="P68B1DB1-BodyText22"/>
      </w:pPr>
      <w:r>
        <w:t xml:space="preserve">Ni nujno, da plačilo za storitev, ki jo opravi ponudnik storitev v okviru gospodarske dejavnosti, plačajo osebe, ki so upravičenci. To velja za storitev, opravljeno na spletnem mestu, ki vključuje povezovanje farmacevtov in strank za prodajo zdravil, pri čemer storitev plačajo farmacevti, ki so se naročili na njeno platformo na podlagi fiksnega honorarja.</w:t>
      </w:r>
    </w:p>
    <w:p w14:paraId="60E238C1" w14:textId="77777777">
      <w:pPr>
        <w:pStyle w:val="P68B1DB1-BodyText22"/>
      </w:pPr>
    </w:p>
    <w:p w14:paraId="16BCA1E5" w14:textId="5221BD03">
      <w:pPr>
        <w:pStyle w:val="P68B1DB1-BodyText22"/>
      </w:pPr>
      <w:r>
        <w:t xml:space="preserve">Taka storitev ni del celotne storitve, katere glavni element je drugače pravno opredeljen kot „storitev informacijske družbe“.</w:t>
      </w:r>
    </w:p>
    <w:p w14:paraId="5D9B8556" w14:textId="77777777">
      <w:pPr>
        <w:pStyle w:val="BodyText"/>
      </w:pPr>
      <w:r>
        <w:t xml:space="preserve"> </w:t>
      </w:r>
    </w:p>
    <w:p w14:paraId="06EE7590" w14:textId="40E0F47A">
      <w:pPr>
        <w:pStyle w:val="P68B1DB1-Normal20"/>
        <w:widowControl w:val="0"/>
        <w:autoSpaceDE w:val="0"/>
        <w:autoSpaceDN w:val="0"/>
        <w:spacing w:after="0" w:line="240" w:lineRule="auto"/>
        <w:ind w:left="567"/>
        <w:jc w:val="both"/>
        <w:outlineLvl w:val="1"/>
        <w:rPr>
          <w:iCs/>
        </w:rPr>
      </w:pPr>
      <w:bookmarkStart w:id="89" w:name="_Toc198043843"/>
      <w:r>
        <w:t xml:space="preserve">„26. [...] V členu 1(2) Direktive 98/34 in členu 1(1)(b) Direktive 2015/1535 je pojem „storitev informacijske družbe“ opredeljen kot „vsaka storitev, ki se običajno opravi odplačno, na daljavo, elektronsko in na posamezno zahtevo prejemnika storitev“.</w:t>
      </w:r>
      <w:bookmarkEnd w:id="89"/>
    </w:p>
    <w:p w14:paraId="0520C499" w14:textId="77777777">
      <w:pPr>
        <w:pStyle w:val="P68B1DB1-Normal20"/>
        <w:widowControl w:val="0"/>
        <w:autoSpaceDE w:val="0"/>
        <w:autoSpaceDN w:val="0"/>
        <w:spacing w:after="0" w:line="240" w:lineRule="auto"/>
        <w:ind w:left="567"/>
        <w:jc w:val="both"/>
        <w:outlineLvl w:val="1"/>
        <w:rPr>
          <w:iCs/>
        </w:rPr>
      </w:pPr>
    </w:p>
    <w:p w14:paraId="5522C64C" w14:textId="2B939575">
      <w:pPr>
        <w:pStyle w:val="P68B1DB1-Normal20"/>
        <w:widowControl w:val="0"/>
        <w:autoSpaceDE w:val="0"/>
        <w:autoSpaceDN w:val="0"/>
        <w:spacing w:after="0" w:line="240" w:lineRule="auto"/>
        <w:ind w:left="567"/>
        <w:jc w:val="both"/>
        <w:outlineLvl w:val="1"/>
        <w:rPr>
          <w:iCs/>
        </w:rPr>
      </w:pPr>
      <w:bookmarkStart w:id="90" w:name="_Toc198043844"/>
      <w:r>
        <w:t xml:space="preserve">27. V obravnavanem primeru je treba v zvezi s prvim pogojem iz teh določb opozoriti, da v skladu z ustaljeno sodno prakso ni nujno, da plačilo za storitev, ki jo opravi ponudnik v okviru gospodarske dejavnosti, plačajo osebe, ki imajo od nje korist (glej v tem smislu sodbi z dne 15. septembra 2016, Mc Fadden, C-484/14, EU:C:2016:689, točka 41, in z dne 4. maja 2017, Vanderborght, C-339/15, EU:C:2017:335, točka 36).</w:t>
      </w:r>
      <w:bookmarkEnd w:id="90"/>
    </w:p>
    <w:p w14:paraId="321E2B99" w14:textId="77777777">
      <w:pPr>
        <w:pStyle w:val="P68B1DB1-Normal20"/>
        <w:widowControl w:val="0"/>
        <w:autoSpaceDE w:val="0"/>
        <w:autoSpaceDN w:val="0"/>
        <w:spacing w:after="0" w:line="240" w:lineRule="auto"/>
        <w:ind w:left="567"/>
        <w:jc w:val="both"/>
        <w:outlineLvl w:val="1"/>
        <w:rPr>
          <w:iCs/>
        </w:rPr>
      </w:pPr>
    </w:p>
    <w:p w14:paraId="4A7B6C31" w14:textId="12F86ADD">
      <w:pPr>
        <w:pStyle w:val="P68B1DB1-Normal20"/>
        <w:widowControl w:val="0"/>
        <w:autoSpaceDE w:val="0"/>
        <w:autoSpaceDN w:val="0"/>
        <w:spacing w:after="0" w:line="240" w:lineRule="auto"/>
        <w:ind w:left="567"/>
        <w:jc w:val="both"/>
        <w:outlineLvl w:val="1"/>
        <w:rPr>
          <w:iCs/>
        </w:rPr>
      </w:pPr>
      <w:bookmarkStart w:id="91" w:name="_Toc198043845"/>
      <w:r>
        <w:t xml:space="preserve">28. Tako za opredelitev storitve, kakršna je ta iz postopka v glavni stvari, kot storitve, ki spada pod pojem „storitev informacijske družbe“ v smislu člena 1, točka 2, Direktive 98/34 in člena 1(1)(b) Direktive 2015/1535, ni pomembno, ali se ta storitev osebi, ki kupi zdravilo brez recepta, opravi brezplačno, saj ta storitev privede do tega, da se med ponudnikom te storitve in vsakim farmacevtom, ki navedeno storitev uporabi, sklene pogodba o opravljanju storitev, ki vključuje plačilo.</w:t>
      </w:r>
      <w:bookmarkEnd w:id="91"/>
    </w:p>
    <w:p w14:paraId="7BF264F2" w14:textId="77777777">
      <w:pPr>
        <w:pStyle w:val="P68B1DB1-Normal20"/>
        <w:widowControl w:val="0"/>
        <w:autoSpaceDE w:val="0"/>
        <w:autoSpaceDN w:val="0"/>
        <w:spacing w:after="0" w:line="240" w:lineRule="auto"/>
        <w:ind w:left="567"/>
        <w:jc w:val="both"/>
        <w:outlineLvl w:val="1"/>
        <w:rPr>
          <w:iCs/>
        </w:rPr>
      </w:pPr>
    </w:p>
    <w:p w14:paraId="1D178D41" w14:textId="602A287A">
      <w:pPr>
        <w:pStyle w:val="P68B1DB1-Normal20"/>
        <w:widowControl w:val="0"/>
        <w:autoSpaceDE w:val="0"/>
        <w:autoSpaceDN w:val="0"/>
        <w:spacing w:after="0" w:line="240" w:lineRule="auto"/>
        <w:ind w:left="567"/>
        <w:jc w:val="both"/>
        <w:outlineLvl w:val="1"/>
        <w:rPr>
          <w:iCs/>
        </w:rPr>
      </w:pPr>
      <w:bookmarkStart w:id="92" w:name="_Toc198043846"/>
      <w:r>
        <w:t xml:space="preserve">29. Prav tako v zvezi s tem ni pomembno dejstvo, da so jo, kot je navedla družba Doctipharma, v skladu s splošnimi prodajnimi pogoji farmacevti, ki so naročeni na njeno platformo, plačevali na podlagi pavšala ali, kot je navedla francoska vlada, dejstvo, da je bila storitev, ki jo je opravljala družba Doctipharma, pogojena z mesečno naročnino, ki so jo farmacevti stranke plačevali družbi Doctipharmi, in povratnim plačilom deleža zneska prodaje, ki se pobere na platformi.</w:t>
      </w:r>
      <w:bookmarkEnd w:id="92"/>
    </w:p>
    <w:p w14:paraId="2B92BB79" w14:textId="77777777">
      <w:pPr>
        <w:pStyle w:val="P68B1DB1-Normal20"/>
        <w:widowControl w:val="0"/>
        <w:autoSpaceDE w:val="0"/>
        <w:autoSpaceDN w:val="0"/>
        <w:spacing w:after="0" w:line="240" w:lineRule="auto"/>
        <w:ind w:left="567"/>
        <w:jc w:val="both"/>
        <w:outlineLvl w:val="1"/>
        <w:rPr>
          <w:iCs/>
        </w:rPr>
      </w:pPr>
    </w:p>
    <w:p w14:paraId="7E01A0AB" w14:textId="05C25972">
      <w:pPr>
        <w:pStyle w:val="P68B1DB1-Normal20"/>
        <w:widowControl w:val="0"/>
        <w:autoSpaceDE w:val="0"/>
        <w:autoSpaceDN w:val="0"/>
        <w:spacing w:after="0" w:line="240" w:lineRule="auto"/>
        <w:ind w:left="567"/>
        <w:jc w:val="both"/>
        <w:outlineLvl w:val="1"/>
        <w:rPr>
          <w:iCs/>
        </w:rPr>
      </w:pPr>
      <w:bookmarkStart w:id="93" w:name="_Toc198043847"/>
      <w:r>
        <w:t xml:space="preserve">30. Iz tega sledi, da je treba s pridržkom preverjanj, ki jih mora opraviti predložitveno sodišče, vsekakor šteti, da je bila storitev iz postopka v glavni stvari opravljena za plačilo.“</w:t>
      </w:r>
      <w:bookmarkEnd w:id="93"/>
    </w:p>
    <w:p w14:paraId="1F7DABA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01B24EB0" w14:textId="2D56DEB8">
      <w:pPr>
        <w:pStyle w:val="P68B1DB1-Normal20"/>
        <w:widowControl w:val="0"/>
        <w:autoSpaceDE w:val="0"/>
        <w:autoSpaceDN w:val="0"/>
        <w:spacing w:after="0" w:line="240" w:lineRule="auto"/>
        <w:ind w:left="567"/>
        <w:jc w:val="both"/>
        <w:outlineLvl w:val="1"/>
      </w:pPr>
      <w:bookmarkStart w:id="94" w:name="_Toc198043848"/>
      <w:r>
        <w:t xml:space="preserve">„34. Te ugotovitve ni mogoče ovreči s sodno prakso Sodišča iz sodb z dne 20. decembra 2017, Asociación Profesional Elite Taxi (C-434/15, EU:C:2017:981), z dne 19. decembra 2019, Airbnb Ireland (C-390/18, EU:C:2019:1112), in z dne 3. decembra 2020, Star Taxi App (C-62/19, EU:C:2020:980).</w:t>
      </w:r>
      <w:bookmarkEnd w:id="94"/>
    </w:p>
    <w:p w14:paraId="30816B83" w14:textId="77777777">
      <w:pPr>
        <w:pStyle w:val="P68B1DB1-Normal20"/>
        <w:widowControl w:val="0"/>
        <w:autoSpaceDE w:val="0"/>
        <w:autoSpaceDN w:val="0"/>
        <w:spacing w:after="0" w:line="240" w:lineRule="auto"/>
        <w:ind w:left="567"/>
        <w:jc w:val="both"/>
        <w:outlineLvl w:val="1"/>
      </w:pPr>
    </w:p>
    <w:p w14:paraId="7006558F" w14:textId="15BDEB5C">
      <w:pPr>
        <w:pStyle w:val="P68B1DB1-Normal20"/>
        <w:widowControl w:val="0"/>
        <w:autoSpaceDE w:val="0"/>
        <w:autoSpaceDN w:val="0"/>
        <w:spacing w:after="0" w:line="240" w:lineRule="auto"/>
        <w:ind w:left="567"/>
        <w:jc w:val="both"/>
        <w:outlineLvl w:val="1"/>
      </w:pPr>
      <w:bookmarkStart w:id="95" w:name="_Toc198043849"/>
      <w:r>
        <w:t xml:space="preserve">35. Iz te sodne prakse namreč izhaja, da je treba storitev, katere namen je povezati stranke in ponudnike drugih raznolikih storitev in ki izpolnjuje vse pogoje iz člena 1, točka 2, Direktive 98/34 in člena 1(1)(b) Direktive 2015/1535, opredeliti kot „storitev informacijske družbe“, če se taka storitev loči od storitev drugačne narave, ki jih opravljajo ti ponudniki. Vendar mora veljati nasprotno, če se izkaže, da je ta storitev povezovanja sestavni del celotne storitve, katere glavni element spada pod drugo pravno opredelitev, kot je „storitev informacijske družbe“ (sodba z dne 3. decembra 2020, Star Taxi App, C-62/19, EU:C:2020:980, točka 49 in navedena sodna praksa).</w:t>
      </w:r>
      <w:bookmarkEnd w:id="95"/>
    </w:p>
    <w:p w14:paraId="3E0D3F0B" w14:textId="77777777">
      <w:pPr>
        <w:pStyle w:val="P68B1DB1-Normal20"/>
        <w:widowControl w:val="0"/>
        <w:autoSpaceDE w:val="0"/>
        <w:autoSpaceDN w:val="0"/>
        <w:spacing w:after="0" w:line="240" w:lineRule="auto"/>
        <w:ind w:left="567"/>
        <w:jc w:val="both"/>
        <w:outlineLvl w:val="1"/>
      </w:pPr>
    </w:p>
    <w:p w14:paraId="236402DB" w14:textId="039485E5">
      <w:pPr>
        <w:pStyle w:val="P68B1DB1-Normal20"/>
        <w:widowControl w:val="0"/>
        <w:autoSpaceDE w:val="0"/>
        <w:autoSpaceDN w:val="0"/>
        <w:spacing w:after="0" w:line="240" w:lineRule="auto"/>
        <w:ind w:left="567"/>
        <w:jc w:val="both"/>
        <w:outlineLvl w:val="1"/>
      </w:pPr>
      <w:bookmarkStart w:id="96" w:name="_Toc198043850"/>
      <w:r>
        <w:t xml:space="preserve">36. Kot je generalni pravobranilec navedel v točkah 28 in 29 sklepnih predlogov, storitev povezovanja farmacevtov in strank z namenom prodaje zdravil brez recepta s spletnih strani lekarn, ki so naročene na to storitev, ne more biti sestavni del celotne storitve, katere glavni element ni „storitev informacijske družbe“.</w:t>
      </w:r>
      <w:bookmarkEnd w:id="96"/>
    </w:p>
    <w:p w14:paraId="066794C6" w14:textId="77777777">
      <w:pPr>
        <w:pStyle w:val="P68B1DB1-Normal20"/>
        <w:widowControl w:val="0"/>
        <w:autoSpaceDE w:val="0"/>
        <w:autoSpaceDN w:val="0"/>
        <w:spacing w:after="0" w:line="240" w:lineRule="auto"/>
        <w:jc w:val="both"/>
        <w:outlineLvl w:val="1"/>
      </w:pPr>
    </w:p>
    <w:p w14:paraId="3456AF7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8" w:history="1">
        <w:r>
          <w:rPr>
            <w:rStyle w:val="Hyperlink"/>
            <w:rFonts w:ascii="Times New Roman" w:hAnsi="Times New Roman" w:cs="Times New Roman" w:eastAsia="Times New Roman"/>
            <w:b/>
            <w:i/>
            <w:color w:val="0000FF"/>
            <w:szCs w:val="20"/>
          </w:rPr>
          <w:t xml:space="preserve">Sodba z dne 13. marca 2025</w:t>
        </w:r>
      </w:hyperlink>
      <w:r>
        <w:rPr>
          <w:rFonts w:ascii="Times New Roman" w:hAnsi="Times New Roman" w:cs="Times New Roman" w:eastAsia="Times New Roman"/>
          <w:b/>
          <w:i/>
          <w:szCs w:val="20"/>
        </w:rPr>
        <w:t xml:space="preserve">, Unigames UAB, C</w:t>
        <w:noBreakHyphen/>
        <w:t xml:space="preserve">120/24, EU:C:2025:174, točke od 38 do 42.</w:t>
      </w:r>
      <w:bookmarkEnd w:id="97"/>
    </w:p>
    <w:p w14:paraId="7C95759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0CCCFF25"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Prepoved oglaševanja iger na srečo na igralnih mestih se ne nanaša na oglaševalsko storitev, ki je neodvisna od storitve iger na srečo, ampak na storitev, ki je neločljivo povezana s spletno storitvijo iger na srečo. Zato je treba za ugotovitev, ali gre za „predpis o storitvah“, najprej obravnavati opredelitev storitev spletnih iger na srečo kot „storitev informacijske družbe“.</w:t>
      </w:r>
    </w:p>
    <w:p w14:paraId="2F64E777"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D107C79" w14:textId="74EE0F8E">
      <w:pPr>
        <w:pStyle w:val="P68B1DB1-Normal15"/>
        <w:widowControl w:val="0"/>
        <w:tabs>
          <w:tab w:val="left" w:pos="437"/>
        </w:tabs>
        <w:autoSpaceDE w:val="0"/>
        <w:autoSpaceDN w:val="0"/>
        <w:spacing w:after="0" w:line="240" w:lineRule="auto"/>
        <w:ind w:left="567"/>
        <w:jc w:val="both"/>
        <w:rPr>
          <w:iCs/>
        </w:rPr>
      </w:pPr>
      <w:r>
        <w:t xml:space="preserve">„38. Ugotovitev, navedenih v točkah 36 in 37 te sodbe,</w:t>
      </w:r>
      <w:r>
        <w:rPr>
          <w:i w:val="0"/>
        </w:rPr>
        <w:t xml:space="preserve"> [v skladu s katerima je treba spletne storitve iger na srečo šteti za ‚storitve informacijske družbe‘] </w:t>
      </w:r>
      <w:r>
        <w:t xml:space="preserve">ne omaja dejstvo, da informacije o igrah na srečo, ki jih ponudnik iger na srečo objavi na svojem spletnem mestu, niso nujno posredovane „na zahtevo prejemnika storitev“. Te objave informacij v okoliščinah, kakršne so te v postopku v glavni stvari, ni mogoče šteti za oglaševalsko ali drugo storitev, ki se opravlja za prejemnike storitev iger na srečo na daljavo, ampak pomeni dejavnost, ki je pomožna in neločljivo povezana z zadevnimi storitvami iger na srečo na daljavo, iz katerih izhaja ves njen gospodarski pomen (glej po analogiji sodbo z dne 1. oktobra 2020, A (Oglaševanje in spletna prodaja zdravil), C-649/18, EU:C:2020:764, točka 56). Zato morajo le storitve iger na srečo same izpolnjevati upoštevne pogoje, da bi lahko spadale pod pojem „storitev“ v smislu člena 1(1)(b) Direktive 2015/1535, prepoved iz postopka v glavni stvari, ki se nanaša na tako objavo informacij, pa mora izpolnjevati posebna merila iz člena 1(1)(e) te direktive, da bi se lahko štela za „predpis“ teh storitev v smislu zadnjenavedene določbe.</w:t>
      </w:r>
    </w:p>
    <w:p w14:paraId="0C84094C" w14:textId="77777777">
      <w:pPr>
        <w:pStyle w:val="P68B1DB1-Normal15"/>
        <w:widowControl w:val="0"/>
        <w:tabs>
          <w:tab w:val="left" w:pos="437"/>
        </w:tabs>
        <w:autoSpaceDE w:val="0"/>
        <w:autoSpaceDN w:val="0"/>
        <w:spacing w:after="0" w:line="240" w:lineRule="auto"/>
        <w:ind w:left="567"/>
        <w:jc w:val="both"/>
        <w:rPr>
          <w:iCs/>
        </w:rPr>
      </w:pPr>
    </w:p>
    <w:p w14:paraId="40656C32" w14:textId="179B1E83">
      <w:pPr>
        <w:pStyle w:val="P68B1DB1-Normal15"/>
        <w:widowControl w:val="0"/>
        <w:tabs>
          <w:tab w:val="left" w:pos="437"/>
        </w:tabs>
        <w:autoSpaceDE w:val="0"/>
        <w:autoSpaceDN w:val="0"/>
        <w:spacing w:after="0" w:line="240" w:lineRule="auto"/>
        <w:ind w:left="567"/>
        <w:jc w:val="both"/>
        <w:rPr>
          <w:iCs/>
        </w:rPr>
      </w:pPr>
      <w:r>
        <w:t xml:space="preserve">39. V zvezi z zadnjenavedenim, čeprav ni sporno, da je prepoved iz postopka v glavni stvari „splošna zahteva“ v smislu člena 1(1)(e) Direktive 2015/1535, je treba še preučiti, prvič, ali jo je mogoče šteti za „v zvezi z začetkom in opravljanjem storitvenih dejavnosti“, pri čemer je v tej določbi pojasnjeno, da to velja zlasti za določbe, ki se nanašajo na ponudnika storitev, storitve in prejemnika storitev.</w:t>
      </w:r>
    </w:p>
    <w:p w14:paraId="0DF48DDD" w14:textId="77777777">
      <w:pPr>
        <w:pStyle w:val="P68B1DB1-Normal15"/>
        <w:widowControl w:val="0"/>
        <w:tabs>
          <w:tab w:val="left" w:pos="437"/>
        </w:tabs>
        <w:autoSpaceDE w:val="0"/>
        <w:autoSpaceDN w:val="0"/>
        <w:spacing w:after="0" w:line="240" w:lineRule="auto"/>
        <w:ind w:left="567"/>
        <w:jc w:val="both"/>
        <w:rPr>
          <w:iCs/>
        </w:rPr>
      </w:pPr>
    </w:p>
    <w:p w14:paraId="79F306A3" w14:textId="7430EFC3">
      <w:pPr>
        <w:pStyle w:val="P68B1DB1-Normal15"/>
        <w:widowControl w:val="0"/>
        <w:tabs>
          <w:tab w:val="left" w:pos="437"/>
        </w:tabs>
        <w:autoSpaceDE w:val="0"/>
        <w:autoSpaceDN w:val="0"/>
        <w:spacing w:after="0" w:line="240" w:lineRule="auto"/>
        <w:ind w:left="567"/>
        <w:jc w:val="both"/>
        <w:rPr>
          <w:iCs/>
        </w:rPr>
      </w:pPr>
      <w:r>
        <w:t xml:space="preserve">40. V zvezi s tem je treba ugotoviti, da člen 10(19) zakona o igrah na srečo lahko spada pod pojem „predpis o storitvah“, ker določa prepoved spodbujanja zlasti sodelovanja pri igrah na srečo na daljavo in zlasti objavljanja informacij o igrah na srečo na spletnem mestu ponudnika iger na srečo ali izvajanja dejanj, ki spodbujajo sodelovanje pri igrah na srečo (glej v tem smislu sodbo z dne 22. oktobra 2020, Sportingbet in Internet Opportunity Entertainment, C-275/19, EU:C:2020:856, točka 48 in navedena sodna praksa).</w:t>
      </w:r>
    </w:p>
    <w:p w14:paraId="7B52939F" w14:textId="77777777">
      <w:pPr>
        <w:pStyle w:val="P68B1DB1-Normal15"/>
        <w:widowControl w:val="0"/>
        <w:tabs>
          <w:tab w:val="left" w:pos="437"/>
        </w:tabs>
        <w:autoSpaceDE w:val="0"/>
        <w:autoSpaceDN w:val="0"/>
        <w:spacing w:after="0" w:line="240" w:lineRule="auto"/>
        <w:ind w:left="567"/>
        <w:jc w:val="both"/>
        <w:rPr>
          <w:iCs/>
        </w:rPr>
      </w:pPr>
    </w:p>
    <w:p w14:paraId="29F63712" w14:textId="4449F712">
      <w:pPr>
        <w:pStyle w:val="P68B1DB1-Normal15"/>
        <w:widowControl w:val="0"/>
        <w:tabs>
          <w:tab w:val="left" w:pos="437"/>
        </w:tabs>
        <w:autoSpaceDE w:val="0"/>
        <w:autoSpaceDN w:val="0"/>
        <w:spacing w:after="0" w:line="240" w:lineRule="auto"/>
        <w:ind w:left="567"/>
        <w:jc w:val="both"/>
        <w:rPr>
          <w:iCs/>
        </w:rPr>
      </w:pPr>
      <w:r>
        <w:t xml:space="preserve">41. Drugič, kot izhaja iz samega besedila člena 1(1)(e) Direktive 2015/1535, mora biti prepoved iz postopka v glavni stvari, da bi jo bilo mogoče opredeliti kot „predpis o storitvah“, „posebej“ namenjena storitvam informacijske družbe (glej v tem smislu sodbo z dne 12. septembra 2019, VG Media, C-299/17, EU:C:2019:716, točka 31).</w:t>
      </w:r>
    </w:p>
    <w:p w14:paraId="65AB6E33" w14:textId="77777777">
      <w:pPr>
        <w:pStyle w:val="P68B1DB1-Normal15"/>
        <w:widowControl w:val="0"/>
        <w:tabs>
          <w:tab w:val="left" w:pos="437"/>
        </w:tabs>
        <w:autoSpaceDE w:val="0"/>
        <w:autoSpaceDN w:val="0"/>
        <w:spacing w:after="0" w:line="240" w:lineRule="auto"/>
        <w:ind w:left="567"/>
        <w:jc w:val="both"/>
        <w:rPr>
          <w:iCs/>
        </w:rPr>
      </w:pPr>
    </w:p>
    <w:p w14:paraId="3176C455" w14:textId="3F47F94F">
      <w:pPr>
        <w:pStyle w:val="P68B1DB1-Normal15"/>
        <w:widowControl w:val="0"/>
        <w:tabs>
          <w:tab w:val="left" w:pos="437"/>
        </w:tabs>
        <w:autoSpaceDE w:val="0"/>
        <w:autoSpaceDN w:val="0"/>
        <w:spacing w:after="0" w:line="240" w:lineRule="auto"/>
        <w:ind w:left="567"/>
        <w:jc w:val="both"/>
        <w:rPr>
          <w:iCs/>
        </w:rPr>
      </w:pPr>
      <w:r>
        <w:t xml:space="preserve">42. V zvezi s tem iz člena 1(1)(e), drugi pododstavek, točka (i), Direktive 2015/1535 izhaja, da je treba preverjanje, ali je pravilo posebej namenjeno storitvam informacijske družbe, opraviti ob upoštevanju besedila tega pravila in cilja, ki mu sledi. Poleg tega se v skladu s to določbo ne zahteva, da je „poseben cilj in cilj“ zadevnega pravila urejanje storitev informacijske družbe, temveč zadostuje, da se z nekaterimi določbami tega pravila uresničuje ta cilj ali cilj (glej v tem smislu sodbo z dne 12. septembra 2019, VG Media, C-299/17, EU:C:2019:716, točka 32 in navedena sodna praksa). Nazadnje, v skladu s členom 1(1)(e), drugi pododstavek, točka (ii), te direktive se za pravilo ne šteje, da je posebej namenjeno storitvam informacijske družbe, če vpliva na te storitve le implicitno ali postransko.“</w:t>
      </w:r>
    </w:p>
    <w:p w14:paraId="755B8A78" w14:textId="53DC1D1F">
      <w:pPr>
        <w:spacing w:after="0" w:line="278" w:lineRule="auto"/>
      </w:pPr>
      <w:r>
        <w:br w:type="page"/>
      </w:r>
    </w:p>
    <w:p w14:paraId="66BD9244" w14:textId="7BFF7921">
      <w:pPr>
        <w:pStyle w:val="P68B1DB1-Heading24"/>
        <w:numPr>
          <w:ilvl w:val="0"/>
          <w:numId w:val="35"/>
        </w:numPr>
        <w:spacing w:before="0" w:after="0"/>
        <w:jc w:val="center"/>
        <w:rPr>
          <w:bCs/>
          <w:color w:val="auto"/>
        </w:rPr>
      </w:pPr>
      <w:bookmarkStart w:id="98" w:name="_Ref194484584"/>
      <w:bookmarkStart w:id="99" w:name="_Toc203035670"/>
      <w:r>
        <w:t xml:space="preserve">Določbe o prepovedi</w:t>
      </w:r>
      <w:bookmarkEnd w:id="98"/>
      <w:bookmarkEnd w:id="99"/>
    </w:p>
    <w:p w14:paraId="11A12362" w14:textId="77777777">
      <w:pPr>
        <w:pStyle w:val="BodyText"/>
      </w:pPr>
    </w:p>
    <w:p w14:paraId="6DD7108F" w14:textId="22E84863">
      <w:pPr>
        <w:pStyle w:val="P68B1DB1-BodyText11"/>
        <w:ind w:left="567"/>
        <w:rPr>
          <w:iCs/>
        </w:rPr>
      </w:pPr>
      <w:r>
        <w:t xml:space="preserve">„‚tehnični predpis‘ pomeni [...] zakone in druge predpise držav članic, razen tistih iz člena 7, ki prepovedujejo izdelavo, uvoz, trženje ali uporabo izdelka ali prepovedujejo zagotavljanje ali uporabo storitve ali ustanovitev ponudnika storitev.“</w:t>
      </w:r>
    </w:p>
    <w:p w14:paraId="6EA3335C" w14:textId="77777777">
      <w:pPr>
        <w:pStyle w:val="BodyText"/>
        <w:ind w:left="567"/>
        <w:rPr>
          <w:i/>
          <w:iCs/>
        </w:rPr>
      </w:pPr>
    </w:p>
    <w:p w14:paraId="05F6428B" w14:textId="3C27EE7A">
      <w:pPr>
        <w:pStyle w:val="BodyText"/>
        <w:ind w:left="1440"/>
        <w:jc w:val="right"/>
      </w:pPr>
      <w:r>
        <w:t xml:space="preserve">(člen 1(1)(f), prvi stavek, Direktive (EU) 2015/1535)</w:t>
      </w:r>
    </w:p>
    <w:p w14:paraId="38D8F2AB" w14:textId="77777777">
      <w:pPr>
        <w:spacing w:after="0" w:line="240" w:lineRule="auto"/>
      </w:pPr>
    </w:p>
    <w:p w14:paraId="0D9AB62C" w14:textId="1C629A78">
      <w:pPr>
        <w:pStyle w:val="P68B1DB1-Normal13"/>
        <w:widowControl w:val="0"/>
        <w:autoSpaceDE w:val="0"/>
        <w:autoSpaceDN w:val="0"/>
        <w:spacing w:after="0" w:line="240" w:lineRule="auto"/>
        <w:jc w:val="both"/>
        <w:outlineLvl w:val="1"/>
      </w:pPr>
      <w:hyperlink r:id="rId59" w:history="1">
        <w:r>
          <w:rPr>
            <w:color w:val="0000FF"/>
            <w:u w:val="single"/>
          </w:rPr>
          <w:t xml:space="preserve">Sodba z dne 16. septembra 1996</w:t>
        </w:r>
      </w:hyperlink>
      <w:r>
        <w:t xml:space="preserve">, Komisija/Italija, C-279/94, EU:C:1997:396, točka 30.</w:t>
      </w:r>
      <w:bookmarkEnd w:id="100"/>
    </w:p>
    <w:p w14:paraId="034B7933"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01754A62" w14:textId="3AFCB111">
      <w:pPr>
        <w:pStyle w:val="P68B1DB1-Normal14"/>
        <w:widowControl w:val="0"/>
        <w:tabs>
          <w:tab w:val="left" w:pos="396"/>
          <w:tab w:val="left" w:pos="461"/>
        </w:tabs>
        <w:autoSpaceDE w:val="0"/>
        <w:autoSpaceDN w:val="0"/>
        <w:spacing w:after="0" w:line="240" w:lineRule="auto"/>
        <w:jc w:val="both"/>
      </w:pPr>
      <w:r>
        <w:t xml:space="preserve">Prepoved dajanja azbesta v promet in njegove uporabe je „tehnični predpis“, ki ga je treba priglasiti, ker prepoveduje trženje in uporabo izdelka.</w:t>
      </w:r>
    </w:p>
    <w:p w14:paraId="0BB35591"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9E65C7B" w14:textId="4734296F">
      <w:pPr>
        <w:pStyle w:val="P68B1DB1-Normal15"/>
        <w:widowControl w:val="0"/>
        <w:tabs>
          <w:tab w:val="left" w:pos="396"/>
          <w:tab w:val="left" w:pos="461"/>
        </w:tabs>
        <w:autoSpaceDE w:val="0"/>
        <w:autoSpaceDN w:val="0"/>
        <w:spacing w:after="0" w:line="240" w:lineRule="auto"/>
        <w:ind w:left="567"/>
        <w:jc w:val="both"/>
        <w:rPr>
          <w:iCs/>
        </w:rPr>
      </w:pPr>
      <w:r>
        <w:t xml:space="preserve">„30. Kar zadeva člen 1(2) zakona št. 257/92, ta določba prepoveduje pridobivanje, uvoz, izvoz, trženje in proizvodnjo azbesta, azbestnih izdelkov in proizvodov, ki vsebujejo azbest, po enem letu od začetka veljavnosti zakona. Taka določba, ki prepoveduje trženje in uporabo azbesta, je tehnični predpis, ki bi ga italijanska vlada morala priglasiti v skladu s členom 8(1), prvi pododstavek, Direktive.“</w:t>
      </w:r>
    </w:p>
    <w:p w14:paraId="4C0F9A2E" w14:textId="77777777">
      <w:pPr>
        <w:spacing w:after="0" w:line="240" w:lineRule="auto"/>
      </w:pPr>
    </w:p>
    <w:p w14:paraId="6933A43F" w14:textId="3FDFB590">
      <w:pPr>
        <w:pStyle w:val="P68B1DB1-Normal13"/>
        <w:widowControl w:val="0"/>
        <w:autoSpaceDE w:val="0"/>
        <w:autoSpaceDN w:val="0"/>
        <w:spacing w:after="0" w:line="240" w:lineRule="auto"/>
        <w:jc w:val="both"/>
        <w:outlineLvl w:val="1"/>
      </w:pPr>
      <w:hyperlink r:id="rId60" w:history="1">
        <w:r>
          <w:rPr>
            <w:rStyle w:val="Hyperlink"/>
            <w:color w:val="0000FF"/>
          </w:rPr>
          <w:t xml:space="preserve">Sodba z dne 21. aprila 2005</w:t>
        </w:r>
      </w:hyperlink>
      <w:r>
        <w:t xml:space="preserve">, Lindberg, C-267/03, EU:C:2005:246, točke od 75 do 77.</w:t>
      </w:r>
      <w:bookmarkEnd w:id="101"/>
    </w:p>
    <w:p w14:paraId="7D30FB0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1BE65B" w14:textId="4B7342F7">
      <w:pPr>
        <w:pStyle w:val="P68B1DB1-Normal14"/>
        <w:widowControl w:val="0"/>
        <w:tabs>
          <w:tab w:val="left" w:pos="396"/>
          <w:tab w:val="left" w:pos="425"/>
        </w:tabs>
        <w:autoSpaceDE w:val="0"/>
        <w:autoSpaceDN w:val="0"/>
        <w:spacing w:after="0" w:line="240" w:lineRule="auto"/>
        <w:jc w:val="both"/>
      </w:pPr>
      <w:r>
        <w:t xml:space="preserve">Nacionalno prepoved nekaterih iger na srečo je mogoče opredeliti kot določbo o prepovedi, če ne dopušča nobene druge možnosti za razumno uporabo zadevnega proizvoda, razen zgolj obrobne. Nasprotno pa opredelitev kot prepoved ni odvisna od učinka prepovedi na sestavo, naravo ali trženje zadevnih proizvodov.</w:t>
      </w:r>
    </w:p>
    <w:p w14:paraId="58611995"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EBF5D94" w14:textId="0BC411D8">
      <w:pPr>
        <w:pStyle w:val="P68B1DB1-Normal15"/>
        <w:widowControl w:val="0"/>
        <w:tabs>
          <w:tab w:val="left" w:pos="396"/>
          <w:tab w:val="left" w:pos="425"/>
        </w:tabs>
        <w:autoSpaceDE w:val="0"/>
        <w:autoSpaceDN w:val="0"/>
        <w:spacing w:after="0" w:line="240" w:lineRule="auto"/>
        <w:ind w:left="567"/>
        <w:jc w:val="both"/>
      </w:pPr>
      <w:r>
        <w:t xml:space="preserve">„75. V tem oziru je pomembno, da omenjena tretja skupina tehničnih predpisov, opredeljena v členu 1, točka 9, Direktive 83/189, za razliko od druge skupine, ki jo sestavljajo druge zahteve iz člena 1, točka 3, te direktive, ne vsebuje pogoja, v skladu s katerim bi morala biti zadevna prepoved taka, da bi lahko znatno vplivala na sestavo ali značilnosti proizvoda oziroma na njegovo trženje.</w:t>
      </w:r>
    </w:p>
    <w:p w14:paraId="4E75D46D" w14:textId="77777777">
      <w:pPr>
        <w:pStyle w:val="P68B1DB1-Normal15"/>
        <w:widowControl w:val="0"/>
        <w:tabs>
          <w:tab w:val="left" w:pos="396"/>
          <w:tab w:val="left" w:pos="425"/>
        </w:tabs>
        <w:autoSpaceDE w:val="0"/>
        <w:autoSpaceDN w:val="0"/>
        <w:spacing w:after="0" w:line="240" w:lineRule="auto"/>
        <w:ind w:left="567"/>
        <w:jc w:val="both"/>
      </w:pPr>
    </w:p>
    <w:p w14:paraId="19633563" w14:textId="56C5A4E5">
      <w:pPr>
        <w:pStyle w:val="P68B1DB1-Normal15"/>
        <w:widowControl w:val="0"/>
        <w:tabs>
          <w:tab w:val="left" w:pos="396"/>
          <w:tab w:val="left" w:pos="425"/>
        </w:tabs>
        <w:autoSpaceDE w:val="0"/>
        <w:autoSpaceDN w:val="0"/>
        <w:spacing w:after="0" w:line="240" w:lineRule="auto"/>
        <w:ind w:left="567"/>
        <w:jc w:val="both"/>
      </w:pPr>
      <w:r>
        <w:t xml:space="preserve">76. Če se ta tretja skupina tehničnih predpisov nanaša predvsem na prepoved uporabe, mora iti za ukrepe, katerih obseg očitno presega omejitev določenih možnih uporab zadevnega proizvoda in ki torej niso omejeni samo na utesnjevanje uporabe le-tega.</w:t>
      </w:r>
    </w:p>
    <w:p w14:paraId="0E03DE00" w14:textId="77777777">
      <w:pPr>
        <w:pStyle w:val="P68B1DB1-Normal15"/>
        <w:widowControl w:val="0"/>
        <w:tabs>
          <w:tab w:val="left" w:pos="396"/>
          <w:tab w:val="left" w:pos="425"/>
        </w:tabs>
        <w:autoSpaceDE w:val="0"/>
        <w:autoSpaceDN w:val="0"/>
        <w:spacing w:after="0" w:line="240" w:lineRule="auto"/>
        <w:ind w:left="567"/>
        <w:jc w:val="both"/>
      </w:pPr>
    </w:p>
    <w:p w14:paraId="2FD32D99" w14:textId="6701B778">
      <w:pPr>
        <w:pStyle w:val="P68B1DB1-Normal15"/>
        <w:widowControl w:val="0"/>
        <w:tabs>
          <w:tab w:val="left" w:pos="396"/>
          <w:tab w:val="left" w:pos="425"/>
        </w:tabs>
        <w:autoSpaceDE w:val="0"/>
        <w:autoSpaceDN w:val="0"/>
        <w:spacing w:after="0" w:line="240" w:lineRule="auto"/>
        <w:ind w:left="567"/>
        <w:jc w:val="both"/>
        <w:rPr>
          <w:iCs/>
        </w:rPr>
      </w:pPr>
      <w:r>
        <w:t xml:space="preserve">77. Kot je poudaril generalni pravobranilec v točki 70 svojih sklepnih predlogov, se ta skupina tehničnih predpisov nanaša predvsem na nacionalne ukrepe, ki dovoljujejo izključno obrobno uporabo, ki se lahko razumno pričakuje od zadevnega proizvoda. Predložitveno sodišče mora preveriti, ali je prepoved iz nacionalne določbe iz postopka v glavni stvari tak ukrep.“</w:t>
      </w:r>
    </w:p>
    <w:p w14:paraId="67FF74EE"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8FE6490" w14:textId="328430DD">
      <w:pPr>
        <w:pStyle w:val="P68B1DB1-Normal13"/>
        <w:widowControl w:val="0"/>
        <w:autoSpaceDE w:val="0"/>
        <w:autoSpaceDN w:val="0"/>
        <w:spacing w:after="0" w:line="240" w:lineRule="auto"/>
        <w:jc w:val="both"/>
        <w:outlineLvl w:val="1"/>
      </w:pPr>
      <w:hyperlink r:id="rId61" w:history="1">
        <w:r>
          <w:rPr>
            <w:color w:val="0000FF"/>
            <w:u w:val="single"/>
          </w:rPr>
          <w:t xml:space="preserve">Sodba z dne 8. septembra 2005</w:t>
        </w:r>
      </w:hyperlink>
      <w:r>
        <w:t xml:space="preserve">, Lidl Italia, C-303/04, EU:C:2005:528, točki 12 in 13.</w:t>
      </w:r>
      <w:bookmarkEnd w:id="102"/>
    </w:p>
    <w:p w14:paraId="0264E5E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3D45D27" w14:textId="04452AA9">
      <w:pPr>
        <w:pStyle w:val="P68B1DB1-Normal14"/>
        <w:widowControl w:val="0"/>
        <w:tabs>
          <w:tab w:val="left" w:pos="393"/>
        </w:tabs>
        <w:autoSpaceDE w:val="0"/>
        <w:autoSpaceDN w:val="0"/>
        <w:spacing w:after="0" w:line="240" w:lineRule="auto"/>
        <w:jc w:val="both"/>
      </w:pPr>
      <w:r>
        <w:t xml:space="preserve">Nacionalna prepoved trženja izdelkov, ki niso izdelani iz določenih materialov, je določba, ki prepoveduje izdelavo in trženje izdelkov.</w:t>
      </w:r>
    </w:p>
    <w:p w14:paraId="35068EA4"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4997783D" w14:textId="60D54546">
      <w:pPr>
        <w:pStyle w:val="P68B1DB1-Normal15"/>
        <w:widowControl w:val="0"/>
        <w:tabs>
          <w:tab w:val="left" w:pos="393"/>
        </w:tabs>
        <w:autoSpaceDE w:val="0"/>
        <w:autoSpaceDN w:val="0"/>
        <w:spacing w:after="0" w:line="240" w:lineRule="auto"/>
        <w:ind w:left="567"/>
        <w:jc w:val="both"/>
      </w:pPr>
      <w:r>
        <w:t xml:space="preserve">„12. [...] v skladu s členom 1, točka 11, Direktive 98/34 je treba nacionalno določbo države članice, ki prepoveduje proizvodnjo, uvoz, trženje ali uporabo proizvoda, šteti za kategorijo tehničnih predpisov (glej sodbo z dne 12. julija 2005 v zadevi Lindberg, C-267/03, še neobjavljena v ZOdl., točka 54).</w:t>
      </w:r>
    </w:p>
    <w:p w14:paraId="52ECA4AF" w14:textId="77777777">
      <w:pPr>
        <w:pStyle w:val="P68B1DB1-Normal15"/>
        <w:widowControl w:val="0"/>
        <w:tabs>
          <w:tab w:val="left" w:pos="393"/>
        </w:tabs>
        <w:autoSpaceDE w:val="0"/>
        <w:autoSpaceDN w:val="0"/>
        <w:spacing w:after="0" w:line="240" w:lineRule="auto"/>
        <w:ind w:left="567"/>
        <w:jc w:val="both"/>
      </w:pPr>
    </w:p>
    <w:p w14:paraId="08984434" w14:textId="6B561E58">
      <w:pPr>
        <w:pStyle w:val="P68B1DB1-Normal15"/>
        <w:widowControl w:val="0"/>
        <w:tabs>
          <w:tab w:val="left" w:pos="393"/>
        </w:tabs>
        <w:autoSpaceDE w:val="0"/>
        <w:autoSpaceDN w:val="0"/>
        <w:spacing w:after="0" w:line="240" w:lineRule="auto"/>
        <w:ind w:left="567"/>
        <w:jc w:val="both"/>
        <w:rPr>
          <w:iCs/>
        </w:rPr>
      </w:pPr>
      <w:r>
        <w:t xml:space="preserve">13. V tem primeru torej zadošča ugotovitev, da je člen 19(2) Zakona št. 93/2001 taka določba. V skladu s to določbo proizvodnja in trženje vatiranih palčk, ki nimajo navedenih lastnosti, in sicer tistih, ki niso v celoti izdelane iz biološko razgradljivih materialov v skladu s standardi UNI 10785, pomenita kršitve, za katere so predpisane upravne kazni.“</w:t>
      </w:r>
    </w:p>
    <w:p w14:paraId="7E80215F"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717B4ED" w14:textId="65166FE4">
      <w:pPr>
        <w:pStyle w:val="P68B1DB1-Normal13"/>
        <w:widowControl w:val="0"/>
        <w:autoSpaceDE w:val="0"/>
        <w:autoSpaceDN w:val="0"/>
        <w:spacing w:after="0" w:line="240" w:lineRule="auto"/>
        <w:jc w:val="both"/>
        <w:outlineLvl w:val="1"/>
      </w:pPr>
      <w:hyperlink r:id="rId62" w:history="1">
        <w:r>
          <w:rPr>
            <w:color w:val="0000FF"/>
            <w:u w:val="single"/>
          </w:rPr>
          <w:t xml:space="preserve">Sodba z dne 26. oktobra 2006</w:t>
        </w:r>
      </w:hyperlink>
      <w:r>
        <w:t xml:space="preserve">, Komisija/Grčija, C-65/05, EU:C:2006:673, točka 61.</w:t>
      </w:r>
      <w:bookmarkEnd w:id="103"/>
    </w:p>
    <w:p w14:paraId="1384E7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CAE2532" w14:textId="2EC175AF">
      <w:pPr>
        <w:pStyle w:val="P68B1DB1-Normal14"/>
        <w:widowControl w:val="0"/>
        <w:tabs>
          <w:tab w:val="left" w:pos="415"/>
        </w:tabs>
        <w:autoSpaceDE w:val="0"/>
        <w:autoSpaceDN w:val="0"/>
        <w:spacing w:after="0" w:line="240" w:lineRule="auto"/>
        <w:jc w:val="both"/>
      </w:pPr>
      <w:r>
        <w:t xml:space="preserve">Za tehnične predpise je treba šteti ukrepe, ki prepovedujejo namestitev vseh električnih ali elektronskih igralnih naprav zunaj igralnic in uporabo računalniških iger v podjetjih, ki zagotavljajo internetne storitve, ter pogojevanje upravljanja takih podjetij z izdajo posebnega dovoljenja.</w:t>
      </w:r>
    </w:p>
    <w:p w14:paraId="6FD5D3A4" w14:textId="77777777">
      <w:pPr>
        <w:widowControl w:val="0"/>
        <w:tabs>
          <w:tab w:val="left" w:pos="415"/>
        </w:tabs>
        <w:autoSpaceDE w:val="0"/>
        <w:autoSpaceDN w:val="0"/>
        <w:spacing w:after="0" w:line="240" w:lineRule="auto"/>
        <w:jc w:val="both"/>
        <w:rPr>
          <w:rFonts w:ascii="Times New Roman" w:hAnsi="Times New Roman" w:cs="Times New Roman" w:eastAsia="Times New Roman"/>
          <w:szCs w:val="20"/>
        </w:rPr>
      </w:pPr>
    </w:p>
    <w:p w14:paraId="79252ABE" w14:textId="0E924053">
      <w:pPr>
        <w:pStyle w:val="P68B1DB1-Normal15"/>
        <w:widowControl w:val="0"/>
        <w:tabs>
          <w:tab w:val="left" w:pos="415"/>
        </w:tabs>
        <w:autoSpaceDE w:val="0"/>
        <w:autoSpaceDN w:val="0"/>
        <w:spacing w:after="0" w:line="240" w:lineRule="auto"/>
        <w:ind w:left="567"/>
        <w:jc w:val="both"/>
        <w:rPr>
          <w:iCs/>
        </w:rPr>
      </w:pPr>
      <w:r>
        <w:t>„</w:t>
      </w:r>
      <w:bookmarkStart w:id="104" w:name="point61"/>
      <w:r>
        <w:t>61</w:t>
      </w:r>
      <w:bookmarkEnd w:id="104"/>
      <w:r>
        <w:t xml:space="preserve">. za tehnične predpise v smislu člena 1, točka 11, Direktive 98/34 je treba šteti ukrepe, kot so ti, določeni v členih 2(1) in 3 zakona št. 3037/2002, ki prepovedujejo namestitev vseh električnih, elektromehanskih in elektronskih iger, vključno z vsemi računalniškimi igrami, v vseh javnih in zasebnih prostorih, razen v igralnicah, ter uporabo iger na računalnikih v podjetjih, ki zagotavljajo internetne storitve, in za upravljanje takih podjetij potrebujejo posebno dovoljenje (glej v tem smislu sodbo z dne 12. julija 2005 v zadevi</w:t>
        <w:noBreakHyphen/>
        <w:t xml:space="preserve">Lindberg, C 267/03, ZOdl., str. I</w:t>
        <w:noBreakHyphen/>
        <w:t>3247).“</w:t>
      </w:r>
    </w:p>
    <w:p w14:paraId="0089E684"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03A587DA" w14:textId="394DDB7B">
      <w:pPr>
        <w:pStyle w:val="P68B1DB1-Normal13"/>
        <w:widowControl w:val="0"/>
        <w:autoSpaceDE w:val="0"/>
        <w:autoSpaceDN w:val="0"/>
        <w:spacing w:after="0" w:line="240" w:lineRule="auto"/>
        <w:jc w:val="both"/>
        <w:outlineLvl w:val="1"/>
      </w:pPr>
      <w:hyperlink r:id="rId63" w:history="1">
        <w:r>
          <w:rPr>
            <w:color w:val="0000FF"/>
            <w:u w:val="single"/>
          </w:rPr>
          <w:t xml:space="preserve">Sodba z dne 19. julija 2012</w:t>
        </w:r>
      </w:hyperlink>
      <w:r>
        <w:t xml:space="preserve">, Fortuna in drugi, C-213/11, C-214/11 in C-217/11, EU:C:2012:495, točki 24 in 25.</w:t>
      </w:r>
      <w:bookmarkEnd w:id="105"/>
    </w:p>
    <w:p w14:paraId="005978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7C6309" w14:textId="4A0E435F">
      <w:pPr>
        <w:pStyle w:val="P68B1DB1-Normal14"/>
        <w:widowControl w:val="0"/>
        <w:tabs>
          <w:tab w:val="left" w:pos="451"/>
        </w:tabs>
        <w:autoSpaceDE w:val="0"/>
        <w:autoSpaceDN w:val="0"/>
        <w:spacing w:after="0" w:line="240" w:lineRule="auto"/>
        <w:jc w:val="both"/>
      </w:pPr>
      <w:r>
        <w:t xml:space="preserve">Ukrep prepovedi uporabe igralnih avtomatov zunaj igralnic je treba opredeliti kot „tehnični predpis“.</w:t>
      </w:r>
    </w:p>
    <w:p w14:paraId="55F00ED6" w14:textId="77777777">
      <w:pPr>
        <w:widowControl w:val="0"/>
        <w:tabs>
          <w:tab w:val="left" w:pos="451"/>
        </w:tabs>
        <w:autoSpaceDE w:val="0"/>
        <w:autoSpaceDN w:val="0"/>
        <w:spacing w:after="0" w:line="240" w:lineRule="auto"/>
        <w:jc w:val="both"/>
        <w:rPr>
          <w:rFonts w:ascii="Times New Roman" w:hAnsi="Times New Roman" w:cs="Times New Roman" w:eastAsia="Times New Roman"/>
          <w:szCs w:val="20"/>
        </w:rPr>
      </w:pPr>
    </w:p>
    <w:p w14:paraId="4C7F2437" w14:textId="071474DD">
      <w:pPr>
        <w:pStyle w:val="P68B1DB1-Normal15"/>
        <w:widowControl w:val="0"/>
        <w:tabs>
          <w:tab w:val="left" w:pos="451"/>
        </w:tabs>
        <w:autoSpaceDE w:val="0"/>
        <w:autoSpaceDN w:val="0"/>
        <w:spacing w:after="0" w:line="240" w:lineRule="auto"/>
        <w:ind w:left="567"/>
        <w:jc w:val="both"/>
      </w:pPr>
      <w:r>
        <w:t xml:space="preserve">„24. [...] sodišče je že razsodilo, da je treba ukrepe, ki prepovedujejo uporabo vseh električnih, elektromehanskih in elektronskih iger v vseh javnih in zasebnih prostorih, razen v igralnicah, šteti za tehnične predpise v smislu člena 1, točka 11, Direktive 98/34 (sodba z dne 12. decembra 2006 v zadevi Komisija proti Grčiji, C-65/05, ZOdl., str. I-10341, točka 61).</w:t>
      </w:r>
    </w:p>
    <w:p w14:paraId="449D41B3" w14:textId="77777777">
      <w:pPr>
        <w:pStyle w:val="P68B1DB1-Normal15"/>
        <w:widowControl w:val="0"/>
        <w:tabs>
          <w:tab w:val="left" w:pos="451"/>
        </w:tabs>
        <w:autoSpaceDE w:val="0"/>
        <w:autoSpaceDN w:val="0"/>
        <w:spacing w:after="0" w:line="240" w:lineRule="auto"/>
        <w:ind w:left="567"/>
        <w:jc w:val="both"/>
      </w:pPr>
    </w:p>
    <w:p w14:paraId="19795D70" w14:textId="79DBEA4A">
      <w:pPr>
        <w:pStyle w:val="P68B1DB1-Normal15"/>
        <w:widowControl w:val="0"/>
        <w:tabs>
          <w:tab w:val="left" w:pos="451"/>
        </w:tabs>
        <w:autoSpaceDE w:val="0"/>
        <w:autoSpaceDN w:val="0"/>
        <w:spacing w:after="0" w:line="240" w:lineRule="auto"/>
        <w:ind w:left="567"/>
        <w:jc w:val="both"/>
        <w:rPr>
          <w:iCs/>
        </w:rPr>
      </w:pPr>
      <w:r>
        <w:t xml:space="preserve">25. Zato je treba ukrep, kot je člen 14(1) zakona o igrah na srečo, ki dovoljuje prirejanje iger na igralnih avtomatih samo igralnicam, opredeliti kot „tehnični predpis“ v smislu člena 1, točka 11, Direktive 98/34.“</w:t>
      </w:r>
    </w:p>
    <w:p w14:paraId="4A0CD426" w14:textId="77777777">
      <w:pPr>
        <w:spacing w:after="0" w:line="240" w:lineRule="auto"/>
      </w:pPr>
    </w:p>
    <w:p w14:paraId="1675A539" w14:textId="6C824499">
      <w:pPr>
        <w:pStyle w:val="P68B1DB1-Normal13"/>
        <w:widowControl w:val="0"/>
        <w:autoSpaceDE w:val="0"/>
        <w:autoSpaceDN w:val="0"/>
        <w:spacing w:after="0" w:line="240" w:lineRule="auto"/>
        <w:jc w:val="both"/>
        <w:outlineLvl w:val="1"/>
      </w:pPr>
      <w:hyperlink r:id="rId64" w:history="1">
        <w:r>
          <w:rPr>
            <w:color w:val="0000FF"/>
            <w:u w:val="single"/>
          </w:rPr>
          <w:t xml:space="preserve">Sodba z dne 27. oktobra 2016</w:t>
        </w:r>
      </w:hyperlink>
      <w:r>
        <w:t xml:space="preserve">, James Elliott Construction, C-613/14, EU:C:2016:821, točka 70.</w:t>
      </w:r>
      <w:bookmarkEnd w:id="106"/>
    </w:p>
    <w:p w14:paraId="3A50454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D45187" w14:textId="07CFD998">
      <w:pPr>
        <w:widowControl w:val="0"/>
        <w:tabs>
          <w:tab w:val="left" w:pos="430"/>
        </w:tabs>
        <w:autoSpaceDE w:val="0"/>
        <w:autoSpaceDN w:val="0"/>
        <w:spacing w:after="0" w:line="240" w:lineRule="auto"/>
        <w:jc w:val="both"/>
        <w:rPr>
          <w:rFonts w:ascii="Times New Roman" w:hAnsi="Times New Roman" w:cs="Times New Roman" w:eastAsia="Times New Roman"/>
          <w:szCs w:val="20"/>
        </w:rPr>
        <w:pStyle w:val="P68B1DB1-Normal14"/>
      </w:pPr>
      <w:r>
        <w:t xml:space="preserve">Nacionalne določbe, ki določajo implicitne pogodbene pogoje glede prodajne kakovosti, primernosti za uporabo ali splošne kakovosti prodanih proizvodov, ne pomenijo določb o prepovedi.</w:t>
      </w:r>
    </w:p>
    <w:p w14:paraId="399B39AC" w14:textId="77777777">
      <w:pPr>
        <w:widowControl w:val="0"/>
        <w:tabs>
          <w:tab w:val="left" w:pos="430"/>
        </w:tabs>
        <w:autoSpaceDE w:val="0"/>
        <w:autoSpaceDN w:val="0"/>
        <w:spacing w:after="0" w:line="240" w:lineRule="auto"/>
        <w:jc w:val="both"/>
        <w:rPr>
          <w:rFonts w:ascii="Times New Roman" w:hAnsi="Times New Roman" w:cs="Times New Roman" w:eastAsia="Times New Roman"/>
          <w:i/>
          <w:iCs/>
          <w:sz w:val="20"/>
          <w:szCs w:val="16"/>
        </w:rPr>
      </w:pPr>
    </w:p>
    <w:p w14:paraId="03484B57" w14:textId="639C0DF2">
      <w:pPr>
        <w:pStyle w:val="P68B1DB1-Normal15"/>
        <w:widowControl w:val="0"/>
        <w:tabs>
          <w:tab w:val="left" w:pos="430"/>
        </w:tabs>
        <w:autoSpaceDE w:val="0"/>
        <w:autoSpaceDN w:val="0"/>
        <w:spacing w:after="0" w:line="240" w:lineRule="auto"/>
        <w:ind w:left="567"/>
        <w:jc w:val="both"/>
        <w:rPr>
          <w:iCs/>
        </w:rPr>
      </w:pPr>
      <w:r>
        <w:t>„</w:t>
      </w:r>
      <w:bookmarkStart w:id="107" w:name="point70"/>
      <w:r>
        <w:t>70</w:t>
      </w:r>
      <w:bookmarkEnd w:id="107"/>
      <w:r>
        <w:t xml:space="preserve">. [...] ureditev iz postopka v glavni stvari ne spada na področje uporabe tehničnih predpisov iz člena 1, točka 11, Direktive 98/34, ker s tem, da zgolj določa implicitne pogodbene zahteve, ne vsebuje nobene prepovedi v smislu te direktive proizvodnje, uvoza, trženja ali uporabe proizvoda, opravljanja ali uporabe storitve ali ustanovitve ponudnika storitev.“</w:t>
      </w:r>
    </w:p>
    <w:p w14:paraId="444E99F8" w14:textId="77777777">
      <w:pPr>
        <w:spacing w:after="0" w:line="240" w:lineRule="auto"/>
      </w:pPr>
    </w:p>
    <w:p w14:paraId="178807FF" w14:textId="18545DE8">
      <w:pPr>
        <w:pStyle w:val="P68B1DB1-Normal13"/>
        <w:widowControl w:val="0"/>
        <w:autoSpaceDE w:val="0"/>
        <w:autoSpaceDN w:val="0"/>
        <w:spacing w:after="0" w:line="240" w:lineRule="auto"/>
        <w:jc w:val="both"/>
        <w:outlineLvl w:val="1"/>
      </w:pPr>
      <w:hyperlink r:id="rId65" w:anchor="ctx1" w:history="1">
        <w:r>
          <w:rPr>
            <w:color w:val="0000FF"/>
            <w:u w:val="single"/>
          </w:rPr>
          <w:t xml:space="preserve">Sodba z dne 28. maja 2020</w:t>
        </w:r>
      </w:hyperlink>
      <w:r>
        <w:t xml:space="preserve">, ECO-WIND Construction, C-727/17, EU:C:2020:393, točke od 45 do 47.</w:t>
      </w:r>
      <w:bookmarkEnd w:id="108"/>
    </w:p>
    <w:p w14:paraId="58A77184" w14:textId="77777777">
      <w:pPr>
        <w:widowControl w:val="0"/>
        <w:autoSpaceDE w:val="0"/>
        <w:autoSpaceDN w:val="0"/>
        <w:spacing w:after="0" w:line="240" w:lineRule="auto"/>
        <w:jc w:val="both"/>
        <w:rPr>
          <w:rFonts w:ascii="Times New Roman" w:hAnsi="Times New Roman" w:cs="Times New Roman" w:eastAsia="Times New Roman"/>
          <w:szCs w:val="20"/>
        </w:rPr>
      </w:pPr>
    </w:p>
    <w:p w14:paraId="2ABAB16B" w14:textId="5B45D2BF">
      <w:pPr>
        <w:pStyle w:val="P68B1DB1-Normal14"/>
        <w:widowControl w:val="0"/>
        <w:autoSpaceDE w:val="0"/>
        <w:autoSpaceDN w:val="0"/>
        <w:spacing w:after="0" w:line="240" w:lineRule="auto"/>
        <w:jc w:val="both"/>
      </w:pPr>
      <w:r>
        <w:t xml:space="preserve">Zakonodaja, ki določa najmanjšo razdaljo za postavitev vetrnih turbin, ne pomeni prepovedi proizvodnje, uvoza, trženja ali uporabe proizvoda, razen če vsebuje dejansko prepoved trženja vetrnih turbin, pri čemer ni prostora za kakršno koli uporabo vetrnih turbin, razen zgolj obrobne.</w:t>
      </w:r>
    </w:p>
    <w:p w14:paraId="57350EE4" w14:textId="77777777">
      <w:pPr>
        <w:pStyle w:val="BodyText"/>
        <w:jc w:val="left"/>
      </w:pPr>
    </w:p>
    <w:p w14:paraId="671DACC6" w14:textId="1CB89713">
      <w:pPr>
        <w:pStyle w:val="P68B1DB1-BodyText19"/>
        <w:ind w:left="567"/>
        <w:rPr>
          <w:iCs/>
        </w:rPr>
      </w:pPr>
      <w:r>
        <w:t xml:space="preserve">„45. Ta kategorija predpostavlja, da ima zadevni ukrep obseg, ki očitno presega omejitev nekaterih uporab zadevnega proizvoda, in da ni omejen zgolj na omejitev njegove uporabe (sodbi z dne 21. aprila 2005, Lindberg, C-267/03, EU:C:2005:246, točka 76, in z dne 19. julija 2012, Fortuna in drugi, C-213/11, C-214/11 in C-217/11, EU:C:2012:495, točka 31).</w:t>
      </w:r>
    </w:p>
    <w:p w14:paraId="787A0A4F" w14:textId="77777777">
      <w:pPr>
        <w:pStyle w:val="P68B1DB1-BodyText19"/>
        <w:ind w:left="567"/>
        <w:rPr>
          <w:iCs/>
        </w:rPr>
      </w:pPr>
    </w:p>
    <w:p w14:paraId="7CEA657E" w14:textId="35F61E5B">
      <w:pPr>
        <w:pStyle w:val="P68B1DB1-BodyText19"/>
        <w:ind w:left="567"/>
        <w:rPr>
          <w:iCs/>
        </w:rPr>
      </w:pPr>
      <w:r>
        <w:t xml:space="preserve">46. Navedena kategorija se namreč natančneje nanaša na nacionalne ukrepe, ki dopuščajo le obrobno uporabo, ki jo je mogoče razumno pričakovati za zadevni proizvod (sodbi z dne 21. aprila 2005, Lindberg, C-267/03, EU:C:2005:246, točka 77, in z dne 19. julija 2012, Fortuna in drugi, C-213/11, C-214/11 in C-217/11, EU:C:2012:495, točka 32).</w:t>
      </w:r>
    </w:p>
    <w:p w14:paraId="47448916" w14:textId="77777777">
      <w:pPr>
        <w:pStyle w:val="P68B1DB1-BodyText19"/>
        <w:ind w:left="567"/>
        <w:rPr>
          <w:iCs/>
        </w:rPr>
      </w:pPr>
    </w:p>
    <w:p w14:paraId="6508CA59" w14:textId="00D7F268">
      <w:pPr>
        <w:pStyle w:val="P68B1DB1-BodyText19"/>
        <w:ind w:left="567"/>
        <w:rPr>
          <w:iCs/>
        </w:rPr>
      </w:pPr>
      <w:r>
        <w:t xml:space="preserve">47. V obravnavanem primeru, čeprav zahteva, da je namestitev vetrne elektrarne pogojena s spoštovanjem pogoja najmanjše razdalje med to vetrno turbino in stavbami s stanovanjsko funkcijo, ki ga določa nacionalna ureditev iz postopka v glavni stvari, sicer res vključuje prepoved namestitve vetrne turbine na razdalji, ki je manjša od desetkratne skupne višine načrtovane naprave od vsake stavbe s stanovanjsko funkcijo, je treba ugotoviti, da ta zakonodaja gospodarskim subjektom ne prepoveduje nadaljnje nameščanja vetrnih turbin ter s tem uporabe in trženja vetrnih elektrarn.“</w:t>
      </w:r>
    </w:p>
    <w:p w14:paraId="17B77596" w14:textId="77777777">
      <w:pPr>
        <w:pStyle w:val="P68B1DB1-Normal4"/>
        <w:spacing w:after="0" w:line="240" w:lineRule="auto"/>
        <w:rPr>
          <w:rFonts w:ascii="Times New Roman" w:hAnsi="Times New Roman" w:cs="Times New Roman" w:eastAsia="Times New Roman"/>
          <w:i/>
          <w:iCs/>
          <w:szCs w:val="20"/>
        </w:rPr>
      </w:pPr>
      <w:r>
        <w:br w:type="page"/>
      </w:r>
    </w:p>
    <w:p w14:paraId="235FB3C0" w14:textId="44F6C5C7">
      <w:pPr>
        <w:pStyle w:val="P68B1DB1-Heading24"/>
        <w:numPr>
          <w:ilvl w:val="0"/>
          <w:numId w:val="35"/>
        </w:numPr>
        <w:spacing w:before="0" w:after="0"/>
        <w:jc w:val="center"/>
        <w:rPr>
          <w:bCs/>
          <w:color w:val="auto"/>
        </w:rPr>
      </w:pPr>
      <w:bookmarkStart w:id="109" w:name="_Ref194484603"/>
      <w:bookmarkStart w:id="110" w:name="_Toc203035671"/>
      <w:r>
        <w:t xml:space="preserve">Tehnični predpisi de Facto</w:t>
      </w:r>
      <w:bookmarkEnd w:id="109"/>
      <w:bookmarkEnd w:id="110"/>
    </w:p>
    <w:p w14:paraId="297F85EC" w14:textId="77777777">
      <w:pPr>
        <w:pStyle w:val="BodyText"/>
      </w:pPr>
    </w:p>
    <w:p w14:paraId="6C908457" w14:textId="3B825828">
      <w:pPr>
        <w:pStyle w:val="P68B1DB1-BodyText11"/>
        <w:ind w:left="567"/>
        <w:rPr>
          <w:i/>
        </w:rPr>
      </w:pPr>
      <w:r>
        <w:t xml:space="preserve">„Dejanski tehnični predpisi vključujejo: </w:t>
      </w:r>
    </w:p>
    <w:p w14:paraId="277715A6" w14:textId="77777777">
      <w:pPr>
        <w:pStyle w:val="BodyText"/>
        <w:ind w:left="567"/>
        <w:rPr>
          <w:i/>
        </w:rPr>
      </w:pPr>
    </w:p>
    <w:p w14:paraId="28BCD2BD" w14:textId="757EEC79">
      <w:pPr>
        <w:pStyle w:val="P68B1DB1-BodyText11"/>
        <w:numPr>
          <w:ilvl w:val="0"/>
          <w:numId w:val="31"/>
        </w:numPr>
        <w:rPr>
          <w:i/>
        </w:rPr>
      </w:pPr>
      <w:r>
        <w:t xml:space="preserve">zakone, predpise ali upravne določbe države članice, ki urejajo tehnične specifikacije ali druge zahteve ali pravila o storitvah ali poklicne kodekse ali kodekse ravnanja, ki pa se nanašajo na tehnične specifikacije ali druge zahteve ali na pravila o storitvah, skladnost s katerimi ustvarja domnevo o skladnosti z obveznostmi, ki jih nalagajo zgoraj navedeni zakoni, predpisi ali upravne določbe; </w:t>
      </w:r>
    </w:p>
    <w:p w14:paraId="32E4257D" w14:textId="77777777">
      <w:pPr>
        <w:pStyle w:val="BodyText"/>
        <w:ind w:left="1287"/>
        <w:rPr>
          <w:i/>
        </w:rPr>
      </w:pPr>
    </w:p>
    <w:p w14:paraId="5E0B6B62" w14:textId="2D5EF06C">
      <w:pPr>
        <w:pStyle w:val="P68B1DB1-BodyText11"/>
        <w:numPr>
          <w:ilvl w:val="0"/>
          <w:numId w:val="31"/>
        </w:numPr>
        <w:rPr>
          <w:i/>
        </w:rPr>
      </w:pPr>
      <w:r>
        <w:t xml:space="preserve">prostovoljne dogovore, pri katerih je pogodbena stranka državni organ in ki v javnem interesu zagotavljajo skladnost s tehničnimi specifikacijami ali drugimi zahtevami ali pravili o storitvah, razen predpisov v zvezi z javnimi naročili; </w:t>
      </w:r>
    </w:p>
    <w:p w14:paraId="4BEF10A9" w14:textId="77777777">
      <w:pPr>
        <w:pStyle w:val="BodyText"/>
        <w:rPr>
          <w:i/>
        </w:rPr>
      </w:pPr>
    </w:p>
    <w:p w14:paraId="5C79F6B1" w14:textId="7967F579">
      <w:pPr>
        <w:pStyle w:val="P68B1DB1-BodyText11"/>
        <w:numPr>
          <w:ilvl w:val="0"/>
          <w:numId w:val="31"/>
        </w:numPr>
        <w:rPr>
          <w:i/>
        </w:rPr>
      </w:pPr>
      <w:r>
        <w:t xml:space="preserve">tehnične specifikacije ali druge zahteve ali predpisi o storitvah, povezanih z davčnimi ali finančnimi ukrepi, ki vplivajo na porabo izdelkov ali storitev s spodbujanjem skladnosti s takimi tehničnimi specifikacijami ali drugimi zahtevami ali predpisi o storitvah; tehnične specifikacije ali druge zahteve ali predpisi o storitvah, povezanih s nacionalnimi sistemi socialne varnosti, niso vključeni. </w:t>
      </w:r>
    </w:p>
    <w:p w14:paraId="712A28B1" w14:textId="77777777">
      <w:pPr>
        <w:pStyle w:val="BodyText"/>
        <w:rPr>
          <w:i/>
        </w:rPr>
      </w:pPr>
    </w:p>
    <w:p w14:paraId="24545D3F" w14:textId="615DFC82">
      <w:pPr>
        <w:pStyle w:val="P68B1DB1-BodyText11"/>
        <w:ind w:left="567"/>
        <w:rPr>
          <w:i/>
        </w:rPr>
      </w:pPr>
      <w:r>
        <w:t xml:space="preserve">To vključuje tehnične predpise, ki jih predpišejo organi, ki jih imenujejo države članice, in so navedeni na seznamu, ki ga sestavi in po potrebi posodablja Komisija v okviru odbora iz člena 2.“</w:t>
      </w:r>
    </w:p>
    <w:p w14:paraId="5E87FB40" w14:textId="77777777">
      <w:pPr>
        <w:pStyle w:val="BodyText"/>
        <w:ind w:left="567"/>
        <w:rPr>
          <w:i/>
        </w:rPr>
      </w:pPr>
    </w:p>
    <w:p w14:paraId="5389ED96" w14:textId="0CBC1966">
      <w:pPr>
        <w:pStyle w:val="BodyText"/>
        <w:jc w:val="right"/>
      </w:pPr>
      <w:r>
        <w:t xml:space="preserve">(člen 1(1)(f), drugi in tretji stavek, Direktive (EU) 2015/1535)</w:t>
      </w:r>
    </w:p>
    <w:p w14:paraId="1343FCC6" w14:textId="77777777">
      <w:pPr>
        <w:pStyle w:val="BodyText"/>
        <w:ind w:left="567"/>
        <w:rPr>
          <w:i/>
          <w:iCs/>
          <w:sz w:val="20"/>
        </w:rPr>
      </w:pPr>
    </w:p>
    <w:p w14:paraId="46B01CEE" w14:textId="37C6A676">
      <w:pPr>
        <w:pStyle w:val="P68B1DB1-Normal13"/>
        <w:widowControl w:val="0"/>
        <w:autoSpaceDE w:val="0"/>
        <w:autoSpaceDN w:val="0"/>
        <w:spacing w:after="0" w:line="240" w:lineRule="auto"/>
        <w:jc w:val="both"/>
        <w:outlineLvl w:val="1"/>
      </w:pPr>
      <w:hyperlink r:id="rId66" w:history="1">
        <w:r>
          <w:rPr>
            <w:color w:val="0000FF"/>
            <w:u w:val="single"/>
          </w:rPr>
          <w:t xml:space="preserve">Sodba z dne 20. marca 1997</w:t>
        </w:r>
      </w:hyperlink>
      <w:r>
        <w:t xml:space="preserve">, Bic Benelux, C-13/96, EU:C:1997:173, točke od 23 do 25</w:t>
      </w:r>
      <w:bookmarkEnd w:id="111"/>
    </w:p>
    <w:p w14:paraId="6D52B9D0"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19AF5B39" w14:textId="5DD94CEA">
      <w:pPr>
        <w:pStyle w:val="P68B1DB1-Normal14"/>
        <w:widowControl w:val="0"/>
        <w:tabs>
          <w:tab w:val="left" w:pos="396"/>
          <w:tab w:val="left" w:pos="400"/>
        </w:tabs>
        <w:autoSpaceDE w:val="0"/>
        <w:autoSpaceDN w:val="0"/>
        <w:spacing w:after="0" w:line="240" w:lineRule="auto"/>
        <w:jc w:val="both"/>
      </w:pPr>
      <w:r>
        <w:t xml:space="preserve">Zahteva glede označevanja, ki je namenjena obveščanju potrošnika o okoljskem odtisu nekaterih izdelkov in je povezana z dajatvijo, vendar pomeni tehnično specifikacijo. Ni mogoče šteti, da je izključno „povezana z davčnim ukrepom“, in zato ne spada v opredelitev „de facto tehničnih predpisov“.</w:t>
      </w:r>
    </w:p>
    <w:p w14:paraId="34416FD0" w14:textId="77777777">
      <w:pPr>
        <w:pStyle w:val="P68B1DB1-Normal15"/>
        <w:widowControl w:val="0"/>
        <w:autoSpaceDE w:val="0"/>
        <w:autoSpaceDN w:val="0"/>
        <w:spacing w:after="0" w:line="240" w:lineRule="auto"/>
        <w:jc w:val="both"/>
      </w:pPr>
    </w:p>
    <w:p w14:paraId="308DB606" w14:textId="777B30B5">
      <w:pPr>
        <w:pStyle w:val="P68B1DB1-Normal15"/>
        <w:widowControl w:val="0"/>
        <w:autoSpaceDE w:val="0"/>
        <w:autoSpaceDN w:val="0"/>
        <w:spacing w:after="0" w:line="240" w:lineRule="auto"/>
        <w:ind w:left="510"/>
        <w:jc w:val="both"/>
      </w:pPr>
      <w:r>
        <w:t xml:space="preserve">„23. [...] prvič, zahteva po označevanju, ki se obravnava v postopku v glavni stvari, je v skladu z opredelitvijo iz člena 1(5) Direktive 83/189 de jure tehnični predpis, ker je njegovo „upoštevanje [...] obvezno [...] v primeru trženja“ zadevnega proizvoda in ker je v skladu z opredelitvijo iz člena 1(1) tehnična specifikacija, saj ta predpis opredeljuje „zahteve, ki se zahtevajo za proizvod, kot so [...] zahteve, ki veljajo za proizvod v zvezi z [...] označevanjem ali etiketiranjem“. </w:t>
      </w:r>
    </w:p>
    <w:p w14:paraId="05172C30" w14:textId="77777777">
      <w:pPr>
        <w:pStyle w:val="P68B1DB1-Normal15"/>
        <w:widowControl w:val="0"/>
        <w:autoSpaceDE w:val="0"/>
        <w:autoSpaceDN w:val="0"/>
        <w:spacing w:after="0" w:line="240" w:lineRule="auto"/>
        <w:ind w:left="510"/>
        <w:jc w:val="both"/>
      </w:pPr>
    </w:p>
    <w:p w14:paraId="136F7452" w14:textId="4C08810C">
      <w:pPr>
        <w:pStyle w:val="P68B1DB1-Normal15"/>
        <w:widowControl w:val="0"/>
        <w:autoSpaceDE w:val="0"/>
        <w:autoSpaceDN w:val="0"/>
        <w:spacing w:after="0" w:line="240" w:lineRule="auto"/>
        <w:ind w:left="510"/>
        <w:jc w:val="both"/>
      </w:pPr>
      <w:r>
        <w:t xml:space="preserve">24. Drugič, zadevna znamka je namenjena obveščanju javnosti med drugim o vplivih proizvodov na okolje, belgijska vlada pa je potrdila pomen, ki ga je treba pripisati temu vidiku pravil o označevanju. Cilj okoljske dajatve, ki je varstvo okolja, je tako okrepljen z označevanjem, ki tako kot drugo okoljsko označevanje, ne glede na to, ali je povezano z okoljsko dajatvijo ali ne, potrošnike opozarja na škodljive učinke zadevnih izdelkov na okolje. </w:t>
      </w:r>
    </w:p>
    <w:p w14:paraId="630640E3" w14:textId="77777777">
      <w:pPr>
        <w:pStyle w:val="P68B1DB1-Normal15"/>
        <w:widowControl w:val="0"/>
        <w:autoSpaceDE w:val="0"/>
        <w:autoSpaceDN w:val="0"/>
        <w:spacing w:after="0" w:line="240" w:lineRule="auto"/>
        <w:ind w:left="510"/>
        <w:jc w:val="both"/>
      </w:pPr>
    </w:p>
    <w:p w14:paraId="2F553F93" w14:textId="7D4B80F2">
      <w:pPr>
        <w:pStyle w:val="P68B1DB1-Normal15"/>
        <w:widowControl w:val="0"/>
        <w:autoSpaceDE w:val="0"/>
        <w:autoSpaceDN w:val="0"/>
        <w:spacing w:after="0" w:line="240" w:lineRule="auto"/>
        <w:ind w:left="510"/>
        <w:jc w:val="both"/>
      </w:pPr>
      <w:r>
        <w:t xml:space="preserve">25. Ker zadevne zahteve glede označevanja nikakor ni mogoče šteti za izključno spremljevalni davčni ukrep, torej ne pomeni zahteve, povezane z davčnim ukrepom v smislu člena 1(9), drugi pododstavek, tretja alinea, Direktive 83/189, kakor je bila spremenjena z Direktivo 94/10.“</w:t>
      </w:r>
    </w:p>
    <w:p w14:paraId="2A051963" w14:textId="77777777">
      <w:pPr>
        <w:pStyle w:val="BodyText"/>
        <w:rPr>
          <w:i/>
          <w:iCs/>
          <w:sz w:val="20"/>
        </w:rPr>
      </w:pPr>
    </w:p>
    <w:p w14:paraId="0C96C56C" w14:textId="48164FB1">
      <w:pPr>
        <w:pStyle w:val="P68B1DB1-Normal14"/>
        <w:widowControl w:val="0"/>
        <w:autoSpaceDE w:val="0"/>
        <w:autoSpaceDN w:val="0"/>
        <w:spacing w:after="0" w:line="240" w:lineRule="auto"/>
        <w:jc w:val="both"/>
        <w:outlineLvl w:val="1"/>
        <w:rPr>
          <w:b/>
          <w:i/>
        </w:rPr>
      </w:pPr>
      <w:hyperlink r:id="rId67" w:history="1">
        <w:r>
          <w:rPr>
            <w:b/>
            <w:i/>
            <w:color w:val="0000FF"/>
            <w:u w:val="single"/>
          </w:rPr>
          <w:t xml:space="preserve">Sodba z dne 10. julija 2014,</w:t>
        </w:r>
      </w:hyperlink>
      <w:r>
        <w:rPr>
          <w:b/>
          <w:i/>
        </w:rPr>
        <w:t xml:space="preserve"> Ivansson in drugi</w:t>
      </w:r>
      <w:r>
        <w:rPr>
          <w:sz w:val="25"/>
        </w:rPr>
        <w:t>,</w:t>
      </w:r>
      <w:r>
        <w:rPr>
          <w:b/>
          <w:i/>
        </w:rPr>
        <w:t xml:space="preserve"> C-307/13, EU:C:2014:2058, točki 30 in 31</w:t>
      </w:r>
      <w:bookmarkEnd w:id="112"/>
    </w:p>
    <w:p w14:paraId="0F2071D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BC0205" w14:textId="0A761A08">
      <w:pPr>
        <w:pStyle w:val="P68B1DB1-Normal14"/>
        <w:widowControl w:val="0"/>
        <w:tabs>
          <w:tab w:val="left" w:pos="396"/>
          <w:tab w:val="left" w:pos="407"/>
        </w:tabs>
        <w:autoSpaceDE w:val="0"/>
        <w:autoSpaceDN w:val="0"/>
        <w:spacing w:after="0" w:line="240" w:lineRule="auto"/>
        <w:jc w:val="both"/>
      </w:pPr>
      <w:r>
        <w:t xml:space="preserve">S sklicevanjem na podrobna upravna pravila, ki vsebujejo „tehnične specifikacije“ ali „druge zahteve“, se lahko osnutku zakona podeli status „dejanskega tehničnega predpisa“.</w:t>
      </w:r>
    </w:p>
    <w:p w14:paraId="49A66D81" w14:textId="77777777">
      <w:pPr>
        <w:widowControl w:val="0"/>
        <w:tabs>
          <w:tab w:val="left" w:pos="396"/>
          <w:tab w:val="left" w:pos="407"/>
        </w:tabs>
        <w:autoSpaceDE w:val="0"/>
        <w:autoSpaceDN w:val="0"/>
        <w:spacing w:after="0" w:line="240" w:lineRule="auto"/>
        <w:jc w:val="both"/>
        <w:rPr>
          <w:rFonts w:ascii="Times New Roman" w:hAnsi="Times New Roman" w:cs="Times New Roman" w:eastAsia="Times New Roman"/>
          <w:szCs w:val="20"/>
        </w:rPr>
      </w:pPr>
    </w:p>
    <w:p w14:paraId="5AA4573D" w14:textId="6BC7CE32">
      <w:pPr>
        <w:pStyle w:val="P68B1DB1-Normal15"/>
        <w:widowControl w:val="0"/>
        <w:tabs>
          <w:tab w:val="left" w:pos="396"/>
          <w:tab w:val="left" w:pos="407"/>
        </w:tabs>
        <w:autoSpaceDE w:val="0"/>
        <w:autoSpaceDN w:val="0"/>
        <w:spacing w:after="0" w:line="240" w:lineRule="auto"/>
        <w:ind w:left="567"/>
        <w:jc w:val="both"/>
        <w:rPr>
          <w:iCs/>
        </w:rPr>
      </w:pPr>
      <w:r>
        <w:t xml:space="preserve">„30. [...] ugotoviti je treba, da čeprav ta odstavek </w:t>
      </w:r>
      <w:r>
        <w:rPr>
          <w:i w:val="0"/>
        </w:rPr>
        <w:t xml:space="preserve">[nacionalnega zakona]</w:t>
      </w:r>
      <w:r>
        <w:t xml:space="preserve"> sam po sebi ni tehnični predpis, se v drugem pododstavku sklicuje na dodatne določbe v zvezi z rejo kokoši, ki bi jih pozneje sporočil odbor za kmetijstvo.</w:t>
      </w:r>
    </w:p>
    <w:p w14:paraId="6DB3B6F8" w14:textId="77777777">
      <w:pPr>
        <w:pStyle w:val="P68B1DB1-Normal15"/>
        <w:widowControl w:val="0"/>
        <w:tabs>
          <w:tab w:val="left" w:pos="396"/>
          <w:tab w:val="left" w:pos="407"/>
        </w:tabs>
        <w:autoSpaceDE w:val="0"/>
        <w:autoSpaceDN w:val="0"/>
        <w:spacing w:after="0" w:line="240" w:lineRule="auto"/>
        <w:ind w:left="567"/>
        <w:jc w:val="both"/>
        <w:rPr>
          <w:iCs/>
        </w:rPr>
      </w:pPr>
    </w:p>
    <w:p w14:paraId="7D1833D5" w14:textId="7451C7D7">
      <w:pPr>
        <w:pStyle w:val="P68B1DB1-Normal15"/>
        <w:widowControl w:val="0"/>
        <w:tabs>
          <w:tab w:val="left" w:pos="396"/>
          <w:tab w:val="left" w:pos="407"/>
        </w:tabs>
        <w:autoSpaceDE w:val="0"/>
        <w:autoSpaceDN w:val="0"/>
        <w:spacing w:after="0" w:line="240" w:lineRule="auto"/>
        <w:ind w:left="567"/>
        <w:jc w:val="both"/>
        <w:rPr>
          <w:iCs/>
        </w:rPr>
      </w:pPr>
      <w:r>
        <w:t xml:space="preserve">31. Tako sklicevanje na podrobnejša upravna pravila lahko, če je mogoče šteti, da ta pravila pomenijo „tehnične specifikacije“ ali „druge zahteve“, členu 9 DSF v skladu s členom 1, točka 11, prva alinea, Direktive 98/34 podeli status „dejanskega tehničnega predpisa“.</w:t>
      </w:r>
    </w:p>
    <w:p w14:paraId="770077A5" w14:textId="77777777">
      <w:pPr>
        <w:pStyle w:val="BodyText"/>
        <w:rPr>
          <w:i/>
          <w:iCs/>
          <w:sz w:val="20"/>
        </w:rPr>
      </w:pPr>
    </w:p>
    <w:p w14:paraId="0CF29864" w14:textId="5F056C69">
      <w:pPr>
        <w:pStyle w:val="P68B1DB1-Normal13"/>
        <w:widowControl w:val="0"/>
        <w:autoSpaceDE w:val="0"/>
        <w:autoSpaceDN w:val="0"/>
        <w:spacing w:after="0" w:line="240" w:lineRule="auto"/>
        <w:jc w:val="both"/>
        <w:outlineLvl w:val="1"/>
      </w:pPr>
      <w:hyperlink r:id="rId68" w:anchor="ctx1" w:history="1">
        <w:r>
          <w:rPr>
            <w:color w:val="0000FF"/>
            <w:u w:val="single"/>
          </w:rPr>
          <w:t xml:space="preserve">Sodba z dne 11. junija 2015</w:t>
        </w:r>
      </w:hyperlink>
      <w:r>
        <w:t xml:space="preserve">, Berlington Hungary in drugi, C-98/14, EU:C:2015:386, točke od 95 do 97.</w:t>
      </w:r>
      <w:bookmarkEnd w:id="113"/>
    </w:p>
    <w:p w14:paraId="51CCE70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C8DCCD" w14:textId="152D2442">
      <w:pPr>
        <w:pStyle w:val="P68B1DB1-Normal14"/>
        <w:widowControl w:val="0"/>
        <w:tabs>
          <w:tab w:val="left" w:pos="396"/>
          <w:tab w:val="left" w:pos="398"/>
        </w:tabs>
        <w:autoSpaceDE w:val="0"/>
        <w:autoSpaceDN w:val="0"/>
        <w:spacing w:after="0" w:line="240" w:lineRule="auto"/>
        <w:jc w:val="both"/>
      </w:pPr>
      <w:r>
        <w:t xml:space="preserve">Nacionalne določbe, s katerimi se davek na igralne avtomate, ki se uporablja v igralnih salonih, poveča s petimi in ki prav tako uvajajo sorazmerni davek na to dejavnost, niso „de facto tehnični predpisi“, saj gre za davčne določbe in ne za „tehnične specifikacije, povezane z davčnim pravilom“ v smislu Direktive.</w:t>
      </w:r>
    </w:p>
    <w:p w14:paraId="00CB80B7"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5DBF183B" w14:textId="70A7203F">
      <w:pPr>
        <w:pStyle w:val="P68B1DB1-Normal15"/>
        <w:widowControl w:val="0"/>
        <w:tabs>
          <w:tab w:val="left" w:pos="396"/>
          <w:tab w:val="left" w:pos="449"/>
        </w:tabs>
        <w:autoSpaceDE w:val="0"/>
        <w:autoSpaceDN w:val="0"/>
        <w:spacing w:after="0" w:line="240" w:lineRule="auto"/>
        <w:ind w:left="567"/>
        <w:jc w:val="both"/>
      </w:pPr>
      <w:r>
        <w:t xml:space="preserve">„95. V skladu s členom 1, točka 11, tretja alinea, te direktive so „de facto tehnični predpisi“ v smislu te določbe „tehnične specifikacije ali druge zahteve ali pravila o storitvah, ki so povezani z davčnimi ali finančnimi ukrepi, ki vplivajo na porabo proizvodov ali storitev s spodbujanjem skladnosti s temi tehničnimi specifikacijami ali drugimi zahtevami ali pravili o storitvah“.</w:t>
      </w:r>
    </w:p>
    <w:p w14:paraId="07116B99" w14:textId="77777777">
      <w:pPr>
        <w:pStyle w:val="P68B1DB1-Normal15"/>
        <w:widowControl w:val="0"/>
        <w:tabs>
          <w:tab w:val="left" w:pos="396"/>
          <w:tab w:val="left" w:pos="449"/>
        </w:tabs>
        <w:autoSpaceDE w:val="0"/>
        <w:autoSpaceDN w:val="0"/>
        <w:spacing w:after="0" w:line="240" w:lineRule="auto"/>
        <w:ind w:left="567"/>
        <w:jc w:val="both"/>
      </w:pPr>
    </w:p>
    <w:p w14:paraId="42599018" w14:textId="2DFE2CF5">
      <w:pPr>
        <w:pStyle w:val="P68B1DB1-Normal15"/>
        <w:widowControl w:val="0"/>
        <w:tabs>
          <w:tab w:val="left" w:pos="396"/>
          <w:tab w:val="left" w:pos="449"/>
        </w:tabs>
        <w:autoSpaceDE w:val="0"/>
        <w:autoSpaceDN w:val="0"/>
        <w:spacing w:after="0" w:line="240" w:lineRule="auto"/>
        <w:ind w:left="567"/>
        <w:jc w:val="both"/>
      </w:pPr>
      <w:r>
        <w:t xml:space="preserve">96. Iz tega besedila izhaja, da pojem „dejanski tehnični predpisi“ ne pomeni samih davčnih ukrepov, ampak tehnične specifikacije ali druge zahteve, povezane z njimi.</w:t>
      </w:r>
    </w:p>
    <w:p w14:paraId="00F9B573" w14:textId="77777777">
      <w:pPr>
        <w:pStyle w:val="P68B1DB1-Normal15"/>
        <w:widowControl w:val="0"/>
        <w:tabs>
          <w:tab w:val="left" w:pos="396"/>
          <w:tab w:val="left" w:pos="449"/>
        </w:tabs>
        <w:autoSpaceDE w:val="0"/>
        <w:autoSpaceDN w:val="0"/>
        <w:spacing w:after="0" w:line="240" w:lineRule="auto"/>
        <w:ind w:left="567"/>
        <w:jc w:val="both"/>
      </w:pPr>
    </w:p>
    <w:p w14:paraId="60E2105A" w14:textId="6B2A54B5">
      <w:pPr>
        <w:pStyle w:val="P68B1DB1-Normal15"/>
        <w:widowControl w:val="0"/>
        <w:tabs>
          <w:tab w:val="left" w:pos="396"/>
          <w:tab w:val="left" w:pos="449"/>
        </w:tabs>
        <w:autoSpaceDE w:val="0"/>
        <w:autoSpaceDN w:val="0"/>
        <w:spacing w:after="0" w:line="240" w:lineRule="auto"/>
        <w:ind w:left="567"/>
        <w:jc w:val="both"/>
        <w:rPr>
          <w:iCs/>
        </w:rPr>
      </w:pPr>
      <w:r>
        <w:t xml:space="preserve">97. Zato davčne zakonodaje, kakršna je ta v postopku v glavni stvari, ki ni opremljena z nobeno tehnično specifikacijo ali katero koli drugo zahtevo, katere namen naj bi bil zagotoviti skladnost, ni mogoče opredeliti kot „dejanski tehnični predpis“.</w:t>
      </w:r>
    </w:p>
    <w:p w14:paraId="37BAFBC9" w14:textId="77777777">
      <w:pPr>
        <w:pStyle w:val="BodyText"/>
        <w:rPr>
          <w:i/>
          <w:iCs/>
          <w:sz w:val="20"/>
        </w:rPr>
      </w:pPr>
    </w:p>
    <w:p w14:paraId="7274149C" w14:textId="5D545442">
      <w:pPr>
        <w:pStyle w:val="P68B1DB1-Normal13"/>
        <w:widowControl w:val="0"/>
        <w:autoSpaceDE w:val="0"/>
        <w:autoSpaceDN w:val="0"/>
        <w:spacing w:after="0" w:line="240" w:lineRule="auto"/>
        <w:jc w:val="both"/>
        <w:outlineLvl w:val="1"/>
      </w:pPr>
      <w:hyperlink r:id="rId69" w:history="1">
        <w:r>
          <w:rPr>
            <w:color w:val="0000FF"/>
            <w:u w:val="single"/>
          </w:rPr>
          <w:t xml:space="preserve">Sodba z dne 8. oktobra 2020</w:t>
        </w:r>
      </w:hyperlink>
      <w:r>
        <w:t xml:space="preserve">, Admiral Sportwetten in drugi, EU:C:2020:812, točki 38 in 41.</w:t>
      </w:r>
      <w:bookmarkEnd w:id="114"/>
    </w:p>
    <w:p w14:paraId="6A479E47"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58900280" w14:textId="5B06B273">
      <w:pPr>
        <w:pStyle w:val="P68B1DB1-Normal14"/>
        <w:widowControl w:val="0"/>
        <w:tabs>
          <w:tab w:val="left" w:pos="537"/>
          <w:tab w:val="left" w:pos="539"/>
        </w:tabs>
        <w:autoSpaceDE w:val="0"/>
        <w:autoSpaceDN w:val="0"/>
        <w:spacing w:after="0" w:line="240" w:lineRule="auto"/>
        <w:jc w:val="both"/>
      </w:pPr>
      <w:r>
        <w:t xml:space="preserve">Davčne zakonodaje, ki ni opremljena z nobeno „tehnično specifikacijo“ ali katero koli drugo zahtevo, katere namen je zagotoviti skladnost, ni mogoče opredeliti kot „dejanski tehnični predpis“. Nacionalna davčna zakonodaja, ki določa obdavčitev delovanja športnih stav, torej ni „tehnični predpis“.</w:t>
      </w:r>
    </w:p>
    <w:p w14:paraId="27BCDA3E"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130D4C07" w14:textId="276A8931">
      <w:pPr>
        <w:pStyle w:val="P68B1DB1-Normal15"/>
        <w:widowControl w:val="0"/>
        <w:tabs>
          <w:tab w:val="left" w:pos="537"/>
          <w:tab w:val="left" w:pos="539"/>
        </w:tabs>
        <w:autoSpaceDE w:val="0"/>
        <w:autoSpaceDN w:val="0"/>
        <w:spacing w:after="0" w:line="240" w:lineRule="auto"/>
        <w:ind w:left="567"/>
        <w:jc w:val="both"/>
        <w:rPr>
          <w:iCs/>
        </w:rPr>
      </w:pPr>
      <w:r>
        <w:t xml:space="preserve">„38. [...] v zvezi z dejanskimi tehničnimi predpisi v smislu člena 1(1)(f)(iii) Direktive 2015/1535 je Sodišče že razsodilo, da davčne zakonodaje, ki ji ni priložena nobena tehnična specifikacija ali katera koli druga zahteva, s katero naj bi se zagotovila skladnost, ni mogoče opredeliti kot „dejanski tehnični predpis“ (glej v tem smislu sodbo z dne 11. junija 2015, Berlington Hungary in drugi, C 98/14</w:t>
        <w:noBreakHyphen/>
        <w:t xml:space="preserve">, EU:C:2015:386, točka 97).“</w:t>
      </w:r>
    </w:p>
    <w:p w14:paraId="002A514F" w14:textId="77777777">
      <w:pPr>
        <w:widowControl w:val="0"/>
        <w:tabs>
          <w:tab w:val="left" w:pos="537"/>
          <w:tab w:val="left" w:pos="539"/>
        </w:tabs>
        <w:autoSpaceDE w:val="0"/>
        <w:autoSpaceDN w:val="0"/>
        <w:spacing w:after="0" w:line="240" w:lineRule="auto"/>
        <w:ind w:left="567"/>
        <w:jc w:val="both"/>
        <w:rPr>
          <w:rFonts w:ascii="Times New Roman" w:hAnsi="Times New Roman" w:cs="Times New Roman" w:eastAsia="Times New Roman"/>
          <w:i/>
          <w:iCs/>
          <w:sz w:val="20"/>
          <w:szCs w:val="16"/>
        </w:rPr>
      </w:pPr>
    </w:p>
    <w:p w14:paraId="727DEFFB" w14:textId="18B04311">
      <w:pPr>
        <w:pStyle w:val="P68B1DB1-Normal15"/>
        <w:widowControl w:val="0"/>
        <w:tabs>
          <w:tab w:val="left" w:pos="537"/>
          <w:tab w:val="left" w:pos="539"/>
        </w:tabs>
        <w:autoSpaceDE w:val="0"/>
        <w:autoSpaceDN w:val="0"/>
        <w:spacing w:after="0" w:line="240" w:lineRule="auto"/>
        <w:ind w:left="567"/>
        <w:jc w:val="both"/>
        <w:rPr>
          <w:iCs/>
        </w:rPr>
      </w:pPr>
      <w:r>
        <w:t>„</w:t>
      </w:r>
      <w:bookmarkStart w:id="115" w:name="point41"/>
      <w:r>
        <w:t>41</w:t>
      </w:r>
      <w:bookmarkEnd w:id="115"/>
      <w:r>
        <w:t xml:space="preserve">. Zato je treba glede na vse zgornje preudarke na prvo vprašanje odgovoriti, da je treba člen 1 Direktive 2015/1535 razlagati tako, da nacionalno davčno pravilo, ki določa obdavčitev upravljanja stavnih terminalov, ni,tehnični predpis‘ v smislu tega člena.“</w:t>
      </w:r>
    </w:p>
    <w:p w14:paraId="5C076B9C" w14:textId="77777777">
      <w:pPr>
        <w:pStyle w:val="BodyText"/>
        <w:rPr>
          <w:i/>
          <w:iCs/>
          <w:sz w:val="20"/>
        </w:rPr>
      </w:pPr>
    </w:p>
    <w:p w14:paraId="5F483606" w14:textId="4F0BCA0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70" w:history="1">
        <w:r>
          <w:rPr>
            <w:rStyle w:val="Hyperlink"/>
            <w:rFonts w:ascii="Times New Roman" w:hAnsi="Times New Roman" w:cs="Times New Roman" w:eastAsia="Times New Roman"/>
            <w:b/>
            <w:i/>
            <w:color w:val="0000FF"/>
            <w:szCs w:val="20"/>
          </w:rPr>
          <w:t xml:space="preserve">Sodba z dne 22. decembra 2022</w:t>
        </w:r>
      </w:hyperlink>
      <w:r>
        <w:rPr>
          <w:rFonts w:ascii="Times New Roman" w:hAnsi="Times New Roman" w:cs="Times New Roman" w:eastAsia="Times New Roman"/>
          <w:b/>
          <w:i/>
          <w:szCs w:val="20"/>
        </w:rPr>
        <w:t xml:space="preserve">, Airbnb Ireland in Airbnb Payments UK, C</w:t>
        <w:noBreakHyphen/>
        <w:t xml:space="preserve">83/21, EU:C:2022:1018, točki 29 in 30.</w:t>
      </w:r>
      <w:bookmarkEnd w:id="116"/>
    </w:p>
    <w:p w14:paraId="704D5C2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1AD7B89C" w14:textId="00C14D39">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Style w:val="P68B1DB1-Normal14"/>
      </w:pPr>
      <w:r>
        <w:t xml:space="preserve">Davčne zakonodaje kot take ni mogoče opredeliti kot „dejanski tehnični predpis“.</w:t>
      </w:r>
    </w:p>
    <w:p w14:paraId="19FFADF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7EE5EF44" w14:textId="19450D26">
      <w:pPr>
        <w:pStyle w:val="P68B1DB1-BodyText19"/>
        <w:ind w:left="567"/>
      </w:pPr>
      <w:r>
        <w:t xml:space="preserve">„29. Tretjič, v zvezi z Direktivo 2015/1535 je treba navesti, da se ta nanaša na „Pogodbo [DEU], zlasti člene 114, 337 in 43“. Tako je treba najprej poudariti, da se izključitev iz člena 114(2) PDEU, ki se nanaša na „davčne določbe“, uporablja tudi v zvezi s to direktivo iz razlogov, navedenih v točki 25 te sodbe.</w:t>
      </w:r>
    </w:p>
    <w:p w14:paraId="5619063A" w14:textId="77777777">
      <w:pPr>
        <w:pStyle w:val="P68B1DB1-BodyText19"/>
        <w:ind w:left="567"/>
      </w:pPr>
    </w:p>
    <w:p w14:paraId="43BD732D" w14:textId="6B6E6B11">
      <w:pPr>
        <w:pStyle w:val="P68B1DB1-BodyText19"/>
        <w:ind w:left="567"/>
        <w:rPr>
          <w:iCs/>
        </w:rPr>
      </w:pPr>
      <w:r>
        <w:t xml:space="preserve">30. Poleg tega vsebina Direktive 2015/1535 posredno potrjuje izključitev „davčnih določb“ z njenega področja uporabe, saj so v besedilu člena 1(1)(f)(iii) te direktive med dejanskimi tehničnimi predpisi navedene tehnične specifikacije ali druge zahteve ali pravila o storitvah, „povezana z davčnimi ali finančnimi ukrepi“. Torej niso dejanski davčni ukrepi, ampak le ukrepi, povezani z davčnimi ukrepi (glej v tem smislu sodbo z dne 8. oktobra 2020, Admiral Sportwetten in drugi, C-711/19, EU:C:2020:812, točka 38); zato ta direktiva kot taka ne spada na področje uporabe te direktive.“</w:t>
      </w:r>
    </w:p>
    <w:p w14:paraId="5775DA65" w14:textId="01ED6DBB">
      <w:pPr>
        <w:pStyle w:val="P68B1DB1-Normal4"/>
        <w:spacing w:after="0" w:line="240" w:lineRule="auto"/>
        <w:rPr>
          <w:rFonts w:ascii="Times New Roman" w:hAnsi="Times New Roman" w:cs="Times New Roman" w:eastAsia="Times New Roman"/>
          <w:i/>
          <w:iCs/>
          <w:szCs w:val="20"/>
        </w:rPr>
      </w:pPr>
      <w:r>
        <w:br w:type="page"/>
      </w:r>
    </w:p>
    <w:p w14:paraId="5F7E7C6E" w14:textId="032BD921">
      <w:pPr>
        <w:pStyle w:val="P68B1DB1-Heading24"/>
        <w:numPr>
          <w:ilvl w:val="0"/>
          <w:numId w:val="35"/>
        </w:numPr>
        <w:spacing w:before="0" w:after="0"/>
        <w:jc w:val="center"/>
        <w:rPr>
          <w:bCs/>
          <w:color w:val="auto"/>
        </w:rPr>
      </w:pPr>
      <w:bookmarkStart w:id="117" w:name="_Ref196314231"/>
      <w:bookmarkStart w:id="118" w:name="_Ref194484613"/>
      <w:bookmarkStart w:id="119" w:name="_Toc203035672"/>
      <w:r>
        <w:t xml:space="preserve">Izključene zadeve</w:t>
      </w:r>
      <w:bookmarkEnd w:id="117"/>
      <w:bookmarkEnd w:id="118"/>
      <w:bookmarkEnd w:id="119"/>
    </w:p>
    <w:p w14:paraId="1278603B" w14:textId="77777777">
      <w:pPr>
        <w:pStyle w:val="BodyText"/>
        <w:rPr>
          <w:b/>
          <w:bCs/>
        </w:rPr>
      </w:pPr>
    </w:p>
    <w:p w14:paraId="1B32B976" w14:textId="77777777">
      <w:pPr>
        <w:pStyle w:val="P68B1DB1-BodyText11"/>
        <w:ind w:left="567"/>
      </w:pPr>
      <w:r>
        <w:t xml:space="preserve">„2. Ta direktiva se ne uporablja za: </w:t>
      </w:r>
    </w:p>
    <w:p w14:paraId="04019AF2" w14:textId="77777777">
      <w:pPr>
        <w:pStyle w:val="P68B1DB1-BodyText11"/>
        <w:ind w:left="1287" w:firstLine="153"/>
      </w:pPr>
      <w:r>
        <w:t xml:space="preserve">(a) radiodifuzijske storitve; </w:t>
      </w:r>
    </w:p>
    <w:p w14:paraId="1EADA741" w14:textId="108B47F0">
      <w:pPr>
        <w:pStyle w:val="P68B1DB1-BodyText11"/>
        <w:ind w:left="1440"/>
      </w:pPr>
      <w:r>
        <w:t xml:space="preserve">(b) storitve razširjanja televizijskih programov iz točke (e) člena 1(1) Direktive 2010/13/EU Evropskega parlamenta in Sveta (1). </w:t>
      </w:r>
    </w:p>
    <w:p w14:paraId="7DD31811" w14:textId="77777777">
      <w:pPr>
        <w:pStyle w:val="P68B1DB1-BodyText11"/>
        <w:ind w:left="567"/>
      </w:pPr>
    </w:p>
    <w:p w14:paraId="21C04911" w14:textId="0885ED27">
      <w:pPr>
        <w:pStyle w:val="P68B1DB1-BodyText11"/>
        <w:ind w:left="567"/>
      </w:pPr>
      <w:r>
        <w:t xml:space="preserve">3. Ta direktiva se ne uporablja za pravila v zvezi z zadevami, ki jih ureja zakonodaja Unije na področju telekomunikacijskih storitev, kakor jih ureja Direktiva 2002/21/ES Evropskega parlamenta in Sveta (2). </w:t>
      </w:r>
    </w:p>
    <w:p w14:paraId="14E66827" w14:textId="77777777">
      <w:pPr>
        <w:pStyle w:val="P68B1DB1-BodyText11"/>
        <w:ind w:left="567"/>
      </w:pPr>
    </w:p>
    <w:p w14:paraId="21D3AD3B" w14:textId="663656A4">
      <w:pPr>
        <w:pStyle w:val="P68B1DB1-BodyText11"/>
        <w:ind w:left="567"/>
      </w:pPr>
      <w:r>
        <w:t xml:space="preserve">4. Ta direktiva se ne uporablja za pravila v zvezi z zadevami, ki jih ureja zakonodaja Unije na področju finančnih storitev, ki so neizčrpno navedena v Prilogi II k tej direktivi. </w:t>
      </w:r>
    </w:p>
    <w:p w14:paraId="0E58960E" w14:textId="77777777">
      <w:pPr>
        <w:pStyle w:val="P68B1DB1-BodyText11"/>
        <w:ind w:left="567"/>
      </w:pPr>
    </w:p>
    <w:p w14:paraId="66AEA247" w14:textId="77777777">
      <w:pPr>
        <w:pStyle w:val="P68B1DB1-BodyText11"/>
        <w:ind w:left="567"/>
      </w:pPr>
      <w:r>
        <w:t xml:space="preserve">5. Z izjemo člena 5(3) se ta direktiva ne uporablja za predpise, sprejete s strani ali za regulirane trge v smislu Direktive 2004/39/ES Evropskega parlamenta in Sveta (3) ali s strani drugih trgov ali organov, ki opravljajo klirinške ali poravnalne funkcije za te trge, ali za druge trge ali organe.</w:t>
      </w:r>
    </w:p>
    <w:p w14:paraId="5D510CB9" w14:textId="77777777">
      <w:pPr>
        <w:pStyle w:val="P68B1DB1-BodyText11"/>
        <w:ind w:left="567"/>
      </w:pPr>
    </w:p>
    <w:p w14:paraId="70E3F74F" w14:textId="117D7E99">
      <w:pPr>
        <w:pStyle w:val="P68B1DB1-BodyText11"/>
        <w:ind w:left="567"/>
      </w:pPr>
      <w:r>
        <w:t xml:space="preserve">6. Ta direktiva ne velja za ukrepe, za katere države članice menijo, da so v okviru Pogodb potrebni za varovanje oseb, zlasti delavcev, pri uporabi izdelkov, če taki ukrepi ne vplivajo na izdelke.</w:t>
      </w:r>
    </w:p>
    <w:p w14:paraId="24FE75EA" w14:textId="77777777">
      <w:pPr>
        <w:pStyle w:val="P68B1DB1-BodyText11"/>
        <w:ind w:left="567"/>
      </w:pPr>
    </w:p>
    <w:p w14:paraId="74938EC0" w14:textId="5965F3C9">
      <w:pPr>
        <w:pStyle w:val="BodyText"/>
        <w:ind w:left="1080"/>
        <w:jc w:val="right"/>
      </w:pPr>
      <w:r>
        <w:t xml:space="preserve">(Člen 1(2) do (6) Direktive (EU) 2015/1535)</w:t>
      </w:r>
    </w:p>
    <w:p w14:paraId="2BAD670C" w14:textId="77777777">
      <w:pPr>
        <w:pStyle w:val="BodyText"/>
        <w:rPr>
          <w:i/>
          <w:iCs/>
          <w:sz w:val="20"/>
        </w:rPr>
      </w:pPr>
    </w:p>
    <w:p w14:paraId="0C974BBF" w14:textId="3B58908A">
      <w:pPr>
        <w:pStyle w:val="P68B1DB1-BodyText23"/>
        <w:ind w:left="567"/>
        <w:rPr>
          <w:iCs/>
        </w:rPr>
      </w:pPr>
      <w:r>
        <w:t xml:space="preserve">„‚razširjanje televizijskih programov‘ ali ‚televizijska radiodifuzija‘ (tj. linearna avdiovizualna medijska storitev) pomeni avdiovizualno medijsko storitev, ki jo zagotavlja ponudnik medijskih storitev za sočasno gledanje programov na podlagi programskega sporeda;“</w:t>
      </w:r>
    </w:p>
    <w:p w14:paraId="68D48BC5" w14:textId="77777777">
      <w:pPr>
        <w:pStyle w:val="BodyText"/>
        <w:ind w:left="567"/>
        <w:rPr>
          <w:i/>
          <w:iCs/>
          <w:szCs w:val="24"/>
        </w:rPr>
      </w:pPr>
    </w:p>
    <w:p w14:paraId="1E9F9AD6" w14:textId="648E8643">
      <w:pPr>
        <w:pStyle w:val="BodyText"/>
        <w:ind w:left="1080"/>
        <w:jc w:val="right"/>
      </w:pPr>
      <w:r>
        <w:t xml:space="preserve">(Člen 1(1)(e) Direktive 2010/13/EU)</w:t>
      </w:r>
    </w:p>
    <w:p w14:paraId="13E3D11F" w14:textId="77777777">
      <w:pPr>
        <w:pStyle w:val="BodyText"/>
        <w:ind w:left="1080"/>
        <w:jc w:val="right"/>
      </w:pPr>
    </w:p>
    <w:p w14:paraId="6E0ADBB8" w14:textId="55100584">
      <w:pPr>
        <w:pStyle w:val="P68B1DB1-BodyText11"/>
        <w:jc w:val="center"/>
        <w:rPr>
          <w:i/>
        </w:rPr>
      </w:pPr>
      <w:r>
        <w:t xml:space="preserve">Okvirni seznam finančnih storitev, ki jih zajema člen 1(4)</w:t>
      </w:r>
    </w:p>
    <w:p w14:paraId="25F72A02" w14:textId="77777777">
      <w:pPr>
        <w:pStyle w:val="BodyText"/>
        <w:jc w:val="center"/>
        <w:rPr>
          <w:i/>
        </w:rPr>
      </w:pPr>
    </w:p>
    <w:p w14:paraId="319C26B1" w14:textId="77777777">
      <w:pPr>
        <w:pStyle w:val="P68B1DB1-BodyText11"/>
        <w:ind w:left="567"/>
        <w:rPr>
          <w:i/>
        </w:rPr>
      </w:pPr>
      <w:r>
        <w:t xml:space="preserve">— Investicijske storitve, </w:t>
      </w:r>
    </w:p>
    <w:p w14:paraId="4E853016" w14:textId="77777777">
      <w:pPr>
        <w:pStyle w:val="P68B1DB1-BodyText11"/>
        <w:ind w:left="567"/>
        <w:rPr>
          <w:i/>
        </w:rPr>
      </w:pPr>
      <w:r>
        <w:t xml:space="preserve">— zavarovalne in pozavarovalne dejavnosti, </w:t>
      </w:r>
    </w:p>
    <w:p w14:paraId="6692A963" w14:textId="77777777">
      <w:pPr>
        <w:pStyle w:val="P68B1DB1-BodyText11"/>
        <w:ind w:left="567"/>
        <w:rPr>
          <w:i/>
        </w:rPr>
      </w:pPr>
      <w:r>
        <w:t xml:space="preserve">— bančne storitve, </w:t>
      </w:r>
    </w:p>
    <w:p w14:paraId="23791C4C" w14:textId="77777777">
      <w:pPr>
        <w:pStyle w:val="P68B1DB1-BodyText11"/>
        <w:ind w:left="567"/>
        <w:rPr>
          <w:i/>
        </w:rPr>
      </w:pPr>
      <w:r>
        <w:t xml:space="preserve">— posli v zvezi s pokojninskimi skladi, </w:t>
      </w:r>
    </w:p>
    <w:p w14:paraId="783F6792" w14:textId="77777777">
      <w:pPr>
        <w:pStyle w:val="P68B1DB1-BodyText11"/>
        <w:ind w:left="567"/>
        <w:rPr>
          <w:i/>
        </w:rPr>
      </w:pPr>
      <w:r>
        <w:t xml:space="preserve">— storitve, povezane s terminskimi pogodbami ali opcijami. </w:t>
      </w:r>
    </w:p>
    <w:p w14:paraId="2DCD1B55" w14:textId="77777777">
      <w:pPr>
        <w:pStyle w:val="BodyText"/>
        <w:ind w:left="567"/>
        <w:rPr>
          <w:i/>
        </w:rPr>
      </w:pPr>
    </w:p>
    <w:p w14:paraId="337555AF" w14:textId="77777777">
      <w:pPr>
        <w:pStyle w:val="P68B1DB1-BodyText11"/>
        <w:ind w:left="567"/>
        <w:rPr>
          <w:i/>
        </w:rPr>
      </w:pPr>
      <w:r>
        <w:t xml:space="preserve">Take storitve vključujejo zlasti: </w:t>
      </w:r>
    </w:p>
    <w:p w14:paraId="3764E7FA" w14:textId="7CA8CD82">
      <w:pPr>
        <w:pStyle w:val="P68B1DB1-BodyText11"/>
        <w:ind w:left="567"/>
        <w:rPr>
          <w:i/>
        </w:rPr>
      </w:pPr>
      <w:r>
        <w:t xml:space="preserve">(a) investicijske storitve iz Priloge k Direktivi 2004/39/ES; storitve kolektivnih investicijskih podjetij, </w:t>
      </w:r>
    </w:p>
    <w:p w14:paraId="5E0AD7FB" w14:textId="67C20460">
      <w:pPr>
        <w:pStyle w:val="P68B1DB1-BodyText11"/>
        <w:ind w:left="567"/>
        <w:rPr>
          <w:i/>
        </w:rPr>
      </w:pPr>
      <w:r>
        <w:t xml:space="preserve">(b) storitve, ki jih zajemajo dejavnosti, za katere velja vzajemno priznavanje, iz Priloge I k Direktivi 2013/36/EU Evropskega parlamenta in Sveta (1); </w:t>
      </w:r>
    </w:p>
    <w:p w14:paraId="48C2F22B" w14:textId="3B1B8A48">
      <w:pPr>
        <w:pStyle w:val="P68B1DB1-BodyText11"/>
        <w:ind w:left="567"/>
        <w:rPr>
          <w:i/>
        </w:rPr>
      </w:pPr>
      <w:r>
        <w:t xml:space="preserve">(C) posle, krite z zavarovalnimi in pozavarovalnimi dejavnostmi iz Direktive 2009/138/ES Evropskega parlamenta in Sveta (2).</w:t>
      </w:r>
    </w:p>
    <w:p w14:paraId="29E9A8E3" w14:textId="77777777">
      <w:pPr>
        <w:pStyle w:val="BodyText"/>
        <w:ind w:left="720"/>
        <w:rPr>
          <w:i/>
        </w:rPr>
      </w:pPr>
    </w:p>
    <w:p w14:paraId="79D13F1F" w14:textId="142C9AC5">
      <w:pPr>
        <w:pStyle w:val="BodyText"/>
        <w:ind w:left="1080"/>
        <w:jc w:val="right"/>
      </w:pPr>
      <w:r>
        <w:t xml:space="preserve">(Priloga II k Direktivi (EU) 2015/1535)</w:t>
      </w:r>
    </w:p>
    <w:p w14:paraId="0C95D790" w14:textId="77777777">
      <w:pPr>
        <w:pStyle w:val="BodyText"/>
        <w:ind w:left="567"/>
        <w:rPr>
          <w:i/>
          <w:iCs/>
          <w:szCs w:val="24"/>
        </w:rPr>
      </w:pPr>
    </w:p>
    <w:p w14:paraId="7A47117F" w14:textId="7E196DE2">
      <w:pPr>
        <w:pStyle w:val="P68B1DB1-BodyText23"/>
        <w:ind w:left="567"/>
        <w:rPr>
          <w:iCs/>
        </w:rPr>
      </w:pPr>
      <w:r>
        <w:t xml:space="preserve">„‚regulirani trg‘ pomeni večstranski sistem, ki ga upravlja in/ali upravlja upravljavec trga in ki združuje ali omogoča združevanje več nakupnih in prodajnih interesov tretjih oseb v zvezi s finančnimi instrumenti – v sistemu in v skladu z njegovimi pravili, ki niso diskrecijska – na način, ki privede do pogodbe v zvezi s finančnimi instrumenti, sprejetimi v trgovanje v skladu z njegovimi pravili in/ali sistemi, ter ki ima dovoljenje in deluje redno in v skladu z naslovom III te direktive;“</w:t>
      </w:r>
    </w:p>
    <w:p w14:paraId="326B89D5" w14:textId="77777777">
      <w:pPr>
        <w:pStyle w:val="BodyText"/>
        <w:ind w:left="567"/>
        <w:rPr>
          <w:i/>
          <w:iCs/>
          <w:szCs w:val="24"/>
        </w:rPr>
      </w:pPr>
    </w:p>
    <w:p w14:paraId="2EE59DAD" w14:textId="7FE2F68F">
      <w:pPr>
        <w:pStyle w:val="P68B1DB1-BodyText24"/>
        <w:ind w:left="567"/>
        <w:jc w:val="right"/>
      </w:pPr>
      <w:r>
        <w:t xml:space="preserve">(Člen 4(21) Direktive 2014/65/EU) </w:t>
      </w:r>
    </w:p>
    <w:p w14:paraId="510D994F" w14:textId="6EE676DC">
      <w:pPr>
        <w:pStyle w:val="P68B1DB1-BodyText24"/>
        <w:ind w:left="567"/>
        <w:jc w:val="right"/>
      </w:pPr>
      <w:r>
        <w:t xml:space="preserve">prenovitev Direktive 2004/39/ES) </w:t>
      </w:r>
    </w:p>
    <w:p w14:paraId="4A6FAABA" w14:textId="77777777">
      <w:pPr>
        <w:pStyle w:val="BodyText"/>
        <w:rPr>
          <w:i/>
          <w:iCs/>
          <w:sz w:val="20"/>
        </w:rPr>
      </w:pPr>
    </w:p>
    <w:p w14:paraId="0469372E" w14:textId="4281AF71">
      <w:pPr>
        <w:widowControl w:val="0"/>
        <w:autoSpaceDE w:val="0"/>
        <w:autoSpaceDN w:val="0"/>
        <w:spacing w:after="0" w:line="240" w:lineRule="auto"/>
        <w:jc w:val="both"/>
        <w:rPr>
          <w:rFonts w:ascii="Times New Roman" w:hAnsi="Times New Roman" w:cs="Times New Roman" w:eastAsia="Times New Roman"/>
          <w:i/>
          <w:iCs/>
          <w:sz w:val="20"/>
          <w:szCs w:val="16"/>
        </w:rPr>
      </w:pPr>
      <w:hyperlink r:id="rId71" w:history="1">
        <w:r>
          <w:rPr>
            <w:rStyle w:val="Hyperlink"/>
            <w:rFonts w:ascii="Times New Roman" w:hAnsi="Times New Roman" w:cs="Times New Roman" w:eastAsia="Times New Roman"/>
            <w:b/>
            <w:i/>
            <w:color w:val="0000FF"/>
            <w:szCs w:val="20"/>
          </w:rPr>
          <w:t xml:space="preserve">Sodba z dne 2. junija 2005</w:t>
        </w:r>
      </w:hyperlink>
      <w:r>
        <w:rPr>
          <w:rFonts w:ascii="Times New Roman" w:hAnsi="Times New Roman" w:cs="Times New Roman" w:eastAsia="Times New Roman"/>
          <w:b/>
          <w:i/>
          <w:szCs w:val="20"/>
        </w:rPr>
        <w:t xml:space="preserve">, Mediakabel BV, C-89/04, EU:C:2005:348, točki 22 in 23.</w:t>
      </w:r>
    </w:p>
    <w:p w14:paraId="5376935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F56159" w14:textId="0FDB95BE">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Storitev razširjanja televizijskih programov, ki je na voljo na zahtevo naročnika in je sestavljena iz filmov, katerih pogostost in čas določi ponudnik, pomeni storitev „skoraj video na zahtevo“, ki spada pod pojem „storitve razširjanja televizijskih programov“. Ta pojem je samostojno opredeljen v Direktivi 2010/13/EU (prej Direktiva 89/552/EGS) neodvisno od pojma „storitev informacijske družbe“.</w:t>
      </w:r>
    </w:p>
    <w:p w14:paraId="558582FC"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B878292" w14:textId="6F6E7A42">
      <w:pPr>
        <w:pStyle w:val="P68B1DB1-Normal15"/>
        <w:widowControl w:val="0"/>
        <w:autoSpaceDE w:val="0"/>
        <w:autoSpaceDN w:val="0"/>
        <w:spacing w:after="0" w:line="240" w:lineRule="auto"/>
        <w:ind w:left="567"/>
        <w:jc w:val="both"/>
      </w:pPr>
      <w:r>
        <w:t xml:space="preserve">„22. [...] o obsegu pojma „razširjanje televizijskih programov“ nikakor ni mogoče sklepati z izključitvijo pojma „storitev informacijske družbe“ iz pojma „storitev informacijske družbe“. Direktiva 98/34 se tako v členu 1(2) kot v Prilogi V nanaša na storitve, ki niso zajete s pojmom „storitev informacijske družbe“ in ki kot take niso storitve razširjanja televizijskih programov. To velja tudi za storitve radijskega oddajanja. Tudi storitev razširjanja televizijskih programov ni mogoče omejiti na storitve, „ki se opravljajo s prenosom podatkov brez posamezne zahteve, ki jih sočasno prejme neomejeno število prejemnikov“, iz točke 3 Priloge V k Direktivi 98/34. Če bi sledili tej razlagi, bi bile storitve, kot je naročniška televizija, posredovane omejenemu številu prejemnikov, izključene iz pojma „storitev razširjanja televizijskih programov“, medtem ko naj bi spadale pod ta pojem na podlagi meril iz člena 1(a) Direktive 89/552.</w:t>
      </w:r>
    </w:p>
    <w:p w14:paraId="08A8E406" w14:textId="77777777">
      <w:pPr>
        <w:pStyle w:val="P68B1DB1-Normal15"/>
        <w:widowControl w:val="0"/>
        <w:autoSpaceDE w:val="0"/>
        <w:autoSpaceDN w:val="0"/>
        <w:spacing w:after="0" w:line="240" w:lineRule="auto"/>
        <w:ind w:left="567"/>
        <w:jc w:val="both"/>
      </w:pPr>
    </w:p>
    <w:p w14:paraId="1DB468BF" w14:textId="6C9EEDEF">
      <w:pPr>
        <w:pStyle w:val="P68B1DB1-Normal15"/>
        <w:widowControl w:val="0"/>
        <w:autoSpaceDE w:val="0"/>
        <w:autoSpaceDN w:val="0"/>
        <w:spacing w:after="0" w:line="240" w:lineRule="auto"/>
        <w:ind w:left="567"/>
        <w:jc w:val="both"/>
        <w:rPr>
          <w:iCs/>
        </w:rPr>
      </w:pPr>
      <w:r>
        <w:t xml:space="preserve">23. Nazadnje, zakonodajalec Skupnosti ob sprejetju direktiv 98/34 in 98/48 ni nameraval spremeniti Direktive 89/552, ki je bila spremenjena manj kot leto prej z Direktivo 97/36. Tako je v uvodni izjavi 20 Direktive 98/48, s katero je bila spremenjena Direktiva 98/34, navedeno, da Direktiva 98/48 „ne posega v področje uporabe Direktive 89/552“.</w:t>
      </w:r>
    </w:p>
    <w:p w14:paraId="044761EE" w14:textId="77777777">
      <w:pPr>
        <w:widowControl w:val="0"/>
        <w:autoSpaceDE w:val="0"/>
        <w:autoSpaceDN w:val="0"/>
        <w:spacing w:after="0" w:line="240" w:lineRule="auto"/>
        <w:jc w:val="both"/>
        <w:outlineLvl w:val="1"/>
      </w:pPr>
    </w:p>
    <w:p w14:paraId="52CB59CA" w14:textId="489ADDC7">
      <w:pPr>
        <w:pStyle w:val="P68B1DB1-Normal13"/>
        <w:widowControl w:val="0"/>
        <w:autoSpaceDE w:val="0"/>
        <w:autoSpaceDN w:val="0"/>
        <w:spacing w:after="0" w:line="240" w:lineRule="auto"/>
        <w:jc w:val="both"/>
        <w:outlineLvl w:val="1"/>
      </w:pPr>
      <w:hyperlink r:id="rId72" w:history="1">
        <w:r>
          <w:rPr>
            <w:color w:val="0000FF"/>
            <w:u w:val="single"/>
          </w:rPr>
          <w:t xml:space="preserve">Sodba z dne 12. septembra 2019</w:t>
        </w:r>
      </w:hyperlink>
      <w:r>
        <w:t xml:space="preserve">, VG Media, C-299/17, EU:C:2019:716, točka 38.</w:t>
      </w:r>
      <w:bookmarkEnd w:id="120"/>
    </w:p>
    <w:p w14:paraId="5E406CB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8980D4F" w14:textId="59AFD09D">
      <w:pPr>
        <w:pStyle w:val="P68B1DB1-Normal14"/>
        <w:widowControl w:val="0"/>
        <w:autoSpaceDE w:val="0"/>
        <w:autoSpaceDN w:val="0"/>
        <w:spacing w:after="0" w:line="240" w:lineRule="auto"/>
        <w:jc w:val="both"/>
      </w:pPr>
      <w:r>
        <w:t xml:space="preserve">„Tehnični predpisi“ na področju intelektualne lastnine v nasprotju s tistimi, ki se nanašajo na telekomunikacijske ali finančne storitve, niso izključeni s področja uporabe Direktive.</w:t>
      </w:r>
    </w:p>
    <w:p w14:paraId="2C438590"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A61B68C" w14:textId="2AD8E891">
      <w:pPr>
        <w:pStyle w:val="P68B1DB1-Normal15"/>
        <w:widowControl w:val="0"/>
        <w:autoSpaceDE w:val="0"/>
        <w:autoSpaceDN w:val="0"/>
        <w:spacing w:after="0" w:line="240" w:lineRule="auto"/>
        <w:ind w:left="567"/>
        <w:jc w:val="both"/>
        <w:rPr>
          <w:iCs/>
        </w:rPr>
      </w:pPr>
      <w:r>
        <w:t>„</w:t>
      </w:r>
      <w:r>
        <w:t xml:space="preserve">38. [...] dejstvo, da je člen 87 g(4) UrhG del nacionalne zakonodaje o avtorski ali sorodnih pravicah, ne more omajati te presoje. Tehnični predpisi na področju intelektualne lastnine namreč niso izrecno izključeni s področja uporabe člena 1, točka 5, Direktive 98/34, v nasprotju s tistimi, ki so predmet evropske ureditve na področju telekomunikacijskih storitev ali finančnih storitev. Poleg tega je iz sodbe z dne 8. novembra 2007, Schwibbert (C 20/05</w:t>
        <w:noBreakHyphen/>
        <w:t xml:space="preserve">, EU:C:2007:652), razvidno, da so lahko določbe nacionalne zakonodaje o intelektualni lastnini „tehnični predpis“, ki ga je treba priglasiti v skladu s členom 8(1) te direktive.“</w:t>
      </w:r>
    </w:p>
    <w:p w14:paraId="0BCBB4FB" w14:textId="0520F280">
      <w:pPr>
        <w:pStyle w:val="P68B1DB1-Normal16"/>
        <w:spacing w:after="0" w:line="240" w:lineRule="auto"/>
        <w:rPr>
          <w:i/>
          <w:iCs/>
        </w:rPr>
      </w:pPr>
      <w:r>
        <w:br w:type="page"/>
      </w:r>
    </w:p>
    <w:p w14:paraId="2B0FDBC5" w14:textId="7963B447">
      <w:pPr>
        <w:pStyle w:val="P68B1DB1-Heading13"/>
        <w:numPr>
          <w:ilvl w:val="0"/>
          <w:numId w:val="34"/>
        </w:numPr>
        <w:spacing w:before="0" w:after="0"/>
        <w:jc w:val="center"/>
        <w:rPr>
          <w:color w:val="auto"/>
        </w:rPr>
      </w:pPr>
      <w:bookmarkStart w:id="121" w:name="_Ref194485776"/>
      <w:bookmarkStart w:id="122" w:name="_Toc203035673"/>
      <w:r>
        <w:t xml:space="preserve">Obveznost priglasitve</w:t>
      </w:r>
      <w:bookmarkEnd w:id="121"/>
      <w:bookmarkEnd w:id="122"/>
    </w:p>
    <w:p w14:paraId="29E2BE4E" w14:textId="77777777">
      <w:pPr>
        <w:pStyle w:val="BodyText"/>
      </w:pPr>
    </w:p>
    <w:p w14:paraId="480A7F64" w14:textId="46AC3047">
      <w:pPr>
        <w:pStyle w:val="P68B1DB1-Heading24"/>
        <w:numPr>
          <w:ilvl w:val="0"/>
          <w:numId w:val="36"/>
        </w:numPr>
        <w:spacing w:before="0" w:after="0"/>
        <w:jc w:val="center"/>
        <w:rPr>
          <w:bCs/>
          <w:color w:val="auto"/>
        </w:rPr>
      </w:pPr>
      <w:bookmarkStart w:id="123" w:name="_Ref194942628"/>
      <w:bookmarkStart w:id="124" w:name="_Toc203035674"/>
      <w:bookmarkStart w:id="125" w:name="_Ref194484702"/>
      <w:r>
        <w:t xml:space="preserve">Priglasitev v fazi osnutka</w:t>
      </w:r>
      <w:bookmarkEnd w:id="123"/>
      <w:bookmarkEnd w:id="124"/>
    </w:p>
    <w:p w14:paraId="27EBED2C" w14:textId="3CCBF668">
      <w:pPr>
        <w:pStyle w:val="BodyText"/>
        <w:rPr>
          <w:b/>
          <w:bCs/>
        </w:rPr>
      </w:pPr>
    </w:p>
    <w:p w14:paraId="58135D0C" w14:textId="021350D1">
      <w:pPr>
        <w:pStyle w:val="P68B1DB1-BodyText11"/>
        <w:ind w:left="567"/>
        <w:rPr>
          <w:iCs/>
        </w:rPr>
      </w:pPr>
      <w:r>
        <w:t xml:space="preserve">„Ob upoštevanju člena 7 države članice nemudoma sporočijo Komisiji vsak osnutek tehničnega predpisa, razen kadar gre le za prenos celotnega besedila mednarodnega ali evropskega standarda, ko zadoščajo informacije v zvezi z ustreznim standardom; prav tako dajo Komisiji izjavo o razlogih, zaradi katerih je sprejetje takšnega tehničnega predpisa potrebno, če ti razlogi niso že jasno navedeni v osnutku.“</w:t>
      </w:r>
    </w:p>
    <w:p w14:paraId="79E57C28" w14:textId="77777777">
      <w:pPr>
        <w:pStyle w:val="BodyText"/>
        <w:ind w:left="567"/>
        <w:rPr>
          <w:i/>
          <w:iCs/>
        </w:rPr>
      </w:pPr>
    </w:p>
    <w:p w14:paraId="4348B9F9" w14:textId="1F348A6E">
      <w:pPr>
        <w:pStyle w:val="BodyText"/>
        <w:jc w:val="right"/>
      </w:pPr>
      <w:r>
        <w:t xml:space="preserve">(člen 5(1), prvi stavek, Direktive (EU) 2015/1535)</w:t>
      </w:r>
    </w:p>
    <w:p w14:paraId="41A26F8C" w14:textId="77777777">
      <w:pPr>
        <w:pStyle w:val="BodyText"/>
        <w:rPr>
          <w:b/>
          <w:bCs/>
        </w:rPr>
      </w:pPr>
    </w:p>
    <w:p w14:paraId="39D0E534" w14:textId="627C2341">
      <w:pPr>
        <w:pStyle w:val="P68B1DB1-Normal13"/>
        <w:widowControl w:val="0"/>
        <w:autoSpaceDE w:val="0"/>
        <w:autoSpaceDN w:val="0"/>
        <w:spacing w:after="0" w:line="240" w:lineRule="auto"/>
        <w:jc w:val="both"/>
        <w:outlineLvl w:val="1"/>
      </w:pPr>
      <w:hyperlink r:id="rId73" w:history="1">
        <w:r>
          <w:rPr>
            <w:color w:val="0000FF"/>
            <w:u w:val="single"/>
          </w:rPr>
          <w:t xml:space="preserve">Sodba z dne 2. avgusta 1993</w:t>
        </w:r>
      </w:hyperlink>
      <w:r>
        <w:t xml:space="preserve">, Komisija/Italija, C-139/92, EU:C:1993:346, točki 8 in 9.</w:t>
      </w:r>
      <w:bookmarkEnd w:id="126"/>
    </w:p>
    <w:p w14:paraId="1DF5BE2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7852024" w14:textId="67891414">
      <w:pPr>
        <w:widowControl w:val="0"/>
        <w:tabs>
          <w:tab w:val="left" w:pos="413"/>
        </w:tabs>
        <w:autoSpaceDE w:val="0"/>
        <w:autoSpaceDN w:val="0"/>
        <w:spacing w:after="0" w:line="240" w:lineRule="auto"/>
        <w:jc w:val="both"/>
        <w:rPr>
          <w:rFonts w:ascii="Times New Roman" w:hAnsi="Times New Roman" w:cs="Times New Roman" w:eastAsia="Times New Roman"/>
          <w:szCs w:val="20"/>
        </w:rPr>
        <w:pStyle w:val="P68B1DB1-Normal14"/>
      </w:pPr>
      <w:r>
        <w:t xml:space="preserve">Italija s tem, da v fazi osnutka ni priglasila ministrskega odloka o opredelitvi in preverjanju največje moči ter o izdelavi in vgradnji motorjev za plovila za rekreacijo, ni izpolnila obveznosti priglasitve osnutkov tehničnih predpisov.</w:t>
      </w:r>
    </w:p>
    <w:p w14:paraId="478B471D" w14:textId="77777777">
      <w:pPr>
        <w:widowControl w:val="0"/>
        <w:tabs>
          <w:tab w:val="left" w:pos="413"/>
        </w:tabs>
        <w:autoSpaceDE w:val="0"/>
        <w:autoSpaceDN w:val="0"/>
        <w:spacing w:after="0" w:line="240" w:lineRule="auto"/>
        <w:jc w:val="both"/>
        <w:rPr>
          <w:rFonts w:ascii="Times New Roman" w:hAnsi="Times New Roman" w:cs="Times New Roman" w:eastAsia="Times New Roman"/>
          <w:szCs w:val="20"/>
        </w:rPr>
      </w:pPr>
    </w:p>
    <w:p w14:paraId="622C52BD" w14:textId="5E5EDE3D">
      <w:pPr>
        <w:pStyle w:val="P68B1DB1-Normal15"/>
        <w:widowControl w:val="0"/>
        <w:tabs>
          <w:tab w:val="left" w:pos="413"/>
        </w:tabs>
        <w:autoSpaceDE w:val="0"/>
        <w:autoSpaceDN w:val="0"/>
        <w:spacing w:after="0" w:line="240" w:lineRule="auto"/>
        <w:ind w:left="567"/>
        <w:jc w:val="both"/>
      </w:pPr>
      <w:r>
        <w:t xml:space="preserve">„8. Italijanska vlada ne zanika, da Komisije v fazi osnutka ni obvestila o zadevnem ministrskem odloku. </w:t>
      </w:r>
    </w:p>
    <w:p w14:paraId="7A672690" w14:textId="77777777">
      <w:pPr>
        <w:pStyle w:val="P68B1DB1-Normal15"/>
        <w:widowControl w:val="0"/>
        <w:tabs>
          <w:tab w:val="left" w:pos="413"/>
        </w:tabs>
        <w:autoSpaceDE w:val="0"/>
        <w:autoSpaceDN w:val="0"/>
        <w:spacing w:after="0" w:line="240" w:lineRule="auto"/>
        <w:ind w:left="567"/>
        <w:jc w:val="both"/>
      </w:pPr>
    </w:p>
    <w:p w14:paraId="29BAA761" w14:textId="7880A2A6">
      <w:pPr>
        <w:pStyle w:val="P68B1DB1-Normal15"/>
        <w:widowControl w:val="0"/>
        <w:tabs>
          <w:tab w:val="left" w:pos="413"/>
        </w:tabs>
        <w:autoSpaceDE w:val="0"/>
        <w:autoSpaceDN w:val="0"/>
        <w:spacing w:after="0" w:line="240" w:lineRule="auto"/>
        <w:ind w:left="567"/>
        <w:jc w:val="both"/>
      </w:pPr>
      <w:r>
        <w:t xml:space="preserve">9. Ker je ugotovljeno, da sta bila kršena člena 8 in 9 Direktive, je treba v skladu s predlogom Komisije ugotoviti obstoj neizpolnitve obveznosti.“</w:t>
      </w:r>
    </w:p>
    <w:p w14:paraId="78B40755" w14:textId="77777777">
      <w:pPr>
        <w:widowControl w:val="0"/>
        <w:tabs>
          <w:tab w:val="left" w:pos="413"/>
        </w:tabs>
        <w:autoSpaceDE w:val="0"/>
        <w:autoSpaceDN w:val="0"/>
        <w:spacing w:after="0" w:line="240" w:lineRule="auto"/>
        <w:ind w:left="567"/>
        <w:jc w:val="both"/>
        <w:rPr>
          <w:rFonts w:ascii="Times New Roman" w:hAnsi="Times New Roman" w:cs="Times New Roman" w:eastAsia="Times New Roman"/>
          <w:i/>
          <w:iCs/>
          <w:sz w:val="20"/>
          <w:szCs w:val="16"/>
        </w:rPr>
      </w:pPr>
    </w:p>
    <w:p w14:paraId="2D8A3294" w14:textId="363AC32B">
      <w:pPr>
        <w:pStyle w:val="P68B1DB1-Normal13"/>
        <w:widowControl w:val="0"/>
        <w:autoSpaceDE w:val="0"/>
        <w:autoSpaceDN w:val="0"/>
        <w:spacing w:after="0" w:line="240" w:lineRule="auto"/>
        <w:jc w:val="both"/>
        <w:outlineLvl w:val="1"/>
      </w:pPr>
      <w:hyperlink r:id="rId74" w:history="1">
        <w:r>
          <w:rPr>
            <w:color w:val="0000FF"/>
            <w:u w:val="single"/>
          </w:rPr>
          <w:t xml:space="preserve">Sodba z dne 14. julija 1994</w:t>
        </w:r>
      </w:hyperlink>
      <w:r>
        <w:t xml:space="preserve">, Komisija/Nizozemska, C-61/93, EU:C:1994:302, točki 6 in 10.</w:t>
      </w:r>
      <w:bookmarkEnd w:id="127"/>
    </w:p>
    <w:p w14:paraId="29C324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E58EFBE" w14:textId="7468B0CD">
      <w:pPr>
        <w:pStyle w:val="P68B1DB1-Normal14"/>
        <w:widowControl w:val="0"/>
        <w:tabs>
          <w:tab w:val="left" w:pos="405"/>
        </w:tabs>
        <w:autoSpaceDE w:val="0"/>
        <w:autoSpaceDN w:val="0"/>
        <w:spacing w:after="0" w:line="240" w:lineRule="auto"/>
        <w:jc w:val="both"/>
      </w:pPr>
      <w:r>
        <w:t xml:space="preserve">Nizozemska s tem, da je sprejela odloke o zahtevah glede odpornosti steklenic za brezalkoholne pijače ter o sestavi, razvrščanju, pakiranju in označevanju pesticidov, ne da bi o njih obvestila Komisijo v fazi osnutka, ni izpolnila obveznosti priglasitve osnutkov tehničnih predpisov.</w:t>
      </w:r>
    </w:p>
    <w:p w14:paraId="74F221D0" w14:textId="77777777">
      <w:pPr>
        <w:widowControl w:val="0"/>
        <w:tabs>
          <w:tab w:val="left" w:pos="405"/>
        </w:tabs>
        <w:autoSpaceDE w:val="0"/>
        <w:autoSpaceDN w:val="0"/>
        <w:spacing w:after="0" w:line="240" w:lineRule="auto"/>
        <w:jc w:val="both"/>
        <w:rPr>
          <w:rFonts w:ascii="Times New Roman" w:hAnsi="Times New Roman" w:cs="Times New Roman" w:eastAsia="Times New Roman"/>
          <w:szCs w:val="20"/>
        </w:rPr>
      </w:pPr>
    </w:p>
    <w:p w14:paraId="080827F2" w14:textId="79ECA7FF">
      <w:pPr>
        <w:pStyle w:val="P68B1DB1-Normal15"/>
        <w:widowControl w:val="0"/>
        <w:tabs>
          <w:tab w:val="left" w:pos="405"/>
        </w:tabs>
        <w:autoSpaceDE w:val="0"/>
        <w:autoSpaceDN w:val="0"/>
        <w:spacing w:after="0" w:line="240" w:lineRule="auto"/>
        <w:ind w:left="567"/>
        <w:jc w:val="both"/>
        <w:rPr>
          <w:iCs/>
        </w:rPr>
      </w:pPr>
      <w:r>
        <w:t xml:space="preserve">„6. Nizozemski organi so v dopisu z dne 17. novembra 1989 priznali, da je odlok z dne 16. januarja 1989 vseboval tehnične standarde iz Direktive 83/189 in da Komisiji niso priglasili osnutka spremembe. Vendar so poudarile, da je bil odlok poslan Komisiji, priložen dopisu z dne 22. maja 1989, v katerem je bila navedena institucija obveščena o privatizaciji ponderjev in merskih organov.“</w:t>
      </w:r>
    </w:p>
    <w:p w14:paraId="3BF11A4C" w14:textId="77777777">
      <w:pPr>
        <w:widowControl w:val="0"/>
        <w:tabs>
          <w:tab w:val="left" w:pos="405"/>
        </w:tabs>
        <w:autoSpaceDE w:val="0"/>
        <w:autoSpaceDN w:val="0"/>
        <w:spacing w:after="0" w:line="240" w:lineRule="auto"/>
        <w:ind w:left="567"/>
        <w:jc w:val="both"/>
        <w:rPr>
          <w:rFonts w:ascii="Times New Roman" w:hAnsi="Times New Roman" w:cs="Times New Roman" w:eastAsia="Times New Roman"/>
          <w:i/>
          <w:iCs/>
          <w:sz w:val="20"/>
          <w:szCs w:val="16"/>
        </w:rPr>
      </w:pPr>
    </w:p>
    <w:p w14:paraId="2B8AB5F8" w14:textId="06F5DED9">
      <w:pPr>
        <w:pStyle w:val="P68B1DB1-Normal15"/>
        <w:widowControl w:val="0"/>
        <w:tabs>
          <w:tab w:val="left" w:pos="405"/>
        </w:tabs>
        <w:autoSpaceDE w:val="0"/>
        <w:autoSpaceDN w:val="0"/>
        <w:spacing w:after="0" w:line="240" w:lineRule="auto"/>
        <w:ind w:left="567"/>
        <w:jc w:val="both"/>
        <w:rPr>
          <w:iCs/>
        </w:rPr>
      </w:pPr>
      <w:r>
        <w:t xml:space="preserve">„10. Ni sporno, da bi bilo treba v skladu s členom 8 Direktive o osnutkih uredb z dne 16. januarja 1989, 24. avgusta 1988 in 21. oktobra 1988 v fazi priprave nemudoma obvestiti Komisijo in da taka priglasitev ni bila podana.“</w:t>
      </w:r>
    </w:p>
    <w:p w14:paraId="0373B53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8FB31A8" w14:textId="5B58EFDA">
      <w:pPr>
        <w:pStyle w:val="P68B1DB1-Normal13"/>
        <w:widowControl w:val="0"/>
        <w:autoSpaceDE w:val="0"/>
        <w:autoSpaceDN w:val="0"/>
        <w:spacing w:after="0" w:line="240" w:lineRule="auto"/>
        <w:jc w:val="both"/>
        <w:outlineLvl w:val="1"/>
      </w:pPr>
      <w:hyperlink r:id="rId75" w:history="1">
        <w:r>
          <w:rPr>
            <w:color w:val="0000FF"/>
            <w:u w:val="single"/>
          </w:rPr>
          <w:t xml:space="preserve">Sodba z dne 14. julija 1994</w:t>
        </w:r>
      </w:hyperlink>
      <w:r>
        <w:t xml:space="preserve">, Komisija/Nizozemska, C-52/93, EU:C:1994:301, točki 6 in 10.</w:t>
      </w:r>
      <w:bookmarkEnd w:id="128"/>
    </w:p>
    <w:p w14:paraId="27ACC27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9AE01B0" w14:textId="3AD35C06">
      <w:pPr>
        <w:pStyle w:val="P68B1DB1-Normal14"/>
        <w:widowControl w:val="0"/>
        <w:tabs>
          <w:tab w:val="left" w:pos="400"/>
        </w:tabs>
        <w:autoSpaceDE w:val="0"/>
        <w:autoSpaceDN w:val="0"/>
        <w:spacing w:after="0" w:line="240" w:lineRule="auto"/>
        <w:jc w:val="both"/>
      </w:pPr>
      <w:r>
        <w:t xml:space="preserve">Nizozemska s spremembo uredbe o standardih kakovosti za cvetlične čebulice, ne da bi o tem obvestila Komisijo v fazi osnutka, ni izpolnila obveznosti priglasitve osnutkov tehničnih predpisov.</w:t>
      </w:r>
    </w:p>
    <w:p w14:paraId="13839355" w14:textId="77777777">
      <w:pPr>
        <w:widowControl w:val="0"/>
        <w:tabs>
          <w:tab w:val="left" w:pos="400"/>
        </w:tabs>
        <w:autoSpaceDE w:val="0"/>
        <w:autoSpaceDN w:val="0"/>
        <w:spacing w:after="0" w:line="240" w:lineRule="auto"/>
        <w:jc w:val="both"/>
        <w:rPr>
          <w:rFonts w:ascii="Times New Roman" w:hAnsi="Times New Roman" w:cs="Times New Roman" w:eastAsia="Times New Roman"/>
          <w:szCs w:val="20"/>
        </w:rPr>
      </w:pPr>
    </w:p>
    <w:p w14:paraId="39B7E7EA" w14:textId="2172CC07">
      <w:pPr>
        <w:pStyle w:val="P68B1DB1-Normal15"/>
        <w:widowControl w:val="0"/>
        <w:tabs>
          <w:tab w:val="left" w:pos="400"/>
        </w:tabs>
        <w:autoSpaceDE w:val="0"/>
        <w:autoSpaceDN w:val="0"/>
        <w:spacing w:after="0" w:line="240" w:lineRule="auto"/>
        <w:ind w:left="567"/>
        <w:jc w:val="both"/>
        <w:rPr>
          <w:iCs/>
        </w:rPr>
      </w:pPr>
      <w:r>
        <w:t xml:space="preserve">„6. Nizozemski organi so z dopisom z dne 4. novembra 1991 priznali, da je zadevna uredba tehnični predpis v smislu Direktive 83/189 in da Komisiji niso priglasili osnutka spremembe.“</w:t>
      </w:r>
    </w:p>
    <w:p w14:paraId="5F48D326" w14:textId="77777777">
      <w:pPr>
        <w:widowControl w:val="0"/>
        <w:tabs>
          <w:tab w:val="left" w:pos="400"/>
        </w:tabs>
        <w:autoSpaceDE w:val="0"/>
        <w:autoSpaceDN w:val="0"/>
        <w:spacing w:after="0" w:line="240" w:lineRule="auto"/>
        <w:ind w:left="567"/>
        <w:jc w:val="both"/>
        <w:rPr>
          <w:rFonts w:ascii="Times New Roman" w:hAnsi="Times New Roman" w:cs="Times New Roman" w:eastAsia="Times New Roman"/>
          <w:i/>
          <w:iCs/>
          <w:sz w:val="20"/>
          <w:szCs w:val="16"/>
        </w:rPr>
      </w:pPr>
    </w:p>
    <w:p w14:paraId="07D93C2A" w14:textId="4C09EDED">
      <w:pPr>
        <w:pStyle w:val="P68B1DB1-Normal15"/>
        <w:widowControl w:val="0"/>
        <w:tabs>
          <w:tab w:val="left" w:pos="400"/>
        </w:tabs>
        <w:autoSpaceDE w:val="0"/>
        <w:autoSpaceDN w:val="0"/>
        <w:spacing w:after="0" w:line="240" w:lineRule="auto"/>
        <w:ind w:left="567"/>
        <w:jc w:val="both"/>
        <w:rPr>
          <w:iCs/>
        </w:rPr>
      </w:pPr>
      <w:r>
        <w:t xml:space="preserve">„10. Ni sporno, da bi bilo treba v skladu s členom 8 Direktive osnutek spremembe XIII Uredbe PVS nemudoma sporočiti Komisiji in da takšno obvestilo ni bilo podano.“</w:t>
      </w:r>
    </w:p>
    <w:p w14:paraId="33E5C53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0CAA98B" w14:textId="07507EC2">
      <w:pPr>
        <w:pStyle w:val="P68B1DB1-Normal13"/>
        <w:widowControl w:val="0"/>
        <w:autoSpaceDE w:val="0"/>
        <w:autoSpaceDN w:val="0"/>
        <w:spacing w:after="0" w:line="240" w:lineRule="auto"/>
        <w:jc w:val="both"/>
        <w:outlineLvl w:val="1"/>
      </w:pPr>
      <w:hyperlink r:id="rId76" w:history="1">
        <w:r>
          <w:rPr>
            <w:color w:val="0000FF"/>
            <w:u w:val="single"/>
          </w:rPr>
          <w:t xml:space="preserve">Sodba z dne 8. septembra 2005</w:t>
        </w:r>
      </w:hyperlink>
      <w:r>
        <w:t xml:space="preserve">, Komisija/Portugalska, C-500/03, EU:C:2005:515, točke od 39 do 41.</w:t>
      </w:r>
      <w:bookmarkEnd w:id="129"/>
    </w:p>
    <w:p w14:paraId="49D6EA9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4F1E244" w14:textId="4211A048">
      <w:pPr>
        <w:pStyle w:val="P68B1DB1-Normal14"/>
        <w:widowControl w:val="0"/>
        <w:tabs>
          <w:tab w:val="left" w:pos="467"/>
        </w:tabs>
        <w:autoSpaceDE w:val="0"/>
        <w:autoSpaceDN w:val="0"/>
        <w:spacing w:after="0" w:line="240" w:lineRule="auto"/>
        <w:jc w:val="both"/>
      </w:pPr>
      <w:r>
        <w:t xml:space="preserve">Direktiva od držav članic zahteva, da Komisijo nemudoma obvestijo o vsakem osnutku tehničnega predpisa. Portugalska s tem, da je sprejela tehnični predpis, ne da bi ga priglasila Komisiji, ni izpolnila obveznosti priglasitve osnutkov tehničnih predpisov.</w:t>
      </w:r>
    </w:p>
    <w:p w14:paraId="5E8234E0"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3B2937C4" w14:textId="73811036">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(Ker je sodba na voljo samo v francoščini in portugalščini, je naslednje besedilo prevod.)</w:t>
      </w:r>
    </w:p>
    <w:p w14:paraId="534A01FA"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44335DFA" w14:textId="33F97E95">
      <w:pPr>
        <w:pStyle w:val="P68B1DB1-Normal15"/>
        <w:widowControl w:val="0"/>
        <w:tabs>
          <w:tab w:val="left" w:pos="467"/>
        </w:tabs>
        <w:autoSpaceDE w:val="0"/>
        <w:autoSpaceDN w:val="0"/>
        <w:spacing w:after="0" w:line="240" w:lineRule="auto"/>
        <w:ind w:left="567"/>
        <w:jc w:val="both"/>
        <w:rPr>
          <w:iCs/>
        </w:rPr>
      </w:pPr>
      <w:r>
        <w:t xml:space="preserve">„39. Ker je ta tožba zaradi neizpolnitve obveznosti omejena na predlog za ugotovitev neizpolnitve obveznosti v formalnem postopku predhodne priglasitve, zadostuje opozoriti, ne da bi bilo treba odgovoriti na druge trditve strank, da je Sodišče že razsodilo, da člen 8(1) Direktive 98/34 nalaga državam članicam, da Komisiji takoj sporočijo vsak osnutek tehničnega predpisa (glej v tem smislu zlasti sodbi z dne 2. avgusta 1993 v zadevi Komisija proti Italiji, 139/92, Recueil, str. I3, točka</w:t>
        <w:noBreakHyphen/>
        <w:t>31</w:t>
        <w:noBreakHyphen/>
        <w:t xml:space="preserve">, in z dne 11. januarja 1996 v zadevi Komisija proti Nizozemski, 273/94, Recueil, str. I-</w:t>
        <w:noBreakHyphen/>
        <w:t xml:space="preserve">, točka 15).</w:t>
      </w:r>
    </w:p>
    <w:p w14:paraId="01A9092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4CD1D685" w14:textId="0579D9AC">
      <w:pPr>
        <w:pStyle w:val="P68B1DB1-Normal15"/>
        <w:widowControl w:val="0"/>
        <w:tabs>
          <w:tab w:val="left" w:pos="467"/>
        </w:tabs>
        <w:autoSpaceDE w:val="0"/>
        <w:autoSpaceDN w:val="0"/>
        <w:spacing w:after="0" w:line="240" w:lineRule="auto"/>
        <w:ind w:left="567"/>
        <w:jc w:val="both"/>
        <w:rPr>
          <w:iCs/>
        </w:rPr>
      </w:pPr>
      <w:r>
        <w:t xml:space="preserve">40. Ker so upoštevne določbe dekreta št. 783/98 tehnični predpisi v smislu Direktive 98/34, kot je bilo navedeno v točki 31 te sodbe, jih je morala Portugalska republika v skladu s členom 8(1) Direktive 98/34 priglasiti v obliki osnutka (glej v tem smislu v zvezi z določbami, podobnimi tistim iz Direktive 98/34, zlasti sodbi z dne 7. maja 1998 v zadevi Komisija proti Belgiji, 145/97,</w:t>
        <w:noBreakHyphen/>
        <w:t xml:space="preserve">Recueil, str.</w:t>
        <w:noBreakHyphen/>
        <w:t xml:space="preserve">I-13, točka 43, in z dne 21. aprila 2005 v zadevi Lindberg, 267/03, </w:t>
        <w:noBreakHyphen/>
        <w:t xml:space="preserve">ZOdl., str. I-, točka).</w:t>
      </w:r>
    </w:p>
    <w:p w14:paraId="291F779F"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06E06802" w14:textId="376F605B">
      <w:pPr>
        <w:pStyle w:val="P68B1DB1-Normal15"/>
        <w:widowControl w:val="0"/>
        <w:tabs>
          <w:tab w:val="left" w:pos="467"/>
        </w:tabs>
        <w:autoSpaceDE w:val="0"/>
        <w:autoSpaceDN w:val="0"/>
        <w:spacing w:after="0" w:line="240" w:lineRule="auto"/>
        <w:ind w:left="567"/>
        <w:jc w:val="both"/>
        <w:rPr>
          <w:iCs/>
        </w:rPr>
      </w:pPr>
      <w:r>
        <w:t xml:space="preserve">41. Zato je treba ugotoviti, da Portugalska republika s tem, da je sprejela odlok št. 783/98, ne da bi o tem obvestila Komisijo v fazi osnutka, ni izpolnila obveznosti iz člena 8 Direktive 98/34.“</w:t>
      </w:r>
    </w:p>
    <w:p w14:paraId="46D65C64" w14:textId="77777777">
      <w:pPr>
        <w:widowControl w:val="0"/>
        <w:tabs>
          <w:tab w:val="left" w:pos="467"/>
        </w:tabs>
        <w:autoSpaceDE w:val="0"/>
        <w:autoSpaceDN w:val="0"/>
        <w:spacing w:after="0" w:line="240" w:lineRule="auto"/>
        <w:jc w:val="both"/>
        <w:rPr>
          <w:rFonts w:ascii="Times New Roman" w:hAnsi="Times New Roman" w:cs="Times New Roman" w:eastAsia="Times New Roman"/>
          <w:i/>
          <w:iCs/>
          <w:sz w:val="20"/>
          <w:szCs w:val="16"/>
        </w:rPr>
      </w:pPr>
    </w:p>
    <w:p w14:paraId="0E3DB178" w14:textId="7EEA9154">
      <w:pPr>
        <w:pStyle w:val="P68B1DB1-Normal13"/>
        <w:widowControl w:val="0"/>
        <w:autoSpaceDE w:val="0"/>
        <w:autoSpaceDN w:val="0"/>
        <w:spacing w:after="0" w:line="240" w:lineRule="auto"/>
        <w:jc w:val="both"/>
        <w:outlineLvl w:val="1"/>
      </w:pPr>
      <w:hyperlink r:id="rId77" w:history="1">
        <w:r>
          <w:rPr>
            <w:rStyle w:val="Hyperlink"/>
            <w:color w:val="0000FF"/>
          </w:rPr>
          <w:t xml:space="preserve">Sodba z dne 26. oktobra 2006</w:t>
        </w:r>
      </w:hyperlink>
      <w:r>
        <w:t xml:space="preserve">, Komisija/Grčija, C-65/05, EU:C:2006:673, točke 60 do 62.</w:t>
      </w:r>
      <w:bookmarkEnd w:id="130"/>
    </w:p>
    <w:p w14:paraId="6FCE0CC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ECD135F" w14:textId="0E173B3B">
      <w:pPr>
        <w:pStyle w:val="P68B1DB1-Normal14"/>
        <w:widowControl w:val="0"/>
        <w:tabs>
          <w:tab w:val="left" w:pos="467"/>
        </w:tabs>
        <w:autoSpaceDE w:val="0"/>
        <w:autoSpaceDN w:val="0"/>
        <w:spacing w:after="0" w:line="240" w:lineRule="auto"/>
        <w:jc w:val="both"/>
      </w:pPr>
      <w:r>
        <w:t xml:space="preserve">Direktiva od držav članic zahteva, da Komisijo nemudoma obvestijo o vsakem osnutku tehničnega predpisa. Grčija s tem, da takega uradnega obvestila ni poslala pred sprejetjem tehničnega predpisa, ni izpolnila svojih obveznosti iz te direktive.</w:t>
      </w:r>
    </w:p>
    <w:p w14:paraId="2C6CFEB3"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282FC740" w14:textId="4215BA66">
      <w:pPr>
        <w:pStyle w:val="P68B1DB1-BodyText25"/>
        <w:ind w:left="510"/>
      </w:pPr>
      <w:r>
        <w:t xml:space="preserve">„60. [...] v Uredbi št. 1367/2006 ni nobenega elementa, na podlagi katerega bi bilo mogoče šteti, da mora biti pojem „emisije v okolje“ v smislu člena 6(1), prvi stavek, te uredbe omejen na emisije iz nekaterih industrijskih obratov, kot so tovarne in elektrarne.</w:t>
      </w:r>
    </w:p>
    <w:p w14:paraId="4BFB9A72" w14:textId="77777777">
      <w:pPr>
        <w:pStyle w:val="P68B1DB1-BodyText25"/>
        <w:ind w:left="510"/>
      </w:pPr>
    </w:p>
    <w:p w14:paraId="0E60EA19" w14:textId="5C6F09B6">
      <w:pPr>
        <w:pStyle w:val="P68B1DB1-BodyText25"/>
        <w:ind w:left="510"/>
      </w:pPr>
      <w:r>
        <w:t xml:space="preserve">61. Ta omejitev prav tako ne more izhajati iz Aarhuške konvencije, ki jo je treba upoštevati pri razlagi Uredbe št. 1367/2006, saj je cilj te uredbe, kot izhaja iz njenega člena 1, prispevati k izvajanju obveznosti, ki izhajajo iz te konvencije, z določitvijo pravil za uporabo določb te konvencije v institucijah in organih Unije.</w:t>
      </w:r>
    </w:p>
    <w:p w14:paraId="37017D07" w14:textId="77777777">
      <w:pPr>
        <w:pStyle w:val="P68B1DB1-BodyText25"/>
        <w:ind w:left="510"/>
      </w:pPr>
    </w:p>
    <w:p w14:paraId="36CD38D8" w14:textId="043FC15A">
      <w:pPr>
        <w:pStyle w:val="P68B1DB1-BodyText25"/>
        <w:ind w:left="510"/>
        <w:rPr>
          <w:iCs/>
        </w:rPr>
      </w:pPr>
      <w:r>
        <w:t xml:space="preserve">62. Nasprotno, kot je poudarilo Sodišče v točki 72 sodbe s tem datumom, Bayer CropScience in Stichting De Bijenstichting (C-442/14), bi bila taka omejitev v nasprotju s samim besedilom člena 4(4), prva alinea, točka (d), Aarhuške konvencije. Ta določba določa, da je treba razkriti informacije o emisijah, ki so pomembne za varstvo okolja. Informacije o emisijah, ki izvirajo iz virov, ki niso industrijski obrati, kot so tiste, ki izhajajo iz uporabe fitofarmacevtskih sredstev na rastlinah ali tleh, so prav tako pomembne za varstvo okolja kot informacije v zvezi z emisijami industrijskega izvora.“</w:t>
      </w:r>
    </w:p>
    <w:p w14:paraId="5A47A683" w14:textId="63BA7C02">
      <w:pPr>
        <w:spacing w:after="0" w:line="278" w:lineRule="auto"/>
        <w:rPr>
          <w:rFonts w:ascii="Times New Roman" w:hAnsi="Times New Roman" w:cs="Times New Roman" w:eastAsia="Times New Roman"/>
          <w:b/>
          <w:bCs/>
          <w:sz w:val="24"/>
          <w:szCs w:val="20"/>
        </w:rPr>
      </w:pPr>
      <w:r>
        <w:br w:type="page"/>
      </w:r>
    </w:p>
    <w:p w14:paraId="04343D49" w14:textId="77777777">
      <w:pPr>
        <w:pStyle w:val="BodyText"/>
        <w:rPr>
          <w:b/>
          <w:bCs/>
        </w:rPr>
      </w:pPr>
    </w:p>
    <w:p w14:paraId="7E3DD826" w14:textId="7480DFAD">
      <w:pPr>
        <w:pStyle w:val="P68B1DB1-Heading24"/>
        <w:numPr>
          <w:ilvl w:val="0"/>
          <w:numId w:val="36"/>
        </w:numPr>
        <w:spacing w:before="0" w:after="0"/>
        <w:jc w:val="center"/>
        <w:rPr>
          <w:bCs/>
          <w:color w:val="auto"/>
        </w:rPr>
      </w:pPr>
      <w:bookmarkStart w:id="131" w:name="_Ref195518088"/>
      <w:bookmarkStart w:id="132" w:name="_Toc203035675"/>
      <w:bookmarkEnd w:id="125"/>
      <w:r>
        <w:t xml:space="preserve">Uradna obvestila o novih tehničnih predpisih</w:t>
      </w:r>
      <w:bookmarkEnd w:id="131"/>
      <w:bookmarkEnd w:id="132"/>
    </w:p>
    <w:p w14:paraId="411799D7"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6C5E8F90" w14:textId="38D84DF9">
      <w:pPr>
        <w:pStyle w:val="P68B1DB1-Normal13"/>
        <w:widowControl w:val="0"/>
        <w:autoSpaceDE w:val="0"/>
        <w:autoSpaceDN w:val="0"/>
        <w:spacing w:after="0" w:line="240" w:lineRule="auto"/>
        <w:jc w:val="both"/>
        <w:outlineLvl w:val="1"/>
      </w:pPr>
      <w:hyperlink r:id="rId78" w:history="1">
        <w:r>
          <w:rPr>
            <w:color w:val="0000FF"/>
            <w:u w:val="single"/>
          </w:rPr>
          <w:t xml:space="preserve">Sodba z dne 1. junija 1994</w:t>
        </w:r>
      </w:hyperlink>
      <w:r>
        <w:t xml:space="preserve">, Komisija/Nemčija, C-317/92, EU:C:1994:212, točki 25 in 26.</w:t>
      </w:r>
      <w:bookmarkEnd w:id="133"/>
    </w:p>
    <w:p w14:paraId="02B677B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1B1FEA" w14:textId="0EA3039C">
      <w:pPr>
        <w:pStyle w:val="P68B1DB1-Normal14"/>
        <w:widowControl w:val="0"/>
        <w:autoSpaceDE w:val="0"/>
        <w:autoSpaceDN w:val="0"/>
        <w:spacing w:after="0" w:line="240" w:lineRule="auto"/>
        <w:jc w:val="both"/>
      </w:pPr>
      <w:r>
        <w:t xml:space="preserve">Razširitev obstoječega „tehničnega predpisa“ na nove izdelke je zajeta v obveznosti priglasitve, čeprav je bila Komisija že obveščena o prvotnem tehničnem predpisu, katerega področje uporabe se razširja.</w:t>
      </w:r>
    </w:p>
    <w:p w14:paraId="04A42097" w14:textId="77777777">
      <w:pPr>
        <w:widowControl w:val="0"/>
        <w:autoSpaceDE w:val="0"/>
        <w:autoSpaceDN w:val="0"/>
        <w:spacing w:after="0" w:line="240" w:lineRule="auto"/>
        <w:jc w:val="both"/>
        <w:rPr>
          <w:rFonts w:ascii="Times New Roman" w:hAnsi="Times New Roman" w:cs="Times New Roman" w:eastAsia="Times New Roman"/>
          <w:szCs w:val="20"/>
        </w:rPr>
      </w:pPr>
    </w:p>
    <w:p w14:paraId="357AEE3D" w14:textId="1CE95929">
      <w:pPr>
        <w:pStyle w:val="P68B1DB1-Normal15"/>
        <w:widowControl w:val="0"/>
        <w:autoSpaceDE w:val="0"/>
        <w:autoSpaceDN w:val="0"/>
        <w:spacing w:after="0" w:line="240" w:lineRule="auto"/>
        <w:ind w:left="567"/>
        <w:jc w:val="both"/>
      </w:pPr>
      <w:r>
        <w:t xml:space="preserve">„25. Te trditve ni mogoče sprejeti. Zadevna nemška uredba je nova tehnična specifikacija v smislu zgoraj navedenega člena 1, saj se lahko sterilni medicinski instrumenti, ki jih ni mogoče ponovno uporabiti, v Nemčiji tržijo ali uporabljajo le, če so izpolnjene nekatere obveznosti, katerih uporaba je bila prej omejena na označevanje zdravil. Uporaba pravila, ki je prej zadevalo le druge proizvode, za dane proizvode pomeni novo uredbo in jo je zato treba priglasiti v skladu z Direktivo.</w:t>
      </w:r>
    </w:p>
    <w:p w14:paraId="6F610070" w14:textId="77777777">
      <w:pPr>
        <w:pStyle w:val="P68B1DB1-Normal15"/>
        <w:widowControl w:val="0"/>
        <w:autoSpaceDE w:val="0"/>
        <w:autoSpaceDN w:val="0"/>
        <w:spacing w:after="0" w:line="240" w:lineRule="auto"/>
        <w:ind w:left="567"/>
        <w:jc w:val="both"/>
      </w:pPr>
    </w:p>
    <w:p w14:paraId="1DBC3163" w14:textId="3F0E4DF7">
      <w:pPr>
        <w:pStyle w:val="P68B1DB1-Normal15"/>
        <w:widowControl w:val="0"/>
        <w:autoSpaceDE w:val="0"/>
        <w:autoSpaceDN w:val="0"/>
        <w:spacing w:after="0" w:line="240" w:lineRule="auto"/>
        <w:ind w:left="567"/>
        <w:jc w:val="both"/>
      </w:pPr>
      <w:r>
        <w:t xml:space="preserve">26. Te ugotovitve ne omaje dejstvo, da, kot trdi nemška vlada, razširitev področja uporabe pravila temelji na omogočitveni določbi, ki je bila predhodno sporočena Komisiji. Tega ukrepa, sprejetega kot takega, ni treba priglasiti na podlagi navedenega člena 8, saj ne pomeni nove specifikacije. Položaj je drugačen glede izvajanja tega ukrepa, ki je nova specifikacija, ki jo je treba priglasiti.“</w:t>
      </w:r>
    </w:p>
    <w:p w14:paraId="061E3A55"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4757D6C8" w14:textId="4D29C152">
      <w:pPr>
        <w:pStyle w:val="BodyText"/>
        <w:jc w:val="left"/>
        <w:rPr>
          <w:b/>
          <w:bCs/>
          <w:i/>
          <w:iCs/>
          <w:sz w:val="22"/>
          <w:szCs w:val="22"/>
        </w:rPr>
      </w:pPr>
      <w:hyperlink r:id="rId79" w:history="1">
        <w:r>
          <w:rPr>
            <w:rStyle w:val="Hyperlink"/>
            <w:b/>
            <w:i/>
            <w:color w:val="0000FF"/>
            <w:sz w:val="22"/>
            <w:szCs w:val="22"/>
          </w:rPr>
          <w:t xml:space="preserve">Sodba z dne 3. junija 1999</w:t>
        </w:r>
      </w:hyperlink>
      <w:r>
        <w:rPr>
          <w:b/>
          <w:i/>
          <w:sz w:val="22"/>
          <w:szCs w:val="22"/>
        </w:rPr>
        <w:t xml:space="preserve">, Colim NV, C-33/189, EU:C:1999:274, točka 22.</w:t>
      </w:r>
    </w:p>
    <w:p w14:paraId="04F11CCA" w14:textId="77777777">
      <w:pPr>
        <w:pStyle w:val="BodyText"/>
        <w:jc w:val="left"/>
      </w:pPr>
    </w:p>
    <w:p w14:paraId="540E63FC" w14:textId="5143314B">
      <w:pPr>
        <w:pStyle w:val="P68B1DB1-Normal14"/>
        <w:widowControl w:val="0"/>
        <w:tabs>
          <w:tab w:val="left" w:pos="396"/>
          <w:tab w:val="left" w:pos="425"/>
        </w:tabs>
        <w:autoSpaceDE w:val="0"/>
        <w:autoSpaceDN w:val="0"/>
        <w:spacing w:after="0" w:line="240" w:lineRule="auto"/>
        <w:jc w:val="both"/>
      </w:pPr>
      <w:r>
        <w:t xml:space="preserve">Nacionalni ukrep, ki povzema ali nadomešča obstoječe „tehnične predpise“, ki so že bili priglašeni Komisiji, brez dodajanja novih specifikacij, ni osnutek „tehničnega predpisa“.</w:t>
      </w:r>
    </w:p>
    <w:p w14:paraId="471E900A"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F465EBB" w14:textId="22D1CEEE">
      <w:pPr>
        <w:pStyle w:val="P68B1DB1-BodyText25"/>
        <w:ind w:left="567"/>
      </w:pPr>
      <w:r>
        <w:t xml:space="preserve">„22. [...] namen Direktive 83/189 je s preventivnim nadzorom zaščititi prosti pretok blaga, ki je eden od temeljev Skupnosti (sodba z dne 17. marca 1997 v zadevi Bic Benelux ν Belgium, C-13/96, Recueil, str. I-1753, točka 19). Namen tega nadzora je odpraviti ali zmanjšati ovire za prosti pretok blaga, ki bi lahko izhajale iz tehničnih predpisov, katerih sprejetje predlagajo države članice. Nacionalnega ukrepa, ki brez dodajanja novih ali dodatnih specifikacij povzema ali nadomešča obstoječe tehnične predpise, ki so bili, če so bili sprejeti po začetku veljavnosti Direktive 83/189, ustrezno priglašeni Komisiji, ni mogoče šteti za „osnutek“ tehničnega predpisa v smislu člena 1, točka 6, Direktive 83/189 in zato zanj ne velja obveznost priglasitve.“</w:t>
      </w:r>
    </w:p>
    <w:p w14:paraId="10EB0A44" w14:textId="77777777">
      <w:pPr>
        <w:pStyle w:val="BodyText"/>
        <w:jc w:val="left"/>
      </w:pPr>
    </w:p>
    <w:p w14:paraId="0FD7863C" w14:textId="41998E8B">
      <w:pPr>
        <w:pStyle w:val="P68B1DB1-Normal13"/>
        <w:widowControl w:val="0"/>
        <w:autoSpaceDE w:val="0"/>
        <w:autoSpaceDN w:val="0"/>
        <w:spacing w:after="0" w:line="240" w:lineRule="auto"/>
        <w:jc w:val="both"/>
        <w:outlineLvl w:val="1"/>
      </w:pPr>
      <w:hyperlink r:id="rId80" w:history="1">
        <w:r>
          <w:rPr>
            <w:color w:val="0000FF"/>
            <w:u w:val="single"/>
          </w:rPr>
          <w:t xml:space="preserve">Sodba z dne 21. aprila 2005</w:t>
        </w:r>
      </w:hyperlink>
      <w:r>
        <w:t xml:space="preserve">, Lindberg, C-267/03, EU:C:2005:246, točki 82 in 85.</w:t>
      </w:r>
      <w:bookmarkEnd w:id="134"/>
    </w:p>
    <w:p w14:paraId="5A455B86"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1D51892" w14:textId="03C8B255">
      <w:pPr>
        <w:pStyle w:val="P68B1DB1-Normal14"/>
        <w:widowControl w:val="0"/>
        <w:tabs>
          <w:tab w:val="left" w:pos="396"/>
          <w:tab w:val="left" w:pos="425"/>
        </w:tabs>
        <w:autoSpaceDE w:val="0"/>
        <w:autoSpaceDN w:val="0"/>
        <w:spacing w:after="0" w:line="240" w:lineRule="auto"/>
        <w:jc w:val="both"/>
      </w:pPr>
      <w:r>
        <w:t xml:space="preserve">Pravila, ki zgolj povzema ali nadomešča pravila, ki so že bila priglašena, brez dodajanja novih „tehničnih predpisov“, ni treba priglasiti.</w:t>
      </w:r>
    </w:p>
    <w:p w14:paraId="571C5A4D"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5C11DD3" w14:textId="55D687C5">
      <w:pPr>
        <w:pStyle w:val="P68B1DB1-P68B1DB1-ListParagraph226"/>
        <w:tabs>
          <w:tab w:val="left" w:pos="396"/>
          <w:tab w:val="left" w:pos="425"/>
        </w:tabs>
        <w:ind w:left="567" w:right="0" w:firstLine="0"/>
        <w:rPr>
          <w:iCs/>
        </w:rPr>
      </w:pPr>
      <w:r>
        <w:t xml:space="preserve">„82. [...] najprej je treba poudariti, da nacionalnega ukrepa, ki brez dodajanja novih ali dodatnih specifikacij povzema ali nadomešča obstoječe tehnične predpise, ki so bili, če so bili sprejeti po začetku veljavnosti Direktive 83/189, ustrezno priglašeni Komisiji, ni mogoče šteti za „osnutek“ tehničnega predpisa v smislu člena 1(9) Direktive 83/189 in zato zanj ne velja obveznost priglasitve (glej zgoraj navedeno sodbo Colim, točka 22). V obravnavanem primeru je treba upoštevati datum začetka veljavnosti Direktive 83/189 za Kraljevino Švedsko.“</w:t>
      </w:r>
    </w:p>
    <w:p w14:paraId="0CA23066" w14:textId="77777777">
      <w:pPr>
        <w:pStyle w:val="P68B1DB1-ListParagraph2"/>
        <w:tabs>
          <w:tab w:val="left" w:pos="396"/>
          <w:tab w:val="left" w:pos="425"/>
        </w:tabs>
        <w:ind w:left="567" w:right="0"/>
        <w:rPr>
          <w:i/>
          <w:iCs/>
          <w:sz w:val="20"/>
          <w:szCs w:val="16"/>
        </w:rPr>
      </w:pPr>
    </w:p>
    <w:p w14:paraId="45277F90" w14:textId="583D0CBF">
      <w:pPr>
        <w:pStyle w:val="P68B1DB1-P68B1DB1-ListParagraph226"/>
        <w:tabs>
          <w:tab w:val="left" w:pos="396"/>
          <w:tab w:val="left" w:pos="425"/>
        </w:tabs>
        <w:ind w:left="567" w:right="0" w:firstLine="0"/>
      </w:pPr>
      <w:r>
        <w:t xml:space="preserve">„85. Glede na zgoraj navedeno je treba na tretje vprašanje odgovoriti, da je ponovna opredelitev storitve, povezane z zasnovo izdelka, zlasti z uporabo nekaterih igralnih avtomatov, v nacionalni zakonodaji lahko tehnični predpis, ki ga je treba priglasiti v skladu z Direktivo 83/189, če se ta nova zakonodaja ne omejuje na ponovitev ali nadomestitev obstoječih tehničnih predpisov, ki so bili, če so bili sprejeti po začetku veljavnosti Direktive 83/189 v zadevni državi članici, pravilno priglašeni Komisiji, ne da bi bile dodane nove ali dodatne specifikacije.“</w:t>
      </w:r>
    </w:p>
    <w:p w14:paraId="7351A3AE" w14:textId="77777777">
      <w:pPr>
        <w:pStyle w:val="P68B1DB1-P68B1DB1-ListParagraph226"/>
        <w:tabs>
          <w:tab w:val="left" w:pos="396"/>
          <w:tab w:val="left" w:pos="425"/>
        </w:tabs>
        <w:ind w:left="0" w:right="0" w:firstLine="0"/>
      </w:pPr>
    </w:p>
    <w:p w14:paraId="7F72B3E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81" w:history="1">
        <w:r>
          <w:rPr>
            <w:rStyle w:val="Hyperlink"/>
            <w:rFonts w:ascii="Times New Roman" w:hAnsi="Times New Roman" w:cs="Times New Roman" w:eastAsia="Times New Roman"/>
            <w:b/>
            <w:i/>
            <w:color w:val="0000FF"/>
            <w:szCs w:val="20"/>
          </w:rPr>
          <w:t xml:space="preserve">Sodba z dne 13. marca 2025</w:t>
        </w:r>
      </w:hyperlink>
      <w:r>
        <w:rPr>
          <w:rFonts w:ascii="Times New Roman" w:hAnsi="Times New Roman" w:cs="Times New Roman" w:eastAsia="Times New Roman"/>
          <w:b/>
          <w:i/>
          <w:szCs w:val="20"/>
        </w:rPr>
        <w:t xml:space="preserve">, Unigames UAB, C-120/24, EU:C:2025:174, točki 57 in 58.</w:t>
      </w:r>
      <w:bookmarkEnd w:id="135"/>
    </w:p>
    <w:p w14:paraId="6E6DA28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7F00F2A0"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Priglasiti je treba spremembo osnutka tehničnega predpisa, ki bistveno razširja njegovo področje uporabe. Predlog spremembe, ki uvaja sankcije za nova ravnanja, je treba obravnavati kot bistveno revizijo tehničnega predpisa.</w:t>
      </w:r>
    </w:p>
    <w:p w14:paraId="6268DF61"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C4E84CC" w14:textId="72CC56DD">
      <w:pPr>
        <w:pStyle w:val="P68B1DB1-Normal15"/>
        <w:widowControl w:val="0"/>
        <w:tabs>
          <w:tab w:val="left" w:pos="437"/>
        </w:tabs>
        <w:autoSpaceDE w:val="0"/>
        <w:autoSpaceDN w:val="0"/>
        <w:spacing w:after="0" w:line="240" w:lineRule="auto"/>
        <w:ind w:left="567"/>
        <w:jc w:val="both"/>
        <w:rPr>
          <w:iCs/>
        </w:rPr>
      </w:pPr>
      <w:r>
        <w:t xml:space="preserve">„57. Iz predloga za sprejetje predhodne odločbe je razvidno, da je bila s členom 10(19) zakona o igrah na srečo „bistveno spremenjena“ prepoved spodbujanja sodelovanja pri igrah na srečo. Natančneje, predložitveno sodišče navaja, da ravnanja, ki se očita družbi Unigames na podlagi trenutno veljavnega zakona, in sicer objave informacij o dejavnostih iger na srečo, ki jih ponuja, na spletnem mestu te družbe, ni bilo mogoče kaznovati v skladu s prejšnjim zakonom o igrah na srečo. Zato je po mnenju predložitvenega sodišča ta člen 10(19) razširil področje uporabe te prepovedi.</w:t>
      </w:r>
    </w:p>
    <w:p w14:paraId="1B4969EB" w14:textId="77777777">
      <w:pPr>
        <w:pStyle w:val="P68B1DB1-Normal15"/>
        <w:widowControl w:val="0"/>
        <w:tabs>
          <w:tab w:val="left" w:pos="437"/>
        </w:tabs>
        <w:autoSpaceDE w:val="0"/>
        <w:autoSpaceDN w:val="0"/>
        <w:spacing w:after="0" w:line="240" w:lineRule="auto"/>
        <w:ind w:left="567"/>
        <w:jc w:val="both"/>
        <w:rPr>
          <w:iCs/>
        </w:rPr>
      </w:pPr>
    </w:p>
    <w:p w14:paraId="6A710DBF" w14:textId="5A8EA617">
      <w:pPr>
        <w:pStyle w:val="P68B1DB1-Normal15"/>
        <w:widowControl w:val="0"/>
        <w:tabs>
          <w:tab w:val="left" w:pos="437"/>
        </w:tabs>
        <w:autoSpaceDE w:val="0"/>
        <w:autoSpaceDN w:val="0"/>
        <w:spacing w:after="0" w:line="240" w:lineRule="auto"/>
        <w:ind w:left="567"/>
        <w:jc w:val="both"/>
        <w:rPr>
          <w:iCs/>
        </w:rPr>
      </w:pPr>
      <w:r>
        <w:t xml:space="preserve">58. Iz navedb v predlogu za sprejetje predhodne odločbe tako izhaja, da so bile s členom 10(19) zakona o igrah na srečo dodane nove ali dodatne zahteve v smislu sodne prakse, navedene v točki 52 te sodbe, v primerjavi s členom 10(19) prejšnjega zakona o igrah na srečo. Iz tega sledi, da bi morala biti sprememba, na podlagi katere je bil sprejet trenutno veljavni zakon, s pridržkom morebitnih preverjanj, ki jih mora opraviti predložitveno sodišče, priglašena na podlagi člena 5(1), prvi pododstavek, Direktive 2015/1535.“</w:t>
      </w:r>
    </w:p>
    <w:p w14:paraId="339BEA27" w14:textId="77777777">
      <w:pPr>
        <w:pStyle w:val="P68B1DB1-P68B1DB1-ListParagraph226"/>
        <w:tabs>
          <w:tab w:val="left" w:pos="396"/>
          <w:tab w:val="left" w:pos="425"/>
        </w:tabs>
        <w:ind w:left="0" w:right="0" w:firstLine="0"/>
        <w:rPr>
          <w:iCs/>
        </w:rPr>
      </w:pPr>
    </w:p>
    <w:p w14:paraId="6669AD1C" w14:textId="1CFF8354">
      <w:pPr>
        <w:pStyle w:val="P68B1DB1-Normal16"/>
        <w:spacing w:after="0" w:line="240" w:lineRule="auto"/>
        <w:rPr>
          <w:i/>
          <w:iCs/>
        </w:rPr>
      </w:pPr>
      <w:r>
        <w:br w:type="page"/>
      </w:r>
    </w:p>
    <w:p w14:paraId="7F22FE55" w14:textId="67315266">
      <w:pPr>
        <w:pStyle w:val="P68B1DB1-Heading24"/>
        <w:numPr>
          <w:ilvl w:val="0"/>
          <w:numId w:val="36"/>
        </w:numPr>
        <w:spacing w:before="0" w:after="0"/>
        <w:jc w:val="center"/>
        <w:rPr>
          <w:bCs/>
          <w:color w:val="auto"/>
        </w:rPr>
      </w:pPr>
      <w:bookmarkStart w:id="136" w:name="_Ref194484898"/>
      <w:bookmarkStart w:id="137" w:name="_Toc203035676"/>
      <w:r>
        <w:t xml:space="preserve">Uradno obvestilo o celotnem besedilu</w:t>
      </w:r>
      <w:bookmarkEnd w:id="136"/>
      <w:bookmarkEnd w:id="137"/>
    </w:p>
    <w:p w14:paraId="7C840A0C" w14:textId="77777777">
      <w:pPr>
        <w:pStyle w:val="BodyText"/>
        <w:rPr>
          <w:b/>
          <w:bCs/>
        </w:rPr>
      </w:pPr>
    </w:p>
    <w:p w14:paraId="70826245" w14:textId="6B20BAFD">
      <w:pPr>
        <w:pStyle w:val="P68B1DB1-Normal13"/>
        <w:widowControl w:val="0"/>
        <w:autoSpaceDE w:val="0"/>
        <w:autoSpaceDN w:val="0"/>
        <w:spacing w:after="0" w:line="240" w:lineRule="auto"/>
        <w:jc w:val="both"/>
        <w:outlineLvl w:val="1"/>
      </w:pPr>
      <w:hyperlink r:id="rId82" w:history="1">
        <w:r>
          <w:rPr>
            <w:color w:val="0000FF"/>
            <w:u w:val="single"/>
          </w:rPr>
          <w:t xml:space="preserve">Sodba z dne 16. septembra 1997</w:t>
        </w:r>
      </w:hyperlink>
      <w:r>
        <w:t xml:space="preserve">, Komisija/Italija, C-279/94, EU:C:1997:396, točki 38 in 42.</w:t>
      </w:r>
      <w:bookmarkEnd w:id="138"/>
    </w:p>
    <w:p w14:paraId="5500F145" w14:textId="77777777">
      <w:pPr>
        <w:widowControl w:val="0"/>
        <w:autoSpaceDE w:val="0"/>
        <w:autoSpaceDN w:val="0"/>
        <w:spacing w:after="0" w:line="240" w:lineRule="auto"/>
        <w:jc w:val="both"/>
        <w:rPr>
          <w:rFonts w:ascii="Times New Roman" w:hAnsi="Times New Roman" w:cs="Times New Roman" w:eastAsia="Times New Roman"/>
          <w:szCs w:val="20"/>
        </w:rPr>
      </w:pPr>
    </w:p>
    <w:p w14:paraId="2034B5D1" w14:textId="5EDE6A01">
      <w:pPr>
        <w:pStyle w:val="P68B1DB1-Normal14"/>
        <w:widowControl w:val="0"/>
        <w:autoSpaceDE w:val="0"/>
        <w:autoSpaceDN w:val="0"/>
        <w:spacing w:after="0" w:line="240" w:lineRule="auto"/>
        <w:jc w:val="both"/>
      </w:pPr>
      <w:r>
        <w:t xml:space="preserve">Besedilo, ki vsebuje „tehnične predpise“, je treba priglasiti v celoti, vključno z ukrepi, ki niso „tehnični predpisi“, čeprav obdobje mirovanja velja samo za „tehnične predpise“.</w:t>
      </w:r>
    </w:p>
    <w:p w14:paraId="212FCCEC" w14:textId="77777777">
      <w:pPr>
        <w:widowControl w:val="0"/>
        <w:autoSpaceDE w:val="0"/>
        <w:autoSpaceDN w:val="0"/>
        <w:spacing w:after="0" w:line="240" w:lineRule="auto"/>
        <w:jc w:val="both"/>
        <w:rPr>
          <w:rFonts w:ascii="Times New Roman" w:hAnsi="Times New Roman" w:cs="Times New Roman" w:eastAsia="Times New Roman"/>
          <w:szCs w:val="20"/>
        </w:rPr>
      </w:pPr>
    </w:p>
    <w:p w14:paraId="41D543D7" w14:textId="2D86A463">
      <w:pPr>
        <w:pStyle w:val="P68B1DB1-Normal15"/>
        <w:widowControl w:val="0"/>
        <w:tabs>
          <w:tab w:val="left" w:pos="396"/>
          <w:tab w:val="left" w:pos="461"/>
        </w:tabs>
        <w:autoSpaceDE w:val="0"/>
        <w:autoSpaceDN w:val="0"/>
        <w:spacing w:after="0" w:line="240" w:lineRule="auto"/>
        <w:ind w:left="567"/>
        <w:jc w:val="both"/>
        <w:rPr>
          <w:iCs/>
        </w:rPr>
      </w:pPr>
      <w:r>
        <w:t xml:space="preserve">„38. V zvezi z obveznostjo italijanske vlade, da sporoči celotno besedilo zakona št. 257/92, vključno z določbami, ki niso tehnični predpisi, je treba opozoriti, da morajo države članice v skladu s členom 8(1), prvi pododstavek, zadnji stavek, Direktive Komisiji sporočiti tudi besedilo temeljnih zakonov ali drugih predpisov, ki jih zadeva predvsem in neposredno, če je poznavanje tega besedila potrebno za presojo posledic osnutka tehničnega predpisa.“</w:t>
      </w:r>
    </w:p>
    <w:p w14:paraId="2D985B3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iCs/>
          <w:sz w:val="20"/>
          <w:szCs w:val="16"/>
        </w:rPr>
      </w:pPr>
    </w:p>
    <w:p w14:paraId="48F0D541" w14:textId="215D3040">
      <w:pPr>
        <w:pStyle w:val="P68B1DB1-Normal15"/>
        <w:widowControl w:val="0"/>
        <w:tabs>
          <w:tab w:val="left" w:pos="396"/>
          <w:tab w:val="left" w:pos="461"/>
        </w:tabs>
        <w:autoSpaceDE w:val="0"/>
        <w:autoSpaceDN w:val="0"/>
        <w:spacing w:after="0" w:line="240" w:lineRule="auto"/>
        <w:ind w:left="567"/>
        <w:jc w:val="both"/>
        <w:rPr>
          <w:iCs/>
        </w:rPr>
      </w:pPr>
      <w:r>
        <w:t xml:space="preserve">„42. Vendar zgolj dejstvo, da so vse določbe zakona št. 257/92 sporočene Komisiji, Italijanski republiki ne preprečuje, da takoj in torej brez čakanja na rezultate postopka pregleda, določenega z Direktivo, začne veljati določbe, ki niso tehnični predpisi.“</w:t>
      </w:r>
    </w:p>
    <w:p w14:paraId="7749D63B" w14:textId="5E15703E">
      <w:pPr>
        <w:pStyle w:val="P68B1DB1-Normal16"/>
        <w:spacing w:after="0" w:line="240" w:lineRule="auto"/>
        <w:rPr>
          <w:i/>
          <w:iCs/>
        </w:rPr>
      </w:pPr>
      <w:r>
        <w:br w:type="page"/>
      </w:r>
    </w:p>
    <w:p w14:paraId="66AC7FAE" w14:textId="2333E9D9">
      <w:pPr>
        <w:pStyle w:val="P68B1DB1-Heading24"/>
        <w:numPr>
          <w:ilvl w:val="0"/>
          <w:numId w:val="36"/>
        </w:numPr>
        <w:spacing w:before="0" w:after="0"/>
        <w:jc w:val="center"/>
        <w:rPr>
          <w:bCs/>
          <w:color w:val="auto"/>
        </w:rPr>
      </w:pPr>
      <w:bookmarkStart w:id="139" w:name="_Ref194484917"/>
      <w:bookmarkStart w:id="140" w:name="_Ref196314289"/>
      <w:bookmarkStart w:id="141" w:name="_Toc203035677"/>
      <w:r>
        <w:t xml:space="preserve">Uradno obvestilo o zadevnih osnovnih </w:t>
      </w:r>
      <w:bookmarkEnd w:id="139"/>
      <w:r>
        <w:t>določbah</w:t>
      </w:r>
      <w:bookmarkEnd w:id="140"/>
      <w:bookmarkEnd w:id="141"/>
    </w:p>
    <w:p w14:paraId="02AB25EF" w14:textId="77777777">
      <w:pPr>
        <w:pStyle w:val="BodyText"/>
        <w:ind w:left="1440"/>
        <w:jc w:val="right"/>
        <w:rPr>
          <w:i/>
          <w:iCs/>
        </w:rPr>
      </w:pPr>
    </w:p>
    <w:p w14:paraId="7ADAEEA1" w14:textId="057664EC">
      <w:pPr>
        <w:pStyle w:val="P68B1DB1-BodyText11"/>
        <w:ind w:left="1440"/>
        <w:rPr>
          <w:iCs/>
        </w:rPr>
      </w:pPr>
      <w:r>
        <w:t xml:space="preserve">„Po potrebi in razen če je bilo že poslano s predhodnim sporočilom, države članice hkrati sporočijo Komisiji besedila temeljnih zakonov ali drugih predpisov, ki jih to v glavnem in neposredno zadeva, če je poznavanje takšnega besedila potrebno za oceno posledic osnutka tehničnega predpisa.“</w:t>
      </w:r>
    </w:p>
    <w:p w14:paraId="3C018828" w14:textId="77777777">
      <w:pPr>
        <w:pStyle w:val="BodyText"/>
        <w:ind w:left="1440"/>
        <w:jc w:val="right"/>
        <w:rPr>
          <w:i/>
          <w:iCs/>
        </w:rPr>
      </w:pPr>
    </w:p>
    <w:p w14:paraId="21D14611" w14:textId="15758967">
      <w:pPr>
        <w:pStyle w:val="BodyText"/>
        <w:ind w:left="1440"/>
        <w:jc w:val="right"/>
      </w:pPr>
      <w:r>
        <w:t xml:space="preserve">(člen 5(1), drugi stavek, Direktive (EU) 2015/1535)</w:t>
      </w:r>
    </w:p>
    <w:p w14:paraId="7479C45A" w14:textId="77777777">
      <w:pPr>
        <w:pStyle w:val="BodyText"/>
        <w:ind w:left="1440"/>
        <w:jc w:val="right"/>
        <w:rPr>
          <w:i/>
          <w:iCs/>
        </w:rPr>
      </w:pPr>
    </w:p>
    <w:p w14:paraId="7E6EAA27" w14:textId="714E980B">
      <w:pPr>
        <w:pStyle w:val="P68B1DB1-Normal13"/>
        <w:widowControl w:val="0"/>
        <w:autoSpaceDE w:val="0"/>
        <w:autoSpaceDN w:val="0"/>
        <w:spacing w:after="0" w:line="240" w:lineRule="auto"/>
        <w:jc w:val="both"/>
        <w:outlineLvl w:val="1"/>
      </w:pPr>
      <w:hyperlink r:id="rId83" w:history="1">
        <w:r>
          <w:rPr>
            <w:color w:val="0000FF"/>
            <w:u w:val="single"/>
          </w:rPr>
          <w:t xml:space="preserve">Sodba z dne 7. maja 1998</w:t>
        </w:r>
      </w:hyperlink>
      <w:r>
        <w:t xml:space="preserve">, Komisija/Belgija, C-145/97, EU:C:1998:212, točki 11 in 12.</w:t>
      </w:r>
      <w:bookmarkEnd w:id="142"/>
    </w:p>
    <w:p w14:paraId="768284F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32E540" w14:textId="0817AF48">
      <w:pPr>
        <w:pStyle w:val="P68B1DB1-Normal14"/>
        <w:widowControl w:val="0"/>
        <w:tabs>
          <w:tab w:val="left" w:pos="437"/>
        </w:tabs>
        <w:autoSpaceDE w:val="0"/>
        <w:autoSpaceDN w:val="0"/>
        <w:spacing w:after="0" w:line="240" w:lineRule="auto"/>
        <w:jc w:val="both"/>
      </w:pPr>
      <w:r>
        <w:t xml:space="preserve">Države članice morajo sporočiti ne le osnutek besedila, ki vsebuje „tehnične predpise“, ampak tudi besedilo temeljnih zakonov ali drugih predpisov, ki jih to v glavnem in neposredno zadeva. Namen te obveznosti je Komisiji omogočiti, da ima na voljo čim več informacij in tako učinkovito izvaja pooblastila, ki so ji podeljena z Direktivo.</w:t>
      </w:r>
    </w:p>
    <w:p w14:paraId="239177AF"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52AC3E4" w14:textId="74A8268E">
      <w:pPr>
        <w:pStyle w:val="P68B1DB1-P68B1DB1-Normal1623"/>
        <w:widowControl w:val="0"/>
        <w:tabs>
          <w:tab w:val="left" w:pos="437"/>
        </w:tabs>
        <w:autoSpaceDE w:val="0"/>
        <w:autoSpaceDN w:val="0"/>
        <w:spacing w:after="0" w:line="240" w:lineRule="auto"/>
        <w:ind w:left="567"/>
        <w:jc w:val="both"/>
        <w:rPr>
          <w:i/>
        </w:rPr>
      </w:pPr>
      <w:r>
        <w:t xml:space="preserve">„11. Drugič, kar zadeva natančen obseg obveznosti sporočanja, zadnji stavek člena 8(1), prvi pododstavek, Direktive določa, da države članice sporočijo tudi besedilo temeljnih zakonskih ali podzakonskih predpisov, ki se v glavnem in neposredno nanašajo, če je poznavanje takega besedila potrebno za presojo posledic osnutka tehničnega predpisa.</w:t>
      </w:r>
    </w:p>
    <w:p w14:paraId="34A9E602" w14:textId="77777777">
      <w:pPr>
        <w:pStyle w:val="P68B1DB1-Normal16"/>
        <w:widowControl w:val="0"/>
        <w:tabs>
          <w:tab w:val="left" w:pos="437"/>
        </w:tabs>
        <w:autoSpaceDE w:val="0"/>
        <w:autoSpaceDN w:val="0"/>
        <w:spacing w:after="0" w:line="240" w:lineRule="auto"/>
        <w:ind w:left="567"/>
        <w:jc w:val="both"/>
        <w:rPr>
          <w:i/>
        </w:rPr>
      </w:pPr>
    </w:p>
    <w:p w14:paraId="4EF4E053" w14:textId="6423D8FC">
      <w:pPr>
        <w:pStyle w:val="P68B1DB1-P68B1DB1-Normal1623"/>
        <w:widowControl w:val="0"/>
        <w:tabs>
          <w:tab w:val="left" w:pos="437"/>
        </w:tabs>
        <w:autoSpaceDE w:val="0"/>
        <w:autoSpaceDN w:val="0"/>
        <w:spacing w:after="0" w:line="240" w:lineRule="auto"/>
        <w:ind w:left="567"/>
        <w:jc w:val="both"/>
        <w:rPr>
          <w:i/>
        </w:rPr>
      </w:pPr>
      <w:r>
        <w:t xml:space="preserve">12. Kot je Sodišče poudarilo v sodbi z dne 11. julija 1997 v zadevi Komisija proti Italiji (C-279/94, Recueil, str. I-4743, točka 40), je cilj te določbe Komisiji omogočiti, da ima čim več informacij o vsakem osnutku tehničnega predpisa glede njegove vsebine, obsega in splošnega okvira, da bi lahko kar najbolj učinkovito izvajala pooblastila, ki so ji podeljena z Direktivo.“</w:t>
      </w:r>
    </w:p>
    <w:p w14:paraId="4E67514A" w14:textId="77777777">
      <w:pPr>
        <w:pStyle w:val="P68B1DB1-Normal16"/>
        <w:spacing w:after="0" w:line="240" w:lineRule="auto"/>
      </w:pPr>
      <w:r>
        <w:br w:type="page"/>
      </w:r>
    </w:p>
    <w:p w14:paraId="6CA665D0" w14:textId="62A7B166">
      <w:pPr>
        <w:pStyle w:val="P68B1DB1-Heading24"/>
        <w:numPr>
          <w:ilvl w:val="0"/>
          <w:numId w:val="36"/>
        </w:numPr>
        <w:spacing w:before="0" w:after="0"/>
        <w:jc w:val="center"/>
        <w:rPr>
          <w:bCs/>
          <w:color w:val="auto"/>
        </w:rPr>
      </w:pPr>
      <w:bookmarkStart w:id="143" w:name="_Ref194484926"/>
      <w:bookmarkStart w:id="144" w:name="_Ref196314295"/>
      <w:bookmarkStart w:id="145" w:name="_Toc203035678"/>
      <w:r>
        <w:t xml:space="preserve">Ponovna priglasitev</w:t>
      </w:r>
      <w:bookmarkEnd w:id="143"/>
      <w:r>
        <w:t xml:space="preserve"> v obdobju mirovanja</w:t>
      </w:r>
      <w:bookmarkEnd w:id="144"/>
      <w:bookmarkEnd w:id="145"/>
    </w:p>
    <w:p w14:paraId="469CC5E9" w14:textId="77777777">
      <w:pPr>
        <w:pStyle w:val="BodyText"/>
        <w:ind w:left="1440"/>
        <w:jc w:val="right"/>
        <w:rPr>
          <w:i/>
          <w:iCs/>
        </w:rPr>
      </w:pPr>
    </w:p>
    <w:p w14:paraId="07616479" w14:textId="3F014BDB">
      <w:pPr>
        <w:pStyle w:val="P68B1DB1-BodyText11"/>
        <w:ind w:left="1440"/>
        <w:rPr>
          <w:iCs/>
        </w:rPr>
      </w:pPr>
      <w:r>
        <w:t xml:space="preserve">„Države članice osnutek tehničnega predpisa ponovno sporočijo Komisiji pod pogoji iz prvega in drugega pododstavka tega odstavka, če osnutek spremenijo tako, da bistveno spremenijo njegovo področje uporabe, skrajšajo prvotno predvideni časovni razpored za izvajanje, dodajo specifikacije ali zahteve ali jih poostrijo.“</w:t>
      </w:r>
    </w:p>
    <w:p w14:paraId="3E582DDB" w14:textId="77777777">
      <w:pPr>
        <w:pStyle w:val="BodyText"/>
        <w:ind w:left="1440"/>
        <w:jc w:val="right"/>
        <w:rPr>
          <w:i/>
          <w:iCs/>
        </w:rPr>
      </w:pPr>
    </w:p>
    <w:p w14:paraId="57E3F15D" w14:textId="51B7D3EF">
      <w:pPr>
        <w:pStyle w:val="BodyText"/>
        <w:ind w:left="1440"/>
        <w:jc w:val="right"/>
      </w:pPr>
      <w:r>
        <w:t xml:space="preserve">(člen 5(1), tretji stavek, Direktive (EU) 2015/1535)</w:t>
      </w:r>
    </w:p>
    <w:p w14:paraId="3C5D4E98" w14:textId="77777777">
      <w:pPr>
        <w:widowControl w:val="0"/>
        <w:tabs>
          <w:tab w:val="left" w:pos="437"/>
        </w:tabs>
        <w:autoSpaceDE w:val="0"/>
        <w:autoSpaceDN w:val="0"/>
        <w:spacing w:after="0" w:line="240" w:lineRule="auto"/>
        <w:jc w:val="both"/>
      </w:pPr>
    </w:p>
    <w:p w14:paraId="0923F993" w14:textId="2074D78C">
      <w:pPr>
        <w:pStyle w:val="P68B1DB1-Normal13"/>
        <w:widowControl w:val="0"/>
        <w:autoSpaceDE w:val="0"/>
        <w:autoSpaceDN w:val="0"/>
        <w:spacing w:after="0" w:line="240" w:lineRule="auto"/>
        <w:jc w:val="both"/>
        <w:outlineLvl w:val="1"/>
      </w:pPr>
      <w:hyperlink r:id="rId84" w:history="1">
        <w:r>
          <w:rPr>
            <w:color w:val="0000FF"/>
            <w:u w:val="single"/>
          </w:rPr>
          <w:t xml:space="preserve">Sodba z dne 15. aprila 2010</w:t>
        </w:r>
      </w:hyperlink>
      <w:r>
        <w:t xml:space="preserve">, Sandström, C-433/05, EU:C:2010:184, točki 47 in 48.</w:t>
      </w:r>
      <w:bookmarkEnd w:id="146"/>
    </w:p>
    <w:p w14:paraId="442A3D5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7AEB5DB" w14:textId="57E34DD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Spremembe osnutka tehničnega predpisa, o katerih je bila Komisija že obveščena in ki zgolj omilijo pogoje uporabe zadevnega proizvoda, ne pomenijo bistvene spremembe, ki bi jo bilo treba dodatno priglasiti.</w:t>
      </w:r>
    </w:p>
    <w:p w14:paraId="14CAB084" w14:textId="77777777">
      <w:pPr>
        <w:widowControl w:val="0"/>
        <w:autoSpaceDE w:val="0"/>
        <w:autoSpaceDN w:val="0"/>
        <w:spacing w:after="0" w:line="240" w:lineRule="auto"/>
        <w:jc w:val="both"/>
        <w:rPr>
          <w:rFonts w:ascii="Times New Roman" w:hAnsi="Times New Roman" w:cs="Times New Roman" w:eastAsia="Times New Roman"/>
          <w:szCs w:val="20"/>
        </w:rPr>
      </w:pPr>
    </w:p>
    <w:p w14:paraId="711A665A" w14:textId="07F4B9B5">
      <w:pPr>
        <w:pStyle w:val="P68B1DB1-Normal15"/>
        <w:widowControl w:val="0"/>
        <w:autoSpaceDE w:val="0"/>
        <w:autoSpaceDN w:val="0"/>
        <w:spacing w:after="0" w:line="240" w:lineRule="auto"/>
        <w:ind w:left="567"/>
        <w:jc w:val="both"/>
      </w:pPr>
      <w:r>
        <w:t xml:space="preserve">„47. [...] glede na cilj Direktive 98/34, naveden v točki 41 te sodbe, spremembe osnutka tehničnega predpisa, o katerem je bila Komisija že obveščena na podlagi člena 8(1), prvi pododstavek, Direktive 98/34 in ki v zvezi s priglašenim osnutkom vsebujejo le omilitev pogojev uporabe zadevnega proizvoda in ki zato zmanjšujejo morebitni vpliv tehničnega predpisa na trgovino, ne pomenijo bistvene spremembe osnutka v smislu člena 8(1), tretji pododstavek, te direktive. Za te spremembe ne velja obveznost predhodnega obvestila.</w:t>
      </w:r>
    </w:p>
    <w:p w14:paraId="1CD58368" w14:textId="77777777">
      <w:pPr>
        <w:pStyle w:val="P68B1DB1-Normal15"/>
        <w:widowControl w:val="0"/>
        <w:autoSpaceDE w:val="0"/>
        <w:autoSpaceDN w:val="0"/>
        <w:spacing w:after="0" w:line="240" w:lineRule="auto"/>
        <w:ind w:left="567"/>
        <w:jc w:val="both"/>
      </w:pPr>
    </w:p>
    <w:p w14:paraId="07688F8B" w14:textId="1AE41F0D">
      <w:pPr>
        <w:pStyle w:val="P68B1DB1-Normal15"/>
        <w:widowControl w:val="0"/>
        <w:autoSpaceDE w:val="0"/>
        <w:autoSpaceDN w:val="0"/>
        <w:spacing w:after="0" w:line="240" w:lineRule="auto"/>
        <w:ind w:left="567"/>
        <w:jc w:val="both"/>
        <w:rPr>
          <w:iCs/>
        </w:rPr>
      </w:pPr>
      <w:r>
        <w:t xml:space="preserve">48. Čeprav morajo države članice v skladu s členom 8(3) Direktive 98/34 Komisiji nemudoma sporočiti dokončno besedilo tehničnega predpisa, neobveščanje o nepomembni spremembi takega predpisa pred njenim sprejetjem ne vpliva na uporabo te uredbe, če ni obveznosti predhodne priglasitve.“</w:t>
      </w:r>
    </w:p>
    <w:p w14:paraId="56651A14"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595AF62A" w14:textId="0AF157F1">
      <w:pPr>
        <w:pStyle w:val="P68B1DB1-Normal13"/>
        <w:widowControl w:val="0"/>
        <w:autoSpaceDE w:val="0"/>
        <w:autoSpaceDN w:val="0"/>
        <w:spacing w:after="0" w:line="240" w:lineRule="auto"/>
        <w:jc w:val="both"/>
        <w:outlineLvl w:val="1"/>
      </w:pPr>
      <w:hyperlink r:id="rId85" w:history="1">
        <w:r>
          <w:rPr>
            <w:color w:val="0000FF"/>
            <w:u w:val="single"/>
          </w:rPr>
          <w:t xml:space="preserve">Sodba z dne 31. januarja 2013</w:t>
        </w:r>
      </w:hyperlink>
      <w:r>
        <w:t xml:space="preserve">, Belgische Petroleum Unie in drugi, C-26/11, EU:C:2013:44, točki 56 in 57.</w:t>
      </w:r>
      <w:bookmarkEnd w:id="147"/>
    </w:p>
    <w:p w14:paraId="11A2865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307C232" w14:textId="029CC044">
      <w:pPr>
        <w:pStyle w:val="P68B1DB1-Normal14"/>
        <w:widowControl w:val="0"/>
        <w:tabs>
          <w:tab w:val="left" w:pos="412"/>
        </w:tabs>
        <w:autoSpaceDE w:val="0"/>
        <w:autoSpaceDN w:val="0"/>
        <w:spacing w:after="0" w:line="240" w:lineRule="auto"/>
        <w:jc w:val="both"/>
      </w:pPr>
      <w:r>
        <w:t xml:space="preserve">Direktiva ne zahteva ponovne priglasitve osnutka nacionalne zakonodaje, če je bil osnutek po uradnem obvestilu spremenjen, da bi se upoštevale pripombe Komisije, spremenjeni osnutek pa je bil naknadno posredovan Komisiji.</w:t>
      </w:r>
    </w:p>
    <w:p w14:paraId="7BB1B9C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8681219" w14:textId="6C2D482D">
      <w:pPr>
        <w:pStyle w:val="P68B1DB1-Normal15"/>
        <w:widowControl w:val="0"/>
        <w:tabs>
          <w:tab w:val="left" w:pos="412"/>
        </w:tabs>
        <w:autoSpaceDE w:val="0"/>
        <w:autoSpaceDN w:val="0"/>
        <w:spacing w:after="0" w:line="240" w:lineRule="auto"/>
        <w:ind w:left="567"/>
        <w:jc w:val="both"/>
      </w:pPr>
      <w:r>
        <w:t xml:space="preserve">„56. [...] Kraljevina Belgija se je v teh okoliščinah omejila na spremembo določb osnutka zakonodaje v skladu z zahtevo Komisije za odpravo trgovinske ovire, tako da se na podlagi člena 10(1), zadnja alinea, Direktive 98/34 obveznost obveščanja Komisije na podlagi člena 8(1), prvi pododstavek, te direktive ne uporablja za osnutek zakona o obveznosti mešanja.</w:t>
      </w:r>
    </w:p>
    <w:p w14:paraId="4B8B3C65" w14:textId="77777777">
      <w:pPr>
        <w:pStyle w:val="P68B1DB1-Normal15"/>
        <w:widowControl w:val="0"/>
        <w:tabs>
          <w:tab w:val="left" w:pos="412"/>
        </w:tabs>
        <w:autoSpaceDE w:val="0"/>
        <w:autoSpaceDN w:val="0"/>
        <w:spacing w:after="0" w:line="240" w:lineRule="auto"/>
        <w:ind w:left="567"/>
        <w:jc w:val="both"/>
      </w:pPr>
    </w:p>
    <w:p w14:paraId="2643CC13" w14:textId="30521DC9">
      <w:pPr>
        <w:pStyle w:val="P68B1DB1-Normal15"/>
        <w:widowControl w:val="0"/>
        <w:tabs>
          <w:tab w:val="left" w:pos="412"/>
        </w:tabs>
        <w:autoSpaceDE w:val="0"/>
        <w:autoSpaceDN w:val="0"/>
        <w:spacing w:after="0" w:line="240" w:lineRule="auto"/>
        <w:ind w:left="567"/>
        <w:jc w:val="both"/>
        <w:rPr>
          <w:iCs/>
        </w:rPr>
      </w:pPr>
      <w:r>
        <w:t xml:space="preserve">57. V teh okoliščinah je treba na drugo vprašanje odgovoriti, da je treba člen 8 Direktive 98/34 v povezavi s členom 10(1), zadnja alinea, te direktive razlagati tako, da ne zahteva priglasitve osnutka nacionalne zakonodaje, ki naftne družbe, ki dajejo bencin in/ali dizelsko gorivo na trg, zavezuje, da v istem koledarskem letu dajo na trg tudi določene odstotke biogoriv, če je bil osnutek po priglasitvi v skladu s členom 8(1), prvi pododstavek, spremenjen, da bi se upoštevale pripombe Komisije v zvezi z njim, in je bil spremenjeni osnutek nato posredovan Komisiji.“</w:t>
      </w:r>
    </w:p>
    <w:p w14:paraId="236E4111"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43993F44" w14:textId="3D80E37E">
      <w:pPr>
        <w:pStyle w:val="P68B1DB1-Normal14"/>
        <w:widowControl w:val="0"/>
        <w:autoSpaceDE w:val="0"/>
        <w:autoSpaceDN w:val="0"/>
        <w:spacing w:after="0" w:line="240" w:lineRule="auto"/>
        <w:jc w:val="both"/>
        <w:outlineLvl w:val="1"/>
        <w:rPr>
          <w:b/>
          <w:i/>
        </w:rPr>
      </w:pPr>
      <w:hyperlink r:id="rId86" w:history="1">
        <w:r>
          <w:rPr>
            <w:b/>
            <w:i/>
            <w:color w:val="0000FF"/>
            <w:u w:val="single"/>
          </w:rPr>
          <w:t xml:space="preserve">Sodba z dne 10. julija 2014,</w:t>
        </w:r>
      </w:hyperlink>
      <w:r>
        <w:rPr>
          <w:b/>
          <w:i/>
        </w:rPr>
        <w:t xml:space="preserve"> Ivansson in drugi</w:t>
      </w:r>
      <w:r>
        <w:rPr>
          <w:sz w:val="25"/>
        </w:rPr>
        <w:t>,</w:t>
      </w:r>
      <w:r>
        <w:rPr>
          <w:rFonts w:ascii="Open Sans" w:hAnsi="Open Sans" w:cs="Open Sans" w:eastAsiaTheme="minorHAnsi"/>
          <w:color w:val="000000"/>
          <w:sz w:val="18"/>
          <w:szCs w:val="18"/>
        </w:rPr>
        <w:t xml:space="preserve"> </w:t>
      </w:r>
      <w:r>
        <w:rPr>
          <w:b/>
          <w:i/>
        </w:rPr>
        <w:t xml:space="preserve">C-307/13, EU:C:2014:2058, točke od 48 do 50</w:t>
      </w:r>
      <w:r>
        <w:rPr>
          <w:sz w:val="25"/>
        </w:rPr>
        <w:t>.</w:t>
      </w:r>
      <w:bookmarkEnd w:id="148"/>
    </w:p>
    <w:p w14:paraId="27463427" w14:textId="77777777">
      <w:pPr>
        <w:widowControl w:val="0"/>
        <w:autoSpaceDE w:val="0"/>
        <w:autoSpaceDN w:val="0"/>
        <w:spacing w:after="0" w:line="240" w:lineRule="auto"/>
        <w:ind w:left="-142"/>
        <w:jc w:val="both"/>
        <w:rPr>
          <w:rFonts w:ascii="Times New Roman" w:hAnsi="Times New Roman" w:cs="Times New Roman" w:eastAsia="Times New Roman"/>
          <w:szCs w:val="20"/>
        </w:rPr>
      </w:pPr>
    </w:p>
    <w:p w14:paraId="0B57A13E" w14:textId="12E99D5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Vsako bistveno spremembo časovnega razporeda izvajanja nacionalnega ukrepa, vključno z bistvenim skrajšanjem, je treba sporočiti Komisiji. Zaradi neobveščanja je ukrep neuporaben in neizvršljiv proti posameznikom.</w:t>
      </w:r>
    </w:p>
    <w:p w14:paraId="0B31DCA0" w14:textId="77777777">
      <w:pPr>
        <w:widowControl w:val="0"/>
        <w:autoSpaceDE w:val="0"/>
        <w:autoSpaceDN w:val="0"/>
        <w:spacing w:after="0" w:line="240" w:lineRule="auto"/>
        <w:ind w:hanging="142"/>
        <w:jc w:val="both"/>
        <w:rPr>
          <w:rFonts w:ascii="Times New Roman" w:hAnsi="Times New Roman" w:cs="Times New Roman" w:eastAsia="Times New Roman"/>
          <w:szCs w:val="20"/>
        </w:rPr>
      </w:pPr>
    </w:p>
    <w:p w14:paraId="2FC99E88" w14:textId="427CE55A">
      <w:pPr>
        <w:pStyle w:val="P68B1DB1-Normal15"/>
        <w:widowControl w:val="0"/>
        <w:tabs>
          <w:tab w:val="left" w:pos="396"/>
          <w:tab w:val="left" w:pos="407"/>
        </w:tabs>
        <w:autoSpaceDE w:val="0"/>
        <w:autoSpaceDN w:val="0"/>
        <w:spacing w:after="0" w:line="240" w:lineRule="auto"/>
        <w:ind w:left="567"/>
        <w:jc w:val="both"/>
      </w:pPr>
      <w:r>
        <w:t xml:space="preserve">„48. V zvezi s tem je treba opozoriti, da je Sodišče presodilo, da pomeni kršitev obveznosti sporočanja Komisiji kršitev postopka pri sprejetju zadevnih tehničnih predpisov, ki povzroči neuporabnost teh predpisov, tako da jih ni mogoče uveljavljati proti posameznikom (glej zlasti sodbi CIA Security International, C-194/94, EU:C:1996:172, točka 54, in Schwibbert, C-20/05, EU:C:2007:652, točka 44). Na to neuporabnost se lahko posamezniki sklicujejo pred nacionalnim sodiščem, ki mora odkloniti uporabo nacionalnega tehničnega predpisa, ki ni bil sporočen v skladu z Direktivo 98/34 (glej zlasti sodbo Schwibbert, EU:C:2007:652, točka 44 in navedena sodna praksa).</w:t>
      </w:r>
    </w:p>
    <w:p w14:paraId="64D396E7" w14:textId="77777777">
      <w:pPr>
        <w:pStyle w:val="P68B1DB1-Normal15"/>
        <w:widowControl w:val="0"/>
        <w:tabs>
          <w:tab w:val="left" w:pos="396"/>
          <w:tab w:val="left" w:pos="407"/>
        </w:tabs>
        <w:autoSpaceDE w:val="0"/>
        <w:autoSpaceDN w:val="0"/>
        <w:spacing w:after="0" w:line="240" w:lineRule="auto"/>
        <w:ind w:left="567"/>
        <w:jc w:val="both"/>
      </w:pPr>
    </w:p>
    <w:p w14:paraId="24511168" w14:textId="41EC6123">
      <w:pPr>
        <w:pStyle w:val="P68B1DB1-Normal15"/>
        <w:widowControl w:val="0"/>
        <w:tabs>
          <w:tab w:val="left" w:pos="396"/>
          <w:tab w:val="left" w:pos="407"/>
        </w:tabs>
        <w:autoSpaceDE w:val="0"/>
        <w:autoSpaceDN w:val="0"/>
        <w:spacing w:after="0" w:line="240" w:lineRule="auto"/>
        <w:ind w:left="567"/>
        <w:jc w:val="both"/>
      </w:pPr>
      <w:r>
        <w:t xml:space="preserve">49. Iz tega sledi, da če je bil pri sporočanju člena 9 odloka (1988:539) Komisiji kot datum začetka veljavnosti dejansko naveden datum 1. maj 2003 in če je skrajšanje roka za začetek izvajanja tega odloka na 15. april 2003 pomenilo znatno spremembo, navedene nacionalne določbe, ker ni bila ponovno sporočena Komisiji, ni mogoče uveljavljati proti obdolžencem iz postopka v glavni stvari.</w:t>
      </w:r>
    </w:p>
    <w:p w14:paraId="5515956D" w14:textId="77777777">
      <w:pPr>
        <w:pStyle w:val="P68B1DB1-Normal15"/>
        <w:widowControl w:val="0"/>
        <w:tabs>
          <w:tab w:val="left" w:pos="396"/>
          <w:tab w:val="left" w:pos="407"/>
        </w:tabs>
        <w:autoSpaceDE w:val="0"/>
        <w:autoSpaceDN w:val="0"/>
        <w:spacing w:after="0" w:line="240" w:lineRule="auto"/>
        <w:ind w:left="567"/>
        <w:jc w:val="both"/>
      </w:pPr>
    </w:p>
    <w:p w14:paraId="74B7B30E" w14:textId="7B5C59D5">
      <w:pPr>
        <w:pStyle w:val="P68B1DB1-Normal15"/>
        <w:widowControl w:val="0"/>
        <w:tabs>
          <w:tab w:val="left" w:pos="396"/>
          <w:tab w:val="left" w:pos="407"/>
        </w:tabs>
        <w:autoSpaceDE w:val="0"/>
        <w:autoSpaceDN w:val="0"/>
        <w:spacing w:after="0" w:line="240" w:lineRule="auto"/>
        <w:ind w:left="567"/>
        <w:jc w:val="both"/>
      </w:pPr>
      <w:r>
        <w:t xml:space="preserve">50. Zato je treba na drugo vprašanje odgovoriti, da če za skrajšanje časovnega razporeda začetka veljavnosti tehničnega predpisa velja obveznost sporočanja Komisiji, kot je določeno v členu 8(1), tretji pododstavek, Direktive 98/34, če takega sporočila ni, se ta nacionalni ukrep ne uporabi, tako da ga ni mogoče uveljavljati zoper posameznike.“</w:t>
      </w:r>
    </w:p>
    <w:p w14:paraId="761A5A99" w14:textId="77777777">
      <w:pPr>
        <w:pStyle w:val="P68B1DB1-Normal15"/>
        <w:widowControl w:val="0"/>
        <w:tabs>
          <w:tab w:val="left" w:pos="396"/>
          <w:tab w:val="left" w:pos="407"/>
        </w:tabs>
        <w:autoSpaceDE w:val="0"/>
        <w:autoSpaceDN w:val="0"/>
        <w:spacing w:after="0" w:line="240" w:lineRule="auto"/>
        <w:jc w:val="both"/>
        <w:rPr>
          <w:iCs/>
        </w:rPr>
      </w:pPr>
    </w:p>
    <w:p w14:paraId="5BAF695F" w14:textId="64410CB4">
      <w:pPr>
        <w:pStyle w:val="P68B1DB1-Normal16"/>
        <w:spacing w:after="0" w:line="278" w:lineRule="auto"/>
      </w:pPr>
      <w:r>
        <w:br w:type="page"/>
      </w:r>
    </w:p>
    <w:p w14:paraId="6577BC49" w14:textId="03B1ACB8">
      <w:pPr>
        <w:pStyle w:val="P68B1DB1-Heading13"/>
        <w:numPr>
          <w:ilvl w:val="0"/>
          <w:numId w:val="34"/>
        </w:numPr>
        <w:spacing w:before="0" w:after="0"/>
        <w:jc w:val="center"/>
        <w:rPr>
          <w:bCs/>
          <w:color w:val="auto"/>
          <w:sz w:val="22"/>
          <w:szCs w:val="22"/>
        </w:rPr>
      </w:pPr>
      <w:bookmarkStart w:id="149" w:name="_Ref195517367"/>
      <w:bookmarkStart w:id="150" w:name="_Toc203035679"/>
      <w:r>
        <w:t xml:space="preserve">Izjeme od obveznosti priglasitve</w:t>
      </w:r>
      <w:bookmarkEnd w:id="149"/>
      <w:bookmarkEnd w:id="150"/>
    </w:p>
    <w:p w14:paraId="3C30462C" w14:textId="2740E9B7">
      <w:pPr>
        <w:spacing w:after="0" w:line="278" w:lineRule="auto"/>
        <w:rPr>
          <w:rFonts w:ascii="Times New Roman" w:hAnsi="Times New Roman" w:cs="Times New Roman"/>
          <w:i/>
          <w:sz w:val="20"/>
          <w:szCs w:val="20"/>
        </w:rPr>
      </w:pPr>
    </w:p>
    <w:p w14:paraId="0F730AF8" w14:textId="3DA91853">
      <w:pPr>
        <w:pStyle w:val="P68B1DB1-Heading24"/>
        <w:numPr>
          <w:ilvl w:val="0"/>
          <w:numId w:val="37"/>
        </w:numPr>
        <w:spacing w:before="0" w:after="0"/>
        <w:jc w:val="center"/>
        <w:rPr>
          <w:bCs/>
          <w:color w:val="auto"/>
        </w:rPr>
      </w:pPr>
      <w:bookmarkStart w:id="151" w:name="_Ref194484715"/>
      <w:bookmarkStart w:id="152" w:name="_Ref194942600"/>
      <w:bookmarkStart w:id="153" w:name="_Toc203035680"/>
      <w:r>
        <w:t xml:space="preserve">Prenos evropskega akta</w:t>
      </w:r>
      <w:bookmarkEnd w:id="151"/>
      <w:bookmarkEnd w:id="152"/>
      <w:bookmarkEnd w:id="153"/>
    </w:p>
    <w:p w14:paraId="4B7876F4" w14:textId="77777777">
      <w:pPr>
        <w:pStyle w:val="BodyText"/>
        <w:rPr>
          <w:b/>
          <w:bCs/>
        </w:rPr>
      </w:pPr>
    </w:p>
    <w:p w14:paraId="61507248" w14:textId="663D0F44">
      <w:pPr>
        <w:pStyle w:val="P68B1DB1-BodyText11"/>
        <w:ind w:left="567"/>
        <w:rPr>
          <w:i/>
        </w:rPr>
      </w:pPr>
      <w:r>
        <w:t xml:space="preserve">„Člena 5 in 6 se ne uporabljata za tiste zakone in druge predpise držav članic ali prostovoljne sporazume, s katerimi države članice: </w:t>
      </w:r>
    </w:p>
    <w:p w14:paraId="2762B474" w14:textId="77777777">
      <w:pPr>
        <w:pStyle w:val="BodyText"/>
        <w:ind w:left="567"/>
        <w:rPr>
          <w:i/>
        </w:rPr>
      </w:pPr>
    </w:p>
    <w:p w14:paraId="753FC221" w14:textId="4E9C46C0">
      <w:pPr>
        <w:pStyle w:val="P68B1DB1-BodyText11"/>
        <w:ind w:left="1440"/>
        <w:rPr>
          <w:iCs/>
        </w:rPr>
      </w:pPr>
      <w:r>
        <w:t xml:space="preserve">(a) so skladni z zavezujočimi akti Unije, na podlagi katerih se sprejmejo tehnične specifikacije ali pravila o storitvah;“</w:t>
      </w:r>
    </w:p>
    <w:p w14:paraId="2A077376" w14:textId="77777777">
      <w:pPr>
        <w:pStyle w:val="BodyText"/>
        <w:ind w:left="567"/>
        <w:rPr>
          <w:i/>
          <w:iCs/>
        </w:rPr>
      </w:pPr>
    </w:p>
    <w:p w14:paraId="7AE538ED" w14:textId="4CFA3BCA">
      <w:pPr>
        <w:pStyle w:val="BodyText"/>
        <w:jc w:val="right"/>
      </w:pPr>
      <w:r>
        <w:t xml:space="preserve">(Člen 7(1)(a) Direktive (EU) 2015/1535)</w:t>
      </w:r>
    </w:p>
    <w:p w14:paraId="7807BF7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C483B06" w14:textId="24AB8D26">
      <w:pPr>
        <w:pStyle w:val="P68B1DB1-Normal13"/>
        <w:widowControl w:val="0"/>
        <w:autoSpaceDE w:val="0"/>
        <w:autoSpaceDN w:val="0"/>
        <w:spacing w:after="0" w:line="240" w:lineRule="auto"/>
        <w:jc w:val="both"/>
        <w:outlineLvl w:val="1"/>
      </w:pPr>
      <w:hyperlink r:id="rId87" w:history="1">
        <w:r>
          <w:rPr>
            <w:color w:val="0000FF"/>
            <w:u w:val="single"/>
          </w:rPr>
          <w:t xml:space="preserve">Sodba z dne 17. septembra 1996</w:t>
        </w:r>
      </w:hyperlink>
      <w:r>
        <w:t xml:space="preserve">, Komisija/Italija, C-289/94, EU:C:1996:330, točke 43 do 45.</w:t>
      </w:r>
      <w:bookmarkEnd w:id="154"/>
    </w:p>
    <w:p w14:paraId="5A0D4173"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4994C4AC" w14:textId="06B0EF04">
      <w:pPr>
        <w:pStyle w:val="P68B1DB1-Normal14"/>
        <w:widowControl w:val="0"/>
        <w:tabs>
          <w:tab w:val="left" w:pos="393"/>
          <w:tab w:val="left" w:pos="396"/>
        </w:tabs>
        <w:autoSpaceDE w:val="0"/>
        <w:autoSpaceDN w:val="0"/>
        <w:spacing w:after="0" w:line="240" w:lineRule="auto"/>
        <w:jc w:val="both"/>
      </w:pPr>
      <w:r>
        <w:t xml:space="preserve">Da bi se nacionalni ukrep štel za ukrep za prenos, ki je izvzet iz obveznosti priglasitve, je treba ugotoviti neposredno povezavo z zavezujočim aktom Skupnosti. </w:t>
      </w:r>
    </w:p>
    <w:p w14:paraId="6B49E9E7"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i/>
          <w:iCs/>
          <w:sz w:val="20"/>
          <w:szCs w:val="16"/>
        </w:rPr>
      </w:pPr>
    </w:p>
    <w:p w14:paraId="433CF3E1" w14:textId="20EF3A37">
      <w:pPr>
        <w:pStyle w:val="P68B1DB1-Normal15"/>
        <w:widowControl w:val="0"/>
        <w:tabs>
          <w:tab w:val="left" w:pos="393"/>
          <w:tab w:val="left" w:pos="396"/>
        </w:tabs>
        <w:autoSpaceDE w:val="0"/>
        <w:autoSpaceDN w:val="0"/>
        <w:spacing w:after="0" w:line="240" w:lineRule="auto"/>
        <w:ind w:left="567"/>
        <w:jc w:val="both"/>
      </w:pPr>
      <w:r>
        <w:t xml:space="preserve">„43. Direktiva 91/492 vsebuje veliko širše določbe o trženju ne le školjk, temveč tudi morskih polžev, plaščarjev in iglokožcev. Določa nove zahteve za vse faze zbiranja, ravnanja, skladiščenja, prevoza in distribucije mehkužcev ter uvaja sistem registracije in označevanja, ki omogoča identifikacijo porekla vsake serije za zdravstvene namene. </w:t>
      </w:r>
    </w:p>
    <w:p w14:paraId="7B3D1E4A" w14:textId="77777777">
      <w:pPr>
        <w:pStyle w:val="P68B1DB1-Normal15"/>
        <w:widowControl w:val="0"/>
        <w:tabs>
          <w:tab w:val="left" w:pos="393"/>
          <w:tab w:val="left" w:pos="396"/>
        </w:tabs>
        <w:autoSpaceDE w:val="0"/>
        <w:autoSpaceDN w:val="0"/>
        <w:spacing w:after="0" w:line="240" w:lineRule="auto"/>
        <w:ind w:left="567"/>
        <w:jc w:val="both"/>
      </w:pPr>
    </w:p>
    <w:p w14:paraId="48887BBE" w14:textId="149910F2">
      <w:pPr>
        <w:pStyle w:val="P68B1DB1-Normal15"/>
        <w:widowControl w:val="0"/>
        <w:tabs>
          <w:tab w:val="left" w:pos="393"/>
          <w:tab w:val="left" w:pos="396"/>
        </w:tabs>
        <w:autoSpaceDE w:val="0"/>
        <w:autoSpaceDN w:val="0"/>
        <w:spacing w:after="0" w:line="240" w:lineRule="auto"/>
        <w:ind w:left="567"/>
        <w:jc w:val="both"/>
      </w:pPr>
      <w:r>
        <w:t xml:space="preserve">44. Poleg tega neobstoj neposredne povezave med Direktivo 91/492 in zadevnima odlokoma potrjuje trditev italijanske vlade, da je bila ta direktiva prenesena v italijansko pravo z zgoraj navedeno zakonsko uredbo št. 530 z dne 30. decembra 1992, ki je, kot trdi sama, edini ukrep za izvajanje Direktive 91/492 in v zvezi s katero je Komisija 27. januarja 1993 poslala podrobno mnenje, v katerem je kritizirala to uredbo, ker se je uporabljala za drug toksin (NSP), ki ni naveden v Direktivi 91/492. </w:t>
      </w:r>
    </w:p>
    <w:p w14:paraId="19342BDA" w14:textId="77777777">
      <w:pPr>
        <w:pStyle w:val="P68B1DB1-Normal15"/>
        <w:widowControl w:val="0"/>
        <w:tabs>
          <w:tab w:val="left" w:pos="393"/>
          <w:tab w:val="left" w:pos="396"/>
        </w:tabs>
        <w:autoSpaceDE w:val="0"/>
        <w:autoSpaceDN w:val="0"/>
        <w:spacing w:after="0" w:line="240" w:lineRule="auto"/>
        <w:ind w:left="567"/>
        <w:jc w:val="both"/>
      </w:pPr>
    </w:p>
    <w:p w14:paraId="1A450F93" w14:textId="4F2BD9E6">
      <w:pPr>
        <w:pStyle w:val="P68B1DB1-Normal15"/>
        <w:widowControl w:val="0"/>
        <w:tabs>
          <w:tab w:val="left" w:pos="393"/>
          <w:tab w:val="left" w:pos="396"/>
        </w:tabs>
        <w:autoSpaceDE w:val="0"/>
        <w:autoSpaceDN w:val="0"/>
        <w:spacing w:after="0" w:line="240" w:lineRule="auto"/>
        <w:ind w:left="567"/>
        <w:jc w:val="both"/>
      </w:pPr>
      <w:r>
        <w:t xml:space="preserve">45. Ker ne pomenijo ukrepov za prenos Direktive 91/492, ki bi upravičili uporabo člena 10 Direktive 83/189, je bilo treba dekret št. 257 z dne 1. avgusta 1990 in dekret z dne 1. septembra 1990 priglasiti Komisiji v skladu s členom 8 zadnjenavedene direktive.“</w:t>
      </w:r>
    </w:p>
    <w:p w14:paraId="0EB5A280" w14:textId="77777777">
      <w:pPr>
        <w:pStyle w:val="P68B1DB1-Normal15"/>
        <w:widowControl w:val="0"/>
        <w:tabs>
          <w:tab w:val="left" w:pos="393"/>
          <w:tab w:val="left" w:pos="396"/>
        </w:tabs>
        <w:autoSpaceDE w:val="0"/>
        <w:autoSpaceDN w:val="0"/>
        <w:spacing w:after="0" w:line="240" w:lineRule="auto"/>
        <w:ind w:left="567"/>
        <w:jc w:val="both"/>
        <w:rPr>
          <w:iCs/>
        </w:rPr>
      </w:pPr>
    </w:p>
    <w:p w14:paraId="667344E1" w14:textId="52345967">
      <w:pPr>
        <w:pStyle w:val="P68B1DB1-Normal13"/>
        <w:widowControl w:val="0"/>
        <w:autoSpaceDE w:val="0"/>
        <w:autoSpaceDN w:val="0"/>
        <w:spacing w:after="0" w:line="240" w:lineRule="auto"/>
        <w:jc w:val="both"/>
        <w:outlineLvl w:val="1"/>
      </w:pPr>
      <w:hyperlink r:id="rId88" w:history="1">
        <w:r>
          <w:rPr>
            <w:color w:val="0000FF"/>
            <w:u w:val="single"/>
          </w:rPr>
          <w:t xml:space="preserve">Sodba z dne 26. septembra 2000</w:t>
        </w:r>
      </w:hyperlink>
      <w:r>
        <w:t xml:space="preserve">, Unilever, C-443/98, EU:C:2000:496, točki 28 in 29.</w:t>
      </w:r>
      <w:bookmarkEnd w:id="155"/>
    </w:p>
    <w:p w14:paraId="6F265AB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72ABF8" w14:textId="6CA475E3">
      <w:pPr>
        <w:pStyle w:val="P68B1DB1-Normal14"/>
        <w:widowControl w:val="0"/>
        <w:autoSpaceDE w:val="0"/>
        <w:autoSpaceDN w:val="0"/>
        <w:spacing w:after="0" w:line="240" w:lineRule="auto"/>
        <w:jc w:val="both"/>
      </w:pPr>
      <w:r>
        <w:t xml:space="preserve">Kadar imajo države članice široko polje proste presoje pri prenosu direktive Unije, nacionalnih ukrepov, sprejetih v ta namen, ni mogoče šteti za nacionalne določbe, „ki so v skladu z zavezujočim aktom Skupnosti“.</w:t>
      </w:r>
    </w:p>
    <w:p w14:paraId="233C173F" w14:textId="77777777">
      <w:pPr>
        <w:widowControl w:val="0"/>
        <w:autoSpaceDE w:val="0"/>
        <w:autoSpaceDN w:val="0"/>
        <w:spacing w:after="0" w:line="240" w:lineRule="auto"/>
        <w:jc w:val="both"/>
        <w:rPr>
          <w:rFonts w:ascii="Times New Roman" w:hAnsi="Times New Roman" w:cs="Times New Roman" w:eastAsia="Times New Roman"/>
          <w:szCs w:val="20"/>
        </w:rPr>
      </w:pPr>
    </w:p>
    <w:p w14:paraId="4D09BAA2" w14:textId="2C7E5999">
      <w:pPr>
        <w:pStyle w:val="P68B1DB1-Normal15"/>
        <w:widowControl w:val="0"/>
        <w:autoSpaceDE w:val="0"/>
        <w:autoSpaceDN w:val="0"/>
        <w:spacing w:after="0" w:line="240" w:lineRule="auto"/>
        <w:ind w:left="567"/>
        <w:jc w:val="both"/>
      </w:pPr>
      <w:r>
        <w:t xml:space="preserve">„28. Drugič, italijanska vlada trdi, da je bil izpodbijani zakon izvzet iz obveznosti priglasitve v skladu s členom 10 Direktive 83/189, ker je bil sprejet v skladu z Direktivo Sveta 79/112/EGS z dne 18. decembra 1978 o približevanju zakonodaje držav članic o označevanju, predstavljanju in oglaševanju živil za prodajo končnemu potrošniku (UL 1979, L 33, str. 1). Člen 3(1), točka 7, te direktive zahteva, da se kraj porekla ali izvora proizvoda navede na oznaki, kadar bi opustitev takih informacij lahko zavajala potrošnike glede pravega porekla ali izvora živila.</w:t>
      </w:r>
    </w:p>
    <w:p w14:paraId="0949ABBA" w14:textId="77777777">
      <w:pPr>
        <w:pStyle w:val="P68B1DB1-Normal15"/>
        <w:widowControl w:val="0"/>
        <w:autoSpaceDE w:val="0"/>
        <w:autoSpaceDN w:val="0"/>
        <w:spacing w:after="0" w:line="240" w:lineRule="auto"/>
        <w:ind w:left="567"/>
        <w:jc w:val="both"/>
      </w:pPr>
    </w:p>
    <w:p w14:paraId="7E20C2A2" w14:textId="32F76FBD">
      <w:pPr>
        <w:pStyle w:val="P68B1DB1-Normal15"/>
        <w:widowControl w:val="0"/>
        <w:autoSpaceDE w:val="0"/>
        <w:autoSpaceDN w:val="0"/>
        <w:spacing w:after="0" w:line="240" w:lineRule="auto"/>
        <w:ind w:left="567"/>
        <w:jc w:val="both"/>
      </w:pPr>
      <w:r>
        <w:t xml:space="preserve">29. Te trditve ni mogoče sprejeti. Kot je poudarila Komisija, ta splošna določba Direktive 79/112 državam članicam pušča dovolj manevrskega prostora za ugotovitev, da nacionalnih predpisov o označevanju porekla, kot so tisti, ki so bili sprejeti v izpodbijanem zakonu, ni mogoče šteti za nacionalne določbe, ki so v skladu z zavezujočim aktom Skupnosti v smislu člena 10(1), prva alinea, Direktive 83/189.“</w:t>
      </w:r>
    </w:p>
    <w:p w14:paraId="49D7BF4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4D10AEF" w14:textId="6F48CDC6">
      <w:pPr>
        <w:pStyle w:val="P68B1DB1-Normal13"/>
        <w:widowControl w:val="0"/>
        <w:autoSpaceDE w:val="0"/>
        <w:autoSpaceDN w:val="0"/>
        <w:spacing w:after="0" w:line="240" w:lineRule="auto"/>
        <w:jc w:val="both"/>
        <w:outlineLvl w:val="1"/>
      </w:pPr>
      <w:hyperlink r:id="rId89" w:history="1">
        <w:r>
          <w:rPr>
            <w:color w:val="0000FF"/>
            <w:u w:val="single"/>
          </w:rPr>
          <w:t xml:space="preserve">Sodba z dne 22. januarja 2000</w:t>
        </w:r>
      </w:hyperlink>
      <w:r>
        <w:t xml:space="preserve">, Canal Satélite Digital, C-390/99, EU:C:2002:34, točka 48</w:t>
      </w:r>
      <w:bookmarkEnd w:id="156"/>
    </w:p>
    <w:p w14:paraId="129D695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DFD60C" w14:textId="77777777">
      <w:pPr>
        <w:pStyle w:val="P68B1DB1-Normal14"/>
        <w:widowControl w:val="0"/>
        <w:tabs>
          <w:tab w:val="left" w:pos="396"/>
          <w:tab w:val="left" w:pos="405"/>
        </w:tabs>
        <w:autoSpaceDE w:val="0"/>
        <w:autoSpaceDN w:val="0"/>
        <w:spacing w:after="0" w:line="240" w:lineRule="auto"/>
        <w:jc w:val="both"/>
      </w:pPr>
      <w:r>
        <w:t xml:space="preserve">Za nacionalne določbe, s katerimi se prenašajo zavezujoči ukrepi Skupnosti, ki vsebujejo „tehnične specifikacije“, ne velja obveznost priglasitve, če so strogo omejene na tak prenos.</w:t>
      </w:r>
    </w:p>
    <w:p w14:paraId="15236C38" w14:textId="77777777">
      <w:pPr>
        <w:pStyle w:val="P68B1DB1-Normal15"/>
        <w:widowControl w:val="0"/>
        <w:tabs>
          <w:tab w:val="left" w:pos="396"/>
          <w:tab w:val="left" w:pos="405"/>
        </w:tabs>
        <w:autoSpaceDE w:val="0"/>
        <w:autoSpaceDN w:val="0"/>
        <w:spacing w:after="0" w:line="240" w:lineRule="auto"/>
        <w:ind w:left="567" w:hanging="142"/>
        <w:jc w:val="both"/>
        <w:rPr>
          <w:iCs/>
        </w:rPr>
      </w:pPr>
      <w:r>
        <w:t xml:space="preserve">    </w:t>
      </w:r>
    </w:p>
    <w:p w14:paraId="6015C260" w14:textId="48904931">
      <w:pPr>
        <w:pStyle w:val="P68B1DB1-Normal15"/>
        <w:widowControl w:val="0"/>
        <w:tabs>
          <w:tab w:val="left" w:pos="396"/>
          <w:tab w:val="left" w:pos="405"/>
        </w:tabs>
        <w:autoSpaceDE w:val="0"/>
        <w:autoSpaceDN w:val="0"/>
        <w:spacing w:after="0" w:line="240" w:lineRule="auto"/>
        <w:ind w:left="567"/>
        <w:jc w:val="both"/>
      </w:pPr>
      <w:r>
        <w:t xml:space="preserve">„48. V zvezi z drugim delom tretjega vprašanja, ki se nanaša na obveznost iz člena 8 Direktive 83/189, da se Komisiji sporočijo vsi osnutki tehničnih predpisov, iz člena 10 te direktive izhaja, da se člena 8 in 9 ne uporabljata niti za zakone in druge predpise držav članic niti za prostovoljne sporazume, ki so jih te sklenile, s katerimi države članice spoštujejo zavezujoče ukrepe Skupnosti, katerih posledica je sprejetje tehničnih specifikacij. Tako v delu, v katerem nacionalna zakonodaja iz postopka v glavni stvari prenaša Direktivo 95/47 in samo v tem obsegu, ne bo obstajala obveznost obveščanja v skladu z Direktivo 83/189.“</w:t>
      </w:r>
    </w:p>
    <w:p w14:paraId="0E6C95FC"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i/>
          <w:iCs/>
          <w:sz w:val="20"/>
          <w:szCs w:val="16"/>
        </w:rPr>
      </w:pPr>
    </w:p>
    <w:p w14:paraId="6306D56B" w14:textId="28E735BF">
      <w:pPr>
        <w:pStyle w:val="P68B1DB1-Normal13"/>
        <w:widowControl w:val="0"/>
        <w:autoSpaceDE w:val="0"/>
        <w:autoSpaceDN w:val="0"/>
        <w:spacing w:after="0" w:line="240" w:lineRule="auto"/>
        <w:jc w:val="both"/>
        <w:outlineLvl w:val="1"/>
      </w:pPr>
      <w:hyperlink r:id="rId90" w:history="1">
        <w:r>
          <w:rPr>
            <w:color w:val="0000FF"/>
            <w:u w:val="single"/>
          </w:rPr>
          <w:t xml:space="preserve">Sodba z dne 8. septembra 2005</w:t>
        </w:r>
      </w:hyperlink>
      <w:r>
        <w:t xml:space="preserve">, Komisija/Portugalska, C-500/03, EU:C:2005:515, točki 34 in 35.</w:t>
      </w:r>
      <w:bookmarkEnd w:id="157"/>
    </w:p>
    <w:p w14:paraId="183658EB"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630E23D4" w14:textId="570B0609">
      <w:pPr>
        <w:widowControl w:val="0"/>
        <w:tabs>
          <w:tab w:val="left" w:pos="467"/>
        </w:tabs>
        <w:autoSpaceDE w:val="0"/>
        <w:autoSpaceDN w:val="0"/>
        <w:spacing w:after="0" w:line="240" w:lineRule="auto"/>
        <w:jc w:val="both"/>
        <w:rPr>
          <w:rFonts w:ascii="Times New Roman" w:hAnsi="Times New Roman" w:cs="Times New Roman" w:eastAsia="Times New Roman"/>
          <w:szCs w:val="20"/>
        </w:rPr>
        <w:pStyle w:val="P68B1DB1-Normal14"/>
      </w:pPr>
      <w:r>
        <w:t xml:space="preserve">Nacionalne določbe, ki določajo značilnosti plovil za rekreacijo, ne morejo biti upravičene do izvzetja iz obveznosti obveščanja, ki je pridržano za prenos, če direktiva, na katero se sklicuje, državam članicam omogoča, da same opredelijo pogoje, za katere menijo, da so potrebni za varstvo okolja, konfiguracije in varnosti plovnih poti.</w:t>
      </w:r>
    </w:p>
    <w:p w14:paraId="4D369937"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0FD9A15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(Sodba je na voljo samo v francoščini in portugalščini, besedilo pa je prevod.)</w:t>
      </w:r>
    </w:p>
    <w:p w14:paraId="6FE719E7" w14:textId="77777777">
      <w:pPr>
        <w:pStyle w:val="P68B1DB1-Normal31"/>
        <w:widowControl w:val="0"/>
        <w:tabs>
          <w:tab w:val="left" w:pos="396"/>
          <w:tab w:val="left" w:pos="405"/>
        </w:tabs>
        <w:autoSpaceDE w:val="0"/>
        <w:autoSpaceDN w:val="0"/>
        <w:spacing w:after="0" w:line="240" w:lineRule="auto"/>
        <w:ind w:left="567"/>
        <w:jc w:val="both"/>
      </w:pPr>
    </w:p>
    <w:p w14:paraId="747BC5AF" w14:textId="6053190E">
      <w:pPr>
        <w:pStyle w:val="P68B1DB1-Normal31"/>
        <w:widowControl w:val="0"/>
        <w:tabs>
          <w:tab w:val="left" w:pos="396"/>
          <w:tab w:val="left" w:pos="405"/>
        </w:tabs>
        <w:autoSpaceDE w:val="0"/>
        <w:autoSpaceDN w:val="0"/>
        <w:spacing w:after="0" w:line="240" w:lineRule="auto"/>
        <w:ind w:left="567"/>
        <w:jc w:val="both"/>
        <w:rPr>
          <w:iCs/>
        </w:rPr>
      </w:pPr>
      <w:r>
        <w:t xml:space="preserve">„34. [...] Države članice imajo pravico, določeno v členu 2(2) Direktive 94/25, da na nacionalni ravni opredelijo pogoje, za katere menijo, da so potrebni za plovbo po nekaterih vodah, da bi zaščitile okolje in strukturo plovnih poti ter zagotovile varnost v teh vodah. Vendar za te nacionalne določbe nikakor ni mogoče šteti, da so bile sprejete zaradi spoštovanja zavezujočega akta Skupnosti.</w:t>
      </w:r>
    </w:p>
    <w:p w14:paraId="4B5BC30F" w14:textId="77777777">
      <w:pPr>
        <w:widowControl w:val="0"/>
        <w:tabs>
          <w:tab w:val="left" w:pos="396"/>
          <w:tab w:val="left" w:pos="405"/>
        </w:tabs>
        <w:autoSpaceDE w:val="0"/>
        <w:autoSpaceDN w:val="0"/>
        <w:spacing w:after="0" w:line="240" w:lineRule="auto"/>
        <w:ind w:left="567"/>
        <w:jc w:val="both"/>
        <w:rPr>
          <w:rFonts w:ascii="Times New Roman" w:hAnsi="Times New Roman" w:cs="Times New Roman"/>
          <w:i/>
          <w:iCs/>
          <w:sz w:val="20"/>
          <w:szCs w:val="16"/>
        </w:rPr>
      </w:pPr>
    </w:p>
    <w:p w14:paraId="21B97694" w14:textId="6F5A910D">
      <w:pPr>
        <w:pStyle w:val="P68B1DB1-Normal31"/>
        <w:widowControl w:val="0"/>
        <w:tabs>
          <w:tab w:val="left" w:pos="396"/>
          <w:tab w:val="left" w:pos="405"/>
        </w:tabs>
        <w:autoSpaceDE w:val="0"/>
        <w:autoSpaceDN w:val="0"/>
        <w:spacing w:after="0" w:line="240" w:lineRule="auto"/>
        <w:ind w:left="567"/>
        <w:jc w:val="both"/>
      </w:pPr>
      <w:r>
        <w:t xml:space="preserve">35. Iz tega sledi, da uredba o plovbi v laguni, ki uvaja tehnične omejitve za plovila za rekreacijo v skladu s členom 2(2) Direktive 94/25, ne spada na področje uporabe člena 10(1), prva alinea, Direktive 98/34.“</w:t>
      </w:r>
    </w:p>
    <w:p w14:paraId="7D5DF054" w14:textId="4AE1CCCE">
      <w:pPr>
        <w:spacing w:after="0" w:line="278" w:lineRule="auto"/>
        <w:rPr>
          <w:rFonts w:ascii="Times New Roman" w:hAnsi="Times New Roman" w:cs="Times New Roman" w:eastAsia="Times New Roman"/>
          <w:i/>
          <w:iCs/>
          <w:sz w:val="20"/>
          <w:szCs w:val="16"/>
        </w:rPr>
      </w:pPr>
      <w:r>
        <w:br w:type="page"/>
      </w:r>
    </w:p>
    <w:p w14:paraId="17D9CF1D" w14:textId="0805DD41">
      <w:pPr>
        <w:pStyle w:val="P68B1DB1-Heading24"/>
        <w:numPr>
          <w:ilvl w:val="0"/>
          <w:numId w:val="37"/>
        </w:numPr>
        <w:spacing w:before="0" w:after="0"/>
        <w:jc w:val="center"/>
        <w:rPr>
          <w:bCs/>
          <w:color w:val="auto"/>
        </w:rPr>
      </w:pPr>
      <w:bookmarkStart w:id="158" w:name="_Ref195517548"/>
      <w:bookmarkStart w:id="159" w:name="_Toc203035681"/>
      <w:r>
        <w:t xml:space="preserve">Uporaba zaščitne klavzule</w:t>
      </w:r>
      <w:bookmarkEnd w:id="158"/>
      <w:bookmarkEnd w:id="159"/>
    </w:p>
    <w:p w14:paraId="19EB441C" w14:textId="77777777">
      <w:pPr>
        <w:pStyle w:val="BodyText"/>
        <w:ind w:left="567"/>
      </w:pPr>
    </w:p>
    <w:p w14:paraId="3421D751" w14:textId="45643AD7">
      <w:pPr>
        <w:pStyle w:val="P68B1DB1-BodyText11"/>
        <w:ind w:left="567"/>
        <w:rPr>
          <w:iCs/>
        </w:rPr>
      </w:pPr>
      <w:r>
        <w:t xml:space="preserve">„Člena 5 in 6 </w:t>
      </w:r>
      <w:r>
        <w:rPr>
          <w:i w:val="0"/>
        </w:rPr>
        <w:t xml:space="preserve">[o obveznosti uradnega obveščanja in obdobju mirovanja] </w:t>
      </w:r>
      <w:r>
        <w:t xml:space="preserve">se ne uporabljata za tiste zakone in druge predpise držav članic ali prostovoljne sporazume, s katerimi države članice: </w:t>
      </w:r>
    </w:p>
    <w:p w14:paraId="034842B2" w14:textId="40165944">
      <w:pPr>
        <w:pStyle w:val="P68B1DB1-BodyText11"/>
        <w:ind w:left="1134" w:firstLine="306"/>
        <w:rPr>
          <w:iCs/>
        </w:rPr>
      </w:pPr>
      <w:r>
        <w:t>[...]</w:t>
      </w:r>
    </w:p>
    <w:p w14:paraId="412F859B" w14:textId="2872F60B">
      <w:pPr>
        <w:pStyle w:val="P68B1DB1-BodyText11"/>
        <w:ind w:left="1287" w:firstLine="153"/>
        <w:rPr>
          <w:iCs/>
        </w:rPr>
      </w:pPr>
      <w:r>
        <w:t xml:space="preserve">(C) uporabljajo zaščitne klavzule, določene v zavezujočih aktih Unije;“</w:t>
      </w:r>
    </w:p>
    <w:p w14:paraId="3AF0BFA4" w14:textId="77777777">
      <w:pPr>
        <w:pStyle w:val="P68B1DB1-BodyText11"/>
        <w:ind w:left="567"/>
        <w:rPr>
          <w:iCs/>
        </w:rPr>
      </w:pPr>
    </w:p>
    <w:p w14:paraId="6099E717" w14:textId="6C5840E7">
      <w:pPr>
        <w:pStyle w:val="BodyText"/>
        <w:jc w:val="right"/>
      </w:pPr>
      <w:r>
        <w:t xml:space="preserve">(Člen 7(1)(c) Direktive (EU) 2015/1535)</w:t>
      </w:r>
    </w:p>
    <w:p w14:paraId="0B43480F" w14:textId="77777777">
      <w:pPr>
        <w:pStyle w:val="BodyText"/>
        <w:jc w:val="right"/>
      </w:pPr>
    </w:p>
    <w:p w14:paraId="2F300DBD" w14:textId="39C2EC6A">
      <w:pPr>
        <w:pStyle w:val="P68B1DB1-BodyText11"/>
        <w:ind w:left="567"/>
        <w:rPr>
          <w:iCs/>
        </w:rPr>
      </w:pPr>
      <w:r>
        <w:t xml:space="preserve">„Zgoraj navedeni usklajevalni ukrepi v ustreznih primerih vključujejo zaščitno klavzulo, ki državam članicam dovoljuje, da zaradi enega ali več negospodarskih razlogov iz člena 36 sprejmejo začasne ukrepe, ki so predmet nadzornega postopka Unije.“</w:t>
      </w:r>
    </w:p>
    <w:p w14:paraId="618BDE87" w14:textId="77777777">
      <w:pPr>
        <w:pStyle w:val="BodyText"/>
        <w:jc w:val="right"/>
      </w:pPr>
    </w:p>
    <w:p w14:paraId="4DE4DD33" w14:textId="77777777">
      <w:pPr>
        <w:pStyle w:val="BodyText"/>
        <w:jc w:val="right"/>
      </w:pPr>
      <w:r>
        <w:t xml:space="preserve">(Člen 114(10) Pogodbe o delovanju Evropske unije)</w:t>
      </w:r>
    </w:p>
    <w:p w14:paraId="1738F0ED" w14:textId="77777777">
      <w:pPr>
        <w:widowControl w:val="0"/>
        <w:autoSpaceDE w:val="0"/>
        <w:autoSpaceDN w:val="0"/>
        <w:spacing w:after="0" w:line="240" w:lineRule="auto"/>
        <w:jc w:val="both"/>
        <w:outlineLvl w:val="1"/>
      </w:pPr>
    </w:p>
    <w:p w14:paraId="1204158B" w14:textId="77777777">
      <w:pPr>
        <w:pStyle w:val="P68B1DB1-Normal13"/>
        <w:widowControl w:val="0"/>
        <w:autoSpaceDE w:val="0"/>
        <w:autoSpaceDN w:val="0"/>
        <w:spacing w:after="0" w:line="240" w:lineRule="auto"/>
        <w:jc w:val="both"/>
        <w:outlineLvl w:val="1"/>
      </w:pPr>
      <w:hyperlink r:id="rId91" w:history="1">
        <w:r>
          <w:rPr>
            <w:color w:val="0000FF"/>
            <w:u w:val="single"/>
          </w:rPr>
          <w:t xml:space="preserve">Sodba z dne 8. septembra 2005</w:t>
        </w:r>
      </w:hyperlink>
      <w:r>
        <w:t xml:space="preserve">, Komisija/Portugalska, C-500/03, EU:C:2005:515, točki 34 in 35.</w:t>
      </w:r>
      <w:bookmarkEnd w:id="160"/>
    </w:p>
    <w:p w14:paraId="41BB4299"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35A522BC" w14:textId="2746C9C6">
      <w:pPr>
        <w:pStyle w:val="P68B1DB1-Normal14"/>
        <w:widowControl w:val="0"/>
        <w:tabs>
          <w:tab w:val="left" w:pos="467"/>
        </w:tabs>
        <w:autoSpaceDE w:val="0"/>
        <w:autoSpaceDN w:val="0"/>
        <w:spacing w:after="0" w:line="240" w:lineRule="auto"/>
        <w:jc w:val="both"/>
      </w:pPr>
      <w:r>
        <w:t xml:space="preserve">Nacionalne določbe, ki uvajajo trajne ukrepe, ne morejo biti upravičene do izvzetja iz obveznosti priglasitve, rezerviranega za zaščitne klavzule, saj slednje po definiciji vključujejo le začasne ukrepe.</w:t>
      </w:r>
    </w:p>
    <w:p w14:paraId="5FE003FC"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3005B5D0" w14:textId="1B50DC69">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(Ker je sodba na voljo samo v francoščini in portugalščini, je naslednje besedilo prevod.)</w:t>
      </w:r>
    </w:p>
    <w:p w14:paraId="3BBB6CDB"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5FBF5694" w14:textId="0105632E">
      <w:pPr>
        <w:pStyle w:val="P68B1DB1-BodyText25"/>
        <w:ind w:left="567"/>
        <w:rPr>
          <w:iCs/>
        </w:rPr>
      </w:pPr>
      <w:r>
        <w:t xml:space="preserve">„39. Ker je ta tožba zaradi neizpolnitve obveznosti omejena na predlog za ugotovitev neizpolnitve obveznosti v formalnem postopku predhodne priglasitve, zadostuje opozoriti, ne da bi bilo treba odgovoriti na druge trditve strank, da je Sodišče že razsodilo, da člen 8(1) Direktive 98/34 nalaga državam članicam, da Komisiji nemudoma sporočijo vsak osnutek tehničnega predpisa (glej v tem smislu zlasti sodbi z dne 2. avgusta 1993 v zadevi Komisija proti Italiji, C-139/92, Recueil, str. I-3, točka 31, in z dne 11. januarja 1996 v zadevi Komisija proti Nizozemski, C-273/94, Recueil, str. I-, točka 31).</w:t>
      </w:r>
    </w:p>
    <w:p w14:paraId="4A696586" w14:textId="77777777">
      <w:pPr>
        <w:pStyle w:val="BodyText"/>
        <w:ind w:left="567"/>
        <w:rPr>
          <w:i/>
          <w:iCs/>
          <w:sz w:val="20"/>
          <w:szCs w:val="16"/>
        </w:rPr>
      </w:pPr>
    </w:p>
    <w:p w14:paraId="7FC8797C" w14:textId="46BA7B1B">
      <w:pPr>
        <w:pStyle w:val="P68B1DB1-BodyText25"/>
        <w:ind w:left="567"/>
        <w:jc w:val="left"/>
      </w:pPr>
      <w:r>
        <w:t xml:space="preserve">40. Ker so upoštevne določbe dekreta št. 783/98 tehnični predpisi v smislu Direktive 98/34, kot je bilo navedeno v točki 31 te sodbe, jih je morala Portugalska republika v skladu s členom 8(1) Direktive 98/34 priglasiti v obliki osnutka (glej v tem smislu v zvezi z določbami, podobnimi tistim iz Direktive 98/34, zlasti sodbi z dne 7. maja 1998 v zadevi Komisija proti Belgiji, C-145/97, Recueil, str. I-13, točka 43, in z dne 21. aprila 2005 v zadevi Lindberg, C-267/03, ZOdl., str. I-, točka).“</w:t>
      </w:r>
    </w:p>
    <w:p w14:paraId="4127997B" w14:textId="77777777">
      <w:pPr>
        <w:pStyle w:val="BodyText"/>
        <w:jc w:val="left"/>
      </w:pPr>
    </w:p>
    <w:p w14:paraId="74FE5E6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92" w:history="1">
        <w:r>
          <w:rPr>
            <w:color w:val="0000FF"/>
            <w:u w:val="single"/>
          </w:rPr>
          <w:t xml:space="preserve">Sodba z dne 8. oktobra 2020</w:t>
        </w:r>
      </w:hyperlink>
      <w:r>
        <w:t xml:space="preserve">, Union des industries de la protection des plantes, C-514/19, EU:C:2020:803, točki 46 in 47.</w:t>
      </w:r>
      <w:bookmarkEnd w:id="161"/>
      <w:r>
        <w:t xml:space="preserve"> </w:t>
      </w:r>
    </w:p>
    <w:p w14:paraId="4EFFE1E6" w14:textId="09D2A0BD">
      <w:pPr>
        <w:widowControl w:val="0"/>
        <w:autoSpaceDE w:val="0"/>
        <w:autoSpaceDN w:val="0"/>
        <w:spacing w:after="0" w:line="240" w:lineRule="auto"/>
        <w:jc w:val="both"/>
        <w:outlineLvl w:val="1"/>
        <w:rPr>
          <w:rFonts w:ascii="Times New Roman" w:hAnsi="Times New Roman" w:cs="Times New Roman" w:eastAsia="Times New Roman"/>
          <w:b/>
          <w:i/>
          <w:szCs w:val="20"/>
        </w:rPr>
      </w:pPr>
      <w:bookmarkStart w:id="162" w:name="_Toc198043891"/>
      <w:r>
        <w:rPr>
          <w:rFonts w:ascii="Times New Roman" w:hAnsi="Times New Roman" w:cs="Times New Roman" w:eastAsia="Times New Roman"/>
          <w:b/>
          <w:i/>
          <w:szCs w:val="20"/>
        </w:rPr>
        <w:t xml:space="preserve">(ob sklicevanju na </w:t>
      </w:r>
      <w:hyperlink r:id="rId93" w:history="1">
        <w:r>
          <w:rPr>
            <w:rStyle w:val="Hyperlink"/>
            <w:rFonts w:ascii="Times New Roman" w:hAnsi="Times New Roman" w:cs="Times New Roman" w:eastAsia="Times New Roman"/>
            <w:b/>
            <w:i/>
            <w:color w:val="0000FF"/>
            <w:szCs w:val="20"/>
          </w:rPr>
          <w:t xml:space="preserve">sklepne predloge generalne pravobranilke J. Kokott</w:t>
        </w:r>
      </w:hyperlink>
      <w:r>
        <w:rPr>
          <w:rFonts w:ascii="Times New Roman" w:hAnsi="Times New Roman" w:cs="Times New Roman" w:eastAsia="Times New Roman"/>
          <w:b/>
          <w:i/>
          <w:szCs w:val="20"/>
        </w:rPr>
        <w:t xml:space="preserve">, EU:C:2020:422, točka 58)</w:t>
      </w:r>
      <w:bookmarkEnd w:id="162"/>
    </w:p>
    <w:p w14:paraId="498A15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705E59" w14:textId="4AA22297">
      <w:pPr>
        <w:pStyle w:val="P68B1DB1-Normal14"/>
        <w:widowControl w:val="0"/>
        <w:autoSpaceDE w:val="0"/>
        <w:autoSpaceDN w:val="0"/>
        <w:spacing w:after="0" w:line="240" w:lineRule="auto"/>
        <w:jc w:val="both"/>
      </w:pPr>
      <w:r>
        <w:t xml:space="preserve">Klavzula, ki ustreza opredelitvi iz člena 114 Pogodbe o delovanju Evropske unije, je zaščitna klavzula, tudi če ni tako imenovana v aktu, ki jo predvideva. Zato je upravičena do izvzetja iz obveznosti priglasitve.</w:t>
      </w:r>
    </w:p>
    <w:p w14:paraId="1CAE009C" w14:textId="77777777">
      <w:pPr>
        <w:widowControl w:val="0"/>
        <w:autoSpaceDE w:val="0"/>
        <w:autoSpaceDN w:val="0"/>
        <w:spacing w:after="0" w:line="240" w:lineRule="auto"/>
        <w:jc w:val="both"/>
        <w:rPr>
          <w:rFonts w:ascii="Times New Roman" w:hAnsi="Times New Roman" w:cs="Times New Roman" w:eastAsia="Times New Roman"/>
          <w:szCs w:val="20"/>
        </w:rPr>
      </w:pPr>
    </w:p>
    <w:p w14:paraId="659EDCBA" w14:textId="7C97939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32"/>
      </w:pPr>
      <w:r>
        <w:t xml:space="preserve">(Sodba Sodišča)</w:t>
      </w:r>
      <w:r>
        <w:rPr>
          <w:i/>
        </w:rPr>
        <w:t xml:space="preserve"> „46 [...] Člen 71(1) te uredbe je treba obravnavati kot zaščitno klavzulo, kot je generalna pravobranilka navedla v točki 58 sklepnih predlogov.</w:t>
      </w:r>
    </w:p>
    <w:p w14:paraId="1A86B765" w14:textId="77777777">
      <w:pPr>
        <w:widowControl w:val="0"/>
        <w:autoSpaceDE w:val="0"/>
        <w:autoSpaceDN w:val="0"/>
        <w:spacing w:after="0" w:line="240" w:lineRule="auto"/>
        <w:ind w:left="567"/>
        <w:jc w:val="both"/>
        <w:rPr>
          <w:rFonts w:ascii="Times New Roman" w:hAnsi="Times New Roman" w:cs="Times New Roman" w:eastAsia="Times New Roman"/>
          <w:i/>
          <w:sz w:val="20"/>
          <w:szCs w:val="20"/>
        </w:rPr>
      </w:pPr>
    </w:p>
    <w:p w14:paraId="42FB846B" w14:textId="4A135D8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18"/>
      </w:pPr>
      <w:r>
        <w:t xml:space="preserve">47. Razlika med postopkoma iz člena 5 te direktive in člena 71 te uredbe je torej potrjena s členom 7(1)(c) te direktive, ki določa, da se člena 5 in 6 te direktive ne uporabljata za določbe držav članic, s katerimi te uporabljajo zaščitne klavzule, določene v zavezujočih aktih Unije.“</w:t>
      </w:r>
    </w:p>
    <w:p w14:paraId="285FA492" w14:textId="77777777">
      <w:pPr>
        <w:widowControl w:val="0"/>
        <w:autoSpaceDE w:val="0"/>
        <w:autoSpaceDN w:val="0"/>
        <w:spacing w:after="0" w:line="240" w:lineRule="auto"/>
        <w:ind w:left="567"/>
        <w:jc w:val="both"/>
        <w:rPr>
          <w:rFonts w:ascii="Times New Roman" w:hAnsi="Times New Roman" w:cs="Times New Roman" w:eastAsia="Times New Roman"/>
          <w:i/>
          <w:iCs/>
          <w:sz w:val="20"/>
          <w:szCs w:val="20"/>
        </w:rPr>
      </w:pPr>
    </w:p>
    <w:p w14:paraId="7FF60EBF" w14:textId="14EB520E">
      <w:pPr>
        <w:pStyle w:val="P68B1DB1-Normal32"/>
        <w:widowControl w:val="0"/>
        <w:autoSpaceDE w:val="0"/>
        <w:autoSpaceDN w:val="0"/>
        <w:spacing w:after="0" w:line="240" w:lineRule="auto"/>
        <w:ind w:left="567"/>
        <w:jc w:val="both"/>
        <w:rPr>
          <w:i/>
          <w:iCs/>
        </w:rPr>
      </w:pPr>
      <w:r>
        <w:t xml:space="preserve">(mnenje generalne pravobranilke J. Kokott)</w:t>
      </w:r>
      <w:r>
        <w:rPr>
          <w:i/>
        </w:rPr>
        <w:t xml:space="preserve"> </w:t>
      </w:r>
      <w:bookmarkStart w:id="163" w:name="point58"/>
      <w:r>
        <w:rPr>
          <w:i/>
        </w:rPr>
        <w:t>„</w:t>
      </w:r>
      <w:bookmarkEnd w:id="163"/>
      <w:r>
        <w:rPr>
          <w:i/>
        </w:rPr>
        <w:t xml:space="preserve">58.      Člen 71 Uredbe o fitofarmacevtskih sredstvih v nasprotju z nekaterimi primerljivimi določbami sicer nima naslova „zaščitna klavzula“, vendar ta določba vsebinsko ustreza opredelitvi zaščitnih klavzul iz člena 114(10) PDEU. Zato jo je mogoče obravnavati tudi kot zaščitno klavzulo za namene člena 7(1)(c) Direktive o obveščanju.“</w:t>
      </w:r>
    </w:p>
    <w:p w14:paraId="09CE6B87" w14:textId="77777777">
      <w:pPr>
        <w:pStyle w:val="BodyText"/>
        <w:jc w:val="left"/>
      </w:pPr>
    </w:p>
    <w:p w14:paraId="34956999" w14:textId="0CAA93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94" w:history="1">
        <w:r>
          <w:rPr>
            <w:rStyle w:val="Hyperlink"/>
            <w:rFonts w:ascii="Times New Roman" w:hAnsi="Times New Roman" w:cs="Times New Roman" w:eastAsia="Times New Roman"/>
            <w:b/>
            <w:i/>
            <w:color w:val="0000FF"/>
            <w:szCs w:val="20"/>
          </w:rPr>
          <w:t xml:space="preserve">Sodba z dne 9. marca 2023</w:t>
        </w:r>
      </w:hyperlink>
      <w:r>
        <w:rPr>
          <w:rFonts w:ascii="Times New Roman" w:hAnsi="Times New Roman" w:cs="Times New Roman" w:eastAsia="Times New Roman"/>
          <w:b/>
          <w:i/>
          <w:szCs w:val="20"/>
        </w:rPr>
        <w:t xml:space="preserve">, Vapo Atlantic, C</w:t>
        <w:noBreakHyphen/>
        <w:t xml:space="preserve">604/21, EU:C:2023:175, točke od 55 do 57.</w:t>
      </w:r>
      <w:bookmarkEnd w:id="164"/>
    </w:p>
    <w:p w14:paraId="6300E3F4" w14:textId="77777777">
      <w:pPr>
        <w:widowControl w:val="0"/>
        <w:autoSpaceDE w:val="0"/>
        <w:autoSpaceDN w:val="0"/>
        <w:spacing w:after="0" w:line="240" w:lineRule="auto"/>
        <w:jc w:val="both"/>
        <w:rPr>
          <w:rFonts w:ascii="Times New Roman" w:hAnsi="Times New Roman" w:cs="Times New Roman" w:eastAsia="Times New Roman"/>
          <w:szCs w:val="20"/>
        </w:rPr>
      </w:pPr>
    </w:p>
    <w:p w14:paraId="13992C07" w14:textId="74D47E48">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165" w:name="_Toc198043893"/>
      <w:r>
        <w:t xml:space="preserve">Izjema od obveznosti uradnega obveščanja na podlagi „zaščitne klavzule“ je mogoča le, če navedeni usklajevalni akt izrecno vsebuje klavzulo, ki ustreza opredelitvi iz člena 114 Pogodbe o delovanju Evropske unije.</w:t>
      </w:r>
      <w:bookmarkEnd w:id="165"/>
    </w:p>
    <w:p w14:paraId="701D9589"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E98A7C3" w14:textId="65F75C30">
      <w:pPr>
        <w:pStyle w:val="P68B1DB1-Normal20"/>
        <w:widowControl w:val="0"/>
        <w:autoSpaceDE w:val="0"/>
        <w:autoSpaceDN w:val="0"/>
        <w:spacing w:after="0" w:line="240" w:lineRule="auto"/>
        <w:ind w:left="567"/>
        <w:jc w:val="both"/>
        <w:outlineLvl w:val="1"/>
      </w:pPr>
      <w:bookmarkStart w:id="166" w:name="_Toc198043894"/>
      <w:r>
        <w:t xml:space="preserve">„55. Poudariti je treba, da prvi in drugi pododstavek člena 4(1) Direktive 2009/30 zgolj določata rok državam članicam za prenos te direktive, in sicer najpozneje do 31. decembra 2010, z zakoni in drugimi predpisi, potrebnimi za to, pri čemer se od njih zahteva, da Komisiji takoj sporočijo besedilo teh ukrepov. Tretji pododstavek te določbe pa določa, da se države članice v teh sprejetih predpisih sklicujejo na Direktivo 2009/30.</w:t>
      </w:r>
      <w:bookmarkEnd w:id="166"/>
    </w:p>
    <w:p w14:paraId="3168B0DE" w14:textId="77777777">
      <w:pPr>
        <w:pStyle w:val="P68B1DB1-Normal20"/>
        <w:widowControl w:val="0"/>
        <w:autoSpaceDE w:val="0"/>
        <w:autoSpaceDN w:val="0"/>
        <w:spacing w:after="0" w:line="240" w:lineRule="auto"/>
        <w:ind w:left="567"/>
        <w:jc w:val="both"/>
        <w:outlineLvl w:val="1"/>
      </w:pPr>
    </w:p>
    <w:p w14:paraId="18560400" w14:textId="0F72F49C">
      <w:pPr>
        <w:pStyle w:val="P68B1DB1-Normal20"/>
        <w:widowControl w:val="0"/>
        <w:autoSpaceDE w:val="0"/>
        <w:autoSpaceDN w:val="0"/>
        <w:spacing w:after="0" w:line="240" w:lineRule="auto"/>
        <w:ind w:left="567"/>
        <w:jc w:val="both"/>
        <w:outlineLvl w:val="1"/>
      </w:pPr>
      <w:bookmarkStart w:id="167" w:name="_Toc198043895"/>
      <w:r>
        <w:t xml:space="preserve">56. Nič v besedilu člena 4(1) Direktive 2009/30 pa ne kaže na to, da je zakonodajalec Unije v to direktivo želel uvesti zaščitno klavzulo v smislu člena 114(10) PDEU, ki bi jo države članice lahko uporabile.</w:t>
      </w:r>
      <w:bookmarkEnd w:id="167"/>
    </w:p>
    <w:p w14:paraId="36E43530" w14:textId="77777777">
      <w:pPr>
        <w:pStyle w:val="P68B1DB1-Normal20"/>
        <w:widowControl w:val="0"/>
        <w:autoSpaceDE w:val="0"/>
        <w:autoSpaceDN w:val="0"/>
        <w:spacing w:after="0" w:line="240" w:lineRule="auto"/>
        <w:ind w:left="567"/>
        <w:jc w:val="both"/>
        <w:outlineLvl w:val="1"/>
      </w:pPr>
    </w:p>
    <w:p w14:paraId="50D2526D" w14:textId="49B1A184">
      <w:pPr>
        <w:pStyle w:val="P68B1DB1-Normal20"/>
        <w:widowControl w:val="0"/>
        <w:autoSpaceDE w:val="0"/>
        <w:autoSpaceDN w:val="0"/>
        <w:spacing w:after="0" w:line="240" w:lineRule="auto"/>
        <w:ind w:left="567"/>
        <w:jc w:val="both"/>
        <w:outlineLvl w:val="1"/>
        <w:rPr>
          <w:iCs/>
        </w:rPr>
      </w:pPr>
      <w:bookmarkStart w:id="168" w:name="_Toc198043896"/>
      <w:r>
        <w:t xml:space="preserve">57. V zvezi s tem je v zadnjenavedeni določbi določeno, da harmonizacijski ukrepi v ustreznih primerih vključujejo zaščitno klavzulo, ki dovoljuje državam članicam, da iz enega ali več neekonomskih razlogov iz člena 36 PDEU sprejmejo začasne ukrepe, ki so predmet nadzornega postopka Unije. Iz tega sledi, da mora biti taka zaščitna klavzula izrecno določena z aktom za harmonizacijo. Člen 4(1) Direktive 2009/30 nima teh značilnosti in zato ne more biti taka zaščitna klavzula.“</w:t>
      </w:r>
      <w:bookmarkEnd w:id="168"/>
    </w:p>
    <w:p w14:paraId="12FF84E6" w14:textId="18A9A21E">
      <w:pPr>
        <w:pStyle w:val="P68B1DB1-Normal29"/>
        <w:spacing w:after="0" w:line="240" w:lineRule="auto"/>
      </w:pPr>
      <w:r>
        <w:br w:type="page"/>
      </w:r>
    </w:p>
    <w:p w14:paraId="6087D716" w14:textId="3F11D8EF">
      <w:pPr>
        <w:pStyle w:val="P68B1DB1-Heading24"/>
        <w:numPr>
          <w:ilvl w:val="0"/>
          <w:numId w:val="37"/>
        </w:numPr>
        <w:spacing w:before="0" w:after="0"/>
        <w:jc w:val="center"/>
        <w:rPr>
          <w:bCs/>
          <w:color w:val="auto"/>
        </w:rPr>
      </w:pPr>
      <w:bookmarkStart w:id="169" w:name="_Ref195517564"/>
      <w:bookmarkStart w:id="170" w:name="_Toc203035682"/>
      <w:r>
        <w:t xml:space="preserve">Sprememba v skladu z zahtevo Komisije</w:t>
      </w:r>
      <w:bookmarkEnd w:id="169"/>
      <w:bookmarkEnd w:id="170"/>
    </w:p>
    <w:p w14:paraId="049085CF" w14:textId="77777777">
      <w:pPr>
        <w:pStyle w:val="BodyText"/>
        <w:jc w:val="left"/>
      </w:pPr>
    </w:p>
    <w:p w14:paraId="40F4BBF6" w14:textId="77777777">
      <w:pPr>
        <w:pStyle w:val="P68B1DB1-BodyText11"/>
        <w:ind w:left="567"/>
        <w:rPr>
          <w:iCs/>
        </w:rPr>
      </w:pPr>
      <w:r>
        <w:t xml:space="preserve">„Člena 5 in 6 </w:t>
      </w:r>
      <w:r>
        <w:rPr>
          <w:i w:val="0"/>
        </w:rPr>
        <w:t xml:space="preserve">[o obveznosti uradnega obveščanja in obdobju mirovanja] </w:t>
      </w:r>
      <w:r>
        <w:t xml:space="preserve">se ne uporabljata za tiste zakone in druge predpise držav članic ali prostovoljne sporazume, s katerimi države članice: </w:t>
      </w:r>
    </w:p>
    <w:p w14:paraId="07DBADDA" w14:textId="77777777">
      <w:pPr>
        <w:pStyle w:val="P68B1DB1-BodyText11"/>
        <w:ind w:left="1287" w:firstLine="153"/>
        <w:rPr>
          <w:iCs/>
        </w:rPr>
      </w:pPr>
      <w:r>
        <w:t>[...]</w:t>
      </w:r>
    </w:p>
    <w:p w14:paraId="11A943BD" w14:textId="080C60F0">
      <w:pPr>
        <w:pStyle w:val="P68B1DB1-BodyText11"/>
        <w:ind w:left="1440"/>
        <w:rPr>
          <w:iCs/>
        </w:rPr>
      </w:pPr>
      <w:r>
        <w:t xml:space="preserve">(F) se omejijo na spremembo tehničnega predpisa v smislu točke (f) člena 1(1) v skladu z zahtevo Komisije, da se odpravijo trgovinske ovire ali, v primeru pravil o storitvah, prosti pretok storitev ali svoboda ustanavljanja izvajalcev storitev.“</w:t>
      </w:r>
    </w:p>
    <w:p w14:paraId="21F03EA5" w14:textId="77777777">
      <w:pPr>
        <w:pStyle w:val="BodyText"/>
        <w:jc w:val="center"/>
      </w:pPr>
    </w:p>
    <w:p w14:paraId="7883B4B7" w14:textId="369773F7">
      <w:pPr>
        <w:pStyle w:val="BodyText"/>
        <w:jc w:val="right"/>
      </w:pPr>
      <w:r>
        <w:t xml:space="preserve">(Člen 7(1)(f) Direktive (EU) 2015/1535)</w:t>
      </w:r>
    </w:p>
    <w:p w14:paraId="21BFE903" w14:textId="77777777">
      <w:pPr>
        <w:pStyle w:val="BodyText"/>
        <w:jc w:val="left"/>
      </w:pPr>
    </w:p>
    <w:p w14:paraId="46B1E740" w14:textId="2C38BA2E">
      <w:pPr>
        <w:pStyle w:val="P68B1DB1-Normal13"/>
        <w:widowControl w:val="0"/>
        <w:autoSpaceDE w:val="0"/>
        <w:autoSpaceDN w:val="0"/>
        <w:spacing w:after="0" w:line="240" w:lineRule="auto"/>
        <w:jc w:val="both"/>
        <w:outlineLvl w:val="1"/>
      </w:pPr>
      <w:hyperlink r:id="rId95" w:history="1">
        <w:r>
          <w:rPr>
            <w:color w:val="0000FF"/>
            <w:u w:val="single"/>
          </w:rPr>
          <w:t xml:space="preserve">Sodba z dne 31. januarja 2013</w:t>
        </w:r>
      </w:hyperlink>
      <w:r>
        <w:t xml:space="preserve">, Belgische Petroleum Unie in drugi, C-26/11, EU:C:2013:44, točki 56 in 57.</w:t>
      </w:r>
      <w:bookmarkEnd w:id="171"/>
    </w:p>
    <w:p w14:paraId="320154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95DB689" w14:textId="2F4EA0A1">
      <w:pPr>
        <w:widowControl w:val="0"/>
        <w:tabs>
          <w:tab w:val="left" w:pos="412"/>
        </w:tabs>
        <w:autoSpaceDE w:val="0"/>
        <w:autoSpaceDN w:val="0"/>
        <w:spacing w:after="0" w:line="240" w:lineRule="auto"/>
        <w:jc w:val="both"/>
        <w:rPr>
          <w:rFonts w:ascii="Times New Roman" w:hAnsi="Times New Roman" w:cs="Times New Roman" w:eastAsia="Times New Roman"/>
          <w:szCs w:val="20"/>
        </w:rPr>
        <w:pStyle w:val="P68B1DB1-Normal14"/>
      </w:pPr>
      <w:r>
        <w:t xml:space="preserve">Direktiva ne zahteva priglasitve osnutka nacionalne zakonodaje, če je bil osnutek po prvotni priglasitvi spremenjen, da bi se upoštevale pripombe Komisije, in je bila spremenjena različica naknadno sporočena Komisiji.</w:t>
      </w:r>
    </w:p>
    <w:p w14:paraId="0634FD8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D4E24F0" w14:textId="03842035">
      <w:pPr>
        <w:pStyle w:val="P68B1DB1-Normal15"/>
        <w:widowControl w:val="0"/>
        <w:tabs>
          <w:tab w:val="left" w:pos="412"/>
        </w:tabs>
        <w:autoSpaceDE w:val="0"/>
        <w:autoSpaceDN w:val="0"/>
        <w:spacing w:after="0" w:line="240" w:lineRule="auto"/>
        <w:ind w:left="567"/>
        <w:jc w:val="both"/>
      </w:pPr>
      <w:r>
        <w:t xml:space="preserve">„56. [...] Kraljevina Belgija se je v teh okoliščinah omejila na spremembo določb osnutka zakonodaje v skladu z zahtevo Komisije za odpravo trgovinske ovire, tako da se na podlagi člena 10(1), zadnja alinea, Direktive 98/34 obveznost obveščanja Komisije na podlagi člena 8(1), prvi pododstavek, te direktive ne uporablja za osnutek zakona o obveznosti mešanja.</w:t>
      </w:r>
    </w:p>
    <w:p w14:paraId="39EC120F" w14:textId="77777777">
      <w:pPr>
        <w:pStyle w:val="P68B1DB1-Normal15"/>
        <w:widowControl w:val="0"/>
        <w:tabs>
          <w:tab w:val="left" w:pos="412"/>
        </w:tabs>
        <w:autoSpaceDE w:val="0"/>
        <w:autoSpaceDN w:val="0"/>
        <w:spacing w:after="0" w:line="240" w:lineRule="auto"/>
        <w:ind w:left="567"/>
        <w:jc w:val="both"/>
      </w:pPr>
    </w:p>
    <w:p w14:paraId="2E743C69" w14:textId="2B1CBA3C">
      <w:pPr>
        <w:pStyle w:val="P68B1DB1-Normal15"/>
        <w:widowControl w:val="0"/>
        <w:tabs>
          <w:tab w:val="left" w:pos="412"/>
        </w:tabs>
        <w:autoSpaceDE w:val="0"/>
        <w:autoSpaceDN w:val="0"/>
        <w:spacing w:after="0" w:line="240" w:lineRule="auto"/>
        <w:ind w:left="567"/>
        <w:jc w:val="both"/>
        <w:rPr>
          <w:iCs/>
        </w:rPr>
      </w:pPr>
      <w:r>
        <w:t xml:space="preserve">57. V teh okoliščinah je treba na drugo vprašanje odgovoriti, da je treba člen 8 Direktive 98/34 v povezavi s členom 10(1), zadnja alinea, te direktive razlagati tako, da ne zahteva priglasitve osnutka nacionalne zakonodaje, ki naftne družbe, ki dajejo bencin in/ali dizelsko gorivo na trg, zavezuje, da v istem koledarskem letu dajo na trg tudi določene odstotke biogoriv, če je bil osnutek po priglasitvi v skladu s členom 8(1), prvi pododstavek, spremenjen, da bi se upoštevale pripombe Komisije v zvezi z njim, in je bil spremenjeni osnutek nato posredovan Komisiji.“</w:t>
      </w:r>
    </w:p>
    <w:p w14:paraId="1F05DBDF" w14:textId="3ED0BCB3">
      <w:pPr>
        <w:spacing w:after="0" w:line="278" w:lineRule="auto"/>
        <w:rPr>
          <w:rFonts w:ascii="Times New Roman" w:hAnsi="Times New Roman" w:cs="Times New Roman" w:eastAsia="Times New Roman"/>
          <w:sz w:val="24"/>
          <w:szCs w:val="20"/>
        </w:rPr>
      </w:pPr>
      <w:r>
        <w:br w:type="page"/>
      </w:r>
    </w:p>
    <w:p w14:paraId="4DF08AEF" w14:textId="0EBF7EE3">
      <w:pPr>
        <w:pStyle w:val="P68B1DB1-Heading24"/>
        <w:numPr>
          <w:ilvl w:val="1"/>
          <w:numId w:val="1"/>
        </w:numPr>
        <w:spacing w:before="0" w:after="0"/>
        <w:jc w:val="center"/>
        <w:rPr>
          <w:bCs/>
          <w:color w:val="auto"/>
        </w:rPr>
      </w:pPr>
      <w:bookmarkStart w:id="172" w:name="_Ref195517581"/>
      <w:bookmarkStart w:id="173" w:name="_Toc203035683"/>
      <w:r>
        <w:t xml:space="preserve">Okoliščine, ki ne pomenijo izjem</w:t>
      </w:r>
      <w:bookmarkEnd w:id="172"/>
      <w:bookmarkEnd w:id="173"/>
    </w:p>
    <w:p w14:paraId="6006C68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EFB943D" w14:textId="7608A244">
      <w:pPr>
        <w:pStyle w:val="P68B1DB1-Normal13"/>
        <w:widowControl w:val="0"/>
        <w:autoSpaceDE w:val="0"/>
        <w:autoSpaceDN w:val="0"/>
        <w:spacing w:after="0" w:line="240" w:lineRule="auto"/>
        <w:jc w:val="both"/>
        <w:outlineLvl w:val="1"/>
      </w:pPr>
      <w:hyperlink r:id="rId96" w:history="1">
        <w:r>
          <w:rPr>
            <w:color w:val="0000FF"/>
            <w:u w:val="single"/>
          </w:rPr>
          <w:t xml:space="preserve">Sodba z dne 11. januarja 1996</w:t>
        </w:r>
      </w:hyperlink>
      <w:r>
        <w:t xml:space="preserve">, Komisija/Nizozemska, C-273/94, EU:C:1996:4, točki 14 in 15.</w:t>
      </w:r>
      <w:bookmarkEnd w:id="174"/>
    </w:p>
    <w:p w14:paraId="1472EEE2"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18431E5C" w14:textId="0D0BB9C0">
      <w:pPr>
        <w:pStyle w:val="P68B1DB1-Normal14"/>
        <w:widowControl w:val="0"/>
        <w:tabs>
          <w:tab w:val="left" w:pos="396"/>
          <w:tab w:val="left" w:pos="405"/>
        </w:tabs>
        <w:autoSpaceDE w:val="0"/>
        <w:autoSpaceDN w:val="0"/>
        <w:spacing w:after="0" w:line="240" w:lineRule="auto"/>
        <w:jc w:val="both"/>
      </w:pPr>
      <w:r>
        <w:t xml:space="preserve">Obveznost priglasitve ni odvisna od domnevnega učinka pravila na trgovino med državami članicami.</w:t>
      </w:r>
    </w:p>
    <w:p w14:paraId="61F0631F" w14:textId="77777777">
      <w:pPr>
        <w:widowControl w:val="0"/>
        <w:tabs>
          <w:tab w:val="left" w:pos="396"/>
          <w:tab w:val="left" w:pos="405"/>
        </w:tabs>
        <w:autoSpaceDE w:val="0"/>
        <w:autoSpaceDN w:val="0"/>
        <w:spacing w:after="0" w:line="240" w:lineRule="auto"/>
        <w:ind w:hanging="142"/>
        <w:jc w:val="both"/>
        <w:rPr>
          <w:rFonts w:ascii="Times New Roman" w:hAnsi="Times New Roman" w:cs="Times New Roman" w:eastAsia="Times New Roman"/>
          <w:szCs w:val="20"/>
        </w:rPr>
      </w:pPr>
    </w:p>
    <w:p w14:paraId="4DB865D5" w14:textId="0821625F">
      <w:pPr>
        <w:pStyle w:val="P68B1DB1-Normal15"/>
        <w:widowControl w:val="0"/>
        <w:tabs>
          <w:tab w:val="left" w:pos="396"/>
          <w:tab w:val="left" w:pos="405"/>
        </w:tabs>
        <w:autoSpaceDE w:val="0"/>
        <w:autoSpaceDN w:val="0"/>
        <w:spacing w:after="0" w:line="240" w:lineRule="auto"/>
        <w:ind w:left="567"/>
        <w:jc w:val="both"/>
        <w:rPr>
          <w:iCs/>
        </w:rPr>
      </w:pPr>
      <w:r>
        <w:t xml:space="preserve">„14. Te presoje ni mogoče ovreči s trditvijo nizozemske vlade, da je učinek spornega odloka spodbujanje trženja margarine in da je torej v skladu z glavnim ciljem Direktive, ki je odpraviti ovire za blagovno menjavo znotraj Skupnosti. </w:t>
      </w:r>
    </w:p>
    <w:p w14:paraId="0A0FB981" w14:textId="77777777">
      <w:pPr>
        <w:pStyle w:val="P68B1DB1-Normal15"/>
        <w:widowControl w:val="0"/>
        <w:tabs>
          <w:tab w:val="left" w:pos="396"/>
          <w:tab w:val="left" w:pos="405"/>
        </w:tabs>
        <w:autoSpaceDE w:val="0"/>
        <w:autoSpaceDN w:val="0"/>
        <w:spacing w:after="0" w:line="240" w:lineRule="auto"/>
        <w:ind w:left="567"/>
        <w:jc w:val="both"/>
        <w:rPr>
          <w:iCs/>
        </w:rPr>
      </w:pPr>
    </w:p>
    <w:p w14:paraId="6299CAB3" w14:textId="03C7906F">
      <w:pPr>
        <w:pStyle w:val="P68B1DB1-Normal15"/>
        <w:widowControl w:val="0"/>
        <w:tabs>
          <w:tab w:val="left" w:pos="396"/>
          <w:tab w:val="left" w:pos="405"/>
        </w:tabs>
        <w:autoSpaceDE w:val="0"/>
        <w:autoSpaceDN w:val="0"/>
        <w:spacing w:after="0" w:line="240" w:lineRule="auto"/>
        <w:ind w:left="567"/>
        <w:jc w:val="both"/>
        <w:rPr>
          <w:iCs/>
        </w:rPr>
      </w:pPr>
      <w:r>
        <w:t xml:space="preserve">15. Države članice morajo v skladu s členom 8 Direktive Komisiji sporočiti vsak osnutek tehničnega predpisa. Taka obveznost ne more biti odvisna od enostranske presoje učinkov, ki bi jih ta obveznost lahko imela na trgovino med državami članicami, s strani države članice, ki je pripravila uredbo.“</w:t>
      </w:r>
    </w:p>
    <w:p w14:paraId="41021C9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90F34A8" w14:textId="346D3994">
      <w:pPr>
        <w:pStyle w:val="P68B1DB1-Normal13"/>
        <w:widowControl w:val="0"/>
        <w:autoSpaceDE w:val="0"/>
        <w:autoSpaceDN w:val="0"/>
        <w:spacing w:after="0" w:line="240" w:lineRule="auto"/>
        <w:jc w:val="both"/>
        <w:outlineLvl w:val="1"/>
      </w:pPr>
      <w:hyperlink r:id="rId97" w:history="1">
        <w:r>
          <w:rPr>
            <w:color w:val="0000FF"/>
            <w:u w:val="single"/>
          </w:rPr>
          <w:t xml:space="preserve">Sodba z dne 16. junija 1998</w:t>
        </w:r>
      </w:hyperlink>
      <w:r>
        <w:t xml:space="preserve">, Lemmens, C-226/97, EU:C:1998:296, točke od 18 do 20</w:t>
      </w:r>
      <w:bookmarkEnd w:id="175"/>
    </w:p>
    <w:p w14:paraId="2763D12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5C4B0B" w14:textId="36C19F49">
      <w:pPr>
        <w:pStyle w:val="P68B1DB1-Normal14"/>
        <w:widowControl w:val="0"/>
        <w:tabs>
          <w:tab w:val="left" w:pos="396"/>
          <w:tab w:val="left" w:pos="461"/>
        </w:tabs>
        <w:autoSpaceDE w:val="0"/>
        <w:autoSpaceDN w:val="0"/>
        <w:spacing w:after="0" w:line="240" w:lineRule="auto"/>
        <w:jc w:val="both"/>
      </w:pPr>
      <w:r>
        <w:t xml:space="preserve">Direktiva se uporablja za „tehnične predpise“ ne glede na razlog za njihovo sprejetje. Dejstvo, da ukrep zajema kazensko pravo, ga ne izvzema iz obveznosti priglasitve. Tako so nacionalne določbe, ki urejajo aparate za analizo dihal, ki jih policija uporablja za merjenje alkohola, tehnični predpis, o katerem bi bilo treba Komisijo uradno obvestiti pred njegovim sprejetjem.</w:t>
      </w:r>
    </w:p>
    <w:p w14:paraId="5EB7B877"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B871DF8" w14:textId="6718B4DE">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„18. Francoska vlada trdi, da se Direktiva ne uporablja za proizvode, ki so, kot v obravnavanem primeru, namenjeni uporabi v okviru izvajanja javne oblasti in a fortiori v kazenskih postopkih, ki jih sprožijo države članice.</w:t>
      </w:r>
    </w:p>
    <w:p w14:paraId="09959B2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6EE31E9F" w14:textId="39DFA6E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19. Te trditve ni mogoče sprejeti. Čeprav so kazenska zakonodaja in pravila kazenskega postopka načeloma v pristojnosti držav članic, iz tega ne izhaja, da pravo Skupnosti ne more vplivati na to pravno vejo (glej v tem smislu sodbi z dne 11. julija 1989 v zadevi Cowan, 186/87, Recueil, str. 195, točka 19, in z dne 11. julija 1981 v zadevi Casati, 203/80, Recueil, str. 2595, točka 27).</w:t>
      </w:r>
    </w:p>
    <w:p w14:paraId="1A1AA4B0"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06227DC3" w14:textId="6F9850E1">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20. V tem primeru nič v Direktivi ne kaže na to, da bi bili tehnični predpisi v smislu njenega člena 1 izključeni iz obveznosti priglasitve, ker spadajo na področje uporabe kazenskega prava, ali da je področje uporabe Direktive omejeno na proizvode, ki se uporabljajo drugače kot v povezavi z izvajanjem javne oblasti. Kot je Sodišče že navedlo v zadevi Bic Benelux (C-13/96, Recueil, str. I-1753, točka 19), se direktiva uporablja za tehnične predpise ne glede na razloge, zaradi katerih so bili sprejeti.“</w:t>
      </w:r>
    </w:p>
    <w:p w14:paraId="28C6FF3B"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743F486D" w14:textId="7F85DF8F">
      <w:pPr>
        <w:pStyle w:val="P68B1DB1-Normal13"/>
        <w:widowControl w:val="0"/>
        <w:autoSpaceDE w:val="0"/>
        <w:autoSpaceDN w:val="0"/>
        <w:spacing w:after="0" w:line="240" w:lineRule="auto"/>
        <w:jc w:val="both"/>
        <w:outlineLvl w:val="1"/>
      </w:pPr>
      <w:hyperlink r:id="rId98" w:history="1">
        <w:r>
          <w:rPr>
            <w:color w:val="0000FF"/>
            <w:u w:val="single"/>
          </w:rPr>
          <w:t xml:space="preserve">Sodba z dne 21. aprila 2005</w:t>
        </w:r>
      </w:hyperlink>
      <w:r>
        <w:t xml:space="preserve">, Lindberg, C-267/03, EU:C:2005:246, točke 86, 91 in 92.</w:t>
      </w:r>
      <w:bookmarkEnd w:id="176"/>
    </w:p>
    <w:p w14:paraId="3ACA6C58"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02AB316E" w14:textId="77777777">
      <w:pPr>
        <w:pStyle w:val="P68B1DB1-Normal14"/>
        <w:widowControl w:val="0"/>
        <w:tabs>
          <w:tab w:val="left" w:pos="396"/>
          <w:tab w:val="left" w:pos="425"/>
        </w:tabs>
        <w:autoSpaceDE w:val="0"/>
        <w:autoSpaceDN w:val="0"/>
        <w:spacing w:after="0" w:line="240" w:lineRule="auto"/>
        <w:jc w:val="both"/>
      </w:pPr>
      <w:r>
        <w:t xml:space="preserve">Vrednost proizvoda, na katerega se pravilo nanaša, velikost njegovega trga in učinek tega pravila na trgovino znotraj Skupnosti niso upoštevna merila za določitev, ali je treba priglasiti „tehnični predpis“.</w:t>
      </w:r>
    </w:p>
    <w:p w14:paraId="7C940B0B" w14:textId="77777777">
      <w:pPr>
        <w:pStyle w:val="P68B1DB1-ListParagraph2"/>
        <w:tabs>
          <w:tab w:val="left" w:pos="396"/>
          <w:tab w:val="left" w:pos="425"/>
        </w:tabs>
        <w:ind w:left="0" w:right="0" w:firstLine="0"/>
        <w:rPr>
          <w:i/>
          <w:iCs/>
          <w:sz w:val="20"/>
          <w:szCs w:val="16"/>
        </w:rPr>
      </w:pPr>
    </w:p>
    <w:p w14:paraId="097F5F5F" w14:textId="000A86FC">
      <w:pPr>
        <w:pStyle w:val="P68B1DB1-P68B1DB1-ListParagraph226"/>
        <w:tabs>
          <w:tab w:val="left" w:pos="396"/>
          <w:tab w:val="left" w:pos="425"/>
        </w:tabs>
        <w:ind w:left="709"/>
      </w:pPr>
      <w:r>
        <w:t xml:space="preserve">„86. S četrtim vprašanjem predložitveno sodišče sprašuje Sodišče o tem, kakšen pomen za dolžnost obveščanja, določeni z Direktivo 83/189, je treba pripisati naslednjim okoliščinam:</w:t>
      </w:r>
    </w:p>
    <w:p w14:paraId="767A8711" w14:textId="77777777">
      <w:pPr>
        <w:pStyle w:val="P68B1DB1-P68B1DB1-ListParagraph226"/>
        <w:tabs>
          <w:tab w:val="left" w:pos="396"/>
          <w:tab w:val="left" w:pos="425"/>
        </w:tabs>
        <w:ind w:left="709"/>
      </w:pPr>
      <w:r>
        <w:t xml:space="preserve">— Nadomestitev zahteve po dovoljenju s prepovedjo v nacionalnem pravu,</w:t>
      </w:r>
    </w:p>
    <w:p w14:paraId="559C82EC" w14:textId="77777777">
      <w:pPr>
        <w:pStyle w:val="P68B1DB1-P68B1DB1-ListParagraph226"/>
        <w:tabs>
          <w:tab w:val="left" w:pos="396"/>
          <w:tab w:val="left" w:pos="425"/>
        </w:tabs>
        <w:ind w:left="709"/>
      </w:pPr>
      <w:r>
        <w:t xml:space="preserve">— Večja ali manjša vrednost proizvoda/storitve,</w:t>
      </w:r>
    </w:p>
    <w:p w14:paraId="7057795D" w14:textId="77777777">
      <w:pPr>
        <w:pStyle w:val="P68B1DB1-P68B1DB1-ListParagraph226"/>
        <w:tabs>
          <w:tab w:val="left" w:pos="396"/>
          <w:tab w:val="left" w:pos="425"/>
        </w:tabs>
        <w:ind w:left="709"/>
      </w:pPr>
      <w:r>
        <w:t xml:space="preserve">— Velikost trga za proizvod/storitev ali</w:t>
      </w:r>
    </w:p>
    <w:p w14:paraId="7E4DCD6F" w14:textId="27AB1FF7">
      <w:pPr>
        <w:pStyle w:val="P68B1DB1-P68B1DB1-ListParagraph226"/>
        <w:tabs>
          <w:tab w:val="left" w:pos="396"/>
          <w:tab w:val="left" w:pos="425"/>
        </w:tabs>
        <w:ind w:left="709"/>
      </w:pPr>
      <w:r>
        <w:t xml:space="preserve">— Učinek nove nacionalne določbe na uporabo, ki bi lahko bila popolna prepoved uporabe ali prepoved ali omejitev na enem od možnih področij uporabe?“</w:t>
      </w:r>
    </w:p>
    <w:p w14:paraId="09CF2785" w14:textId="77777777">
      <w:pPr>
        <w:pStyle w:val="P68B1DB1-ListParagraph2"/>
        <w:tabs>
          <w:tab w:val="left" w:pos="396"/>
          <w:tab w:val="left" w:pos="425"/>
        </w:tabs>
        <w:ind w:left="567" w:right="0" w:firstLine="0"/>
        <w:rPr>
          <w:i/>
          <w:iCs/>
          <w:sz w:val="20"/>
          <w:szCs w:val="16"/>
        </w:rPr>
      </w:pPr>
    </w:p>
    <w:p w14:paraId="3F0A28BA" w14:textId="4FD6ACDF">
      <w:pPr>
        <w:pStyle w:val="P68B1DB1-P68B1DB1-ListParagraph226"/>
        <w:tabs>
          <w:tab w:val="left" w:pos="396"/>
          <w:tab w:val="left" w:pos="425"/>
        </w:tabs>
        <w:ind w:firstLine="0"/>
      </w:pPr>
      <w:r>
        <w:t xml:space="preserve">„91. Glede druge in tretje okoliščine, ki ju zajema četrto predhodno vprašanje, je treba opozoriti, da Direktiva 83/189, kot je bilo povedano v točki 50 te sodbe, ureja postopek za preventivni nadzor, s katerim je mogoče preveriti, ali se za nacionalni standard, ki vsebuje tehnični predpis, uporabljajo določbe Pogodbe o prostem pretoku blaga, in če je tako, presoditi, ali je ta standard v skladu z njimi.</w:t>
      </w:r>
    </w:p>
    <w:p w14:paraId="057FE2DD" w14:textId="77777777">
      <w:pPr>
        <w:pStyle w:val="P68B1DB1-P68B1DB1-ListParagraph226"/>
        <w:tabs>
          <w:tab w:val="left" w:pos="396"/>
          <w:tab w:val="left" w:pos="425"/>
        </w:tabs>
        <w:ind w:firstLine="0"/>
      </w:pPr>
    </w:p>
    <w:p w14:paraId="56F7C7B8" w14:textId="2531A314">
      <w:pPr>
        <w:pStyle w:val="P68B1DB1-P68B1DB1-ListParagraph226"/>
        <w:tabs>
          <w:tab w:val="left" w:pos="396"/>
          <w:tab w:val="left" w:pos="425"/>
        </w:tabs>
        <w:ind w:firstLine="0"/>
      </w:pPr>
      <w:r>
        <w:t xml:space="preserve">92. V zvezi s tem je bilo v točki 51 te sodbe ugotovljeno, da morebitni učinki tehničnega predpisa na trgovino znotraj Skupnosti niso merilo za opredelitev področja uporabe Direktive 83/189, zlasti kar zadeva obveznost obveščanja, ki jo določa.“</w:t>
      </w:r>
    </w:p>
    <w:p w14:paraId="197312D1" w14:textId="0484FE14">
      <w:pPr>
        <w:pStyle w:val="P68B1DB1-Normal33"/>
        <w:spacing w:after="0" w:line="278" w:lineRule="auto"/>
        <w:rPr>
          <w:rFonts w:ascii="Times New Roman" w:hAnsi="Times New Roman" w:cs="Times New Roman" w:eastAsia="Times New Roman"/>
          <w:i/>
          <w:iCs/>
        </w:rPr>
      </w:pPr>
      <w:r>
        <w:br w:type="page"/>
      </w:r>
    </w:p>
    <w:p w14:paraId="2785F247" w14:textId="4A9302E3">
      <w:pPr>
        <w:pStyle w:val="P68B1DB1-Heading13"/>
        <w:numPr>
          <w:ilvl w:val="0"/>
          <w:numId w:val="34"/>
        </w:numPr>
        <w:spacing w:before="0" w:after="0"/>
        <w:jc w:val="center"/>
        <w:rPr>
          <w:bCs/>
          <w:color w:val="auto"/>
        </w:rPr>
      </w:pPr>
      <w:bookmarkStart w:id="177" w:name="_Ref194485817"/>
      <w:bookmarkStart w:id="178" w:name="_Toc203035684"/>
      <w:r>
        <w:t>Neuporaba</w:t>
      </w:r>
      <w:bookmarkEnd w:id="177"/>
      <w:bookmarkEnd w:id="178"/>
    </w:p>
    <w:p w14:paraId="20AC6D1C" w14:textId="77777777">
      <w:pPr>
        <w:pStyle w:val="BodyText"/>
        <w:ind w:left="2715"/>
        <w:rPr>
          <w:b/>
          <w:bCs/>
          <w:sz w:val="28"/>
          <w:szCs w:val="22"/>
        </w:rPr>
      </w:pPr>
    </w:p>
    <w:p w14:paraId="58AC44F0" w14:textId="1BBB272D">
      <w:pPr>
        <w:pStyle w:val="P68B1DB1-Heading24"/>
        <w:numPr>
          <w:ilvl w:val="0"/>
          <w:numId w:val="38"/>
        </w:numPr>
        <w:spacing w:before="0" w:after="0"/>
        <w:jc w:val="center"/>
        <w:rPr>
          <w:bCs/>
          <w:color w:val="auto"/>
        </w:rPr>
      </w:pPr>
      <w:bookmarkStart w:id="179" w:name="_Ref194485057"/>
      <w:bookmarkStart w:id="180" w:name="_Toc203035685"/>
      <w:r>
        <w:t xml:space="preserve">Neuporaba v primeru nepriglasitve</w:t>
      </w:r>
      <w:bookmarkEnd w:id="179"/>
      <w:bookmarkEnd w:id="180"/>
    </w:p>
    <w:p w14:paraId="39906D0F"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41D0CCA" w14:textId="7E812DB1">
      <w:pPr>
        <w:pStyle w:val="P68B1DB1-Normal13"/>
        <w:widowControl w:val="0"/>
        <w:autoSpaceDE w:val="0"/>
        <w:autoSpaceDN w:val="0"/>
        <w:spacing w:after="0" w:line="240" w:lineRule="auto"/>
        <w:jc w:val="both"/>
        <w:outlineLvl w:val="1"/>
      </w:pPr>
      <w:hyperlink r:id="rId99" w:history="1">
        <w:r>
          <w:rPr>
            <w:color w:val="0000FF"/>
            <w:u w:val="single"/>
          </w:rPr>
          <w:t xml:space="preserve">Sodba z dne 30. aprila 1996</w:t>
        </w:r>
      </w:hyperlink>
      <w:r>
        <w:t xml:space="preserve">, CIA Security International SA, C-194/94, EU:C:1996:172, točki 48 in 55.</w:t>
      </w:r>
      <w:bookmarkEnd w:id="181"/>
    </w:p>
    <w:p w14:paraId="6980445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8CBEA0B" w14:textId="2A001F71">
      <w:pPr>
        <w:pStyle w:val="P68B1DB1-Normal14"/>
        <w:widowControl w:val="0"/>
        <w:tabs>
          <w:tab w:val="left" w:pos="409"/>
        </w:tabs>
        <w:autoSpaceDE w:val="0"/>
        <w:autoSpaceDN w:val="0"/>
        <w:spacing w:after="0" w:line="240" w:lineRule="auto"/>
        <w:jc w:val="both"/>
      </w:pPr>
      <w:r>
        <w:t xml:space="preserve">Zaradi kršitve obveznosti obveščanja se zadevni „tehnični predpisi“ ne uporabljajo, tako da jih ni mogoče uveljavljati zoper posameznike. Posamezniki se lahko sklicujejo na člena 8 in 9 Direktive 83/189 pred nacionalnim sodiščem, ki mora zavrniti uporabo nacionalnega „tehničnega predpisa“, ki ni bil priglašen v skladu s to direktivo.</w:t>
      </w:r>
    </w:p>
    <w:p w14:paraId="41DE99AA"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13B9D75E" w14:textId="7C49EE29">
      <w:pPr>
        <w:pStyle w:val="P68B1DB1-Normal18"/>
        <w:widowControl w:val="0"/>
        <w:tabs>
          <w:tab w:val="left" w:pos="409"/>
        </w:tabs>
        <w:autoSpaceDE w:val="0"/>
        <w:autoSpaceDN w:val="0"/>
        <w:spacing w:after="0" w:line="240" w:lineRule="auto"/>
        <w:ind w:left="567"/>
        <w:jc w:val="both"/>
        <w:rPr>
          <w:iCs/>
        </w:rPr>
      </w:pPr>
      <w:r>
        <w:t xml:space="preserve">„48. Taka posledica kršitve obveznosti iz Direktive 83/189 ni odvisna od izrecne določbe v tem smislu. Kot je že bilo navedeno, ni sporno, da je cilj Direktive zaščita prostega pretoka blaga s preprečevalnim nadzorom in da obveznost sporočanja pomeni temeljno sredstvo za uresničitev tega skupnostnega nadzora. Učinkovitost nadzora Skupnosti bo toliko večja, če se Direktiva razlaga tako, da kršitev obveznosti obveščanja pomeni bistveno kršitev postopka, zaradi katere se zadevni tehnični predpisi ne uporabljajo za posameznike.“</w:t>
      </w:r>
    </w:p>
    <w:p w14:paraId="5B87E4FF" w14:textId="77777777">
      <w:pPr>
        <w:widowControl w:val="0"/>
        <w:tabs>
          <w:tab w:val="left" w:pos="409"/>
        </w:tabs>
        <w:autoSpaceDE w:val="0"/>
        <w:autoSpaceDN w:val="0"/>
        <w:spacing w:after="0" w:line="240" w:lineRule="auto"/>
        <w:ind w:left="567"/>
        <w:jc w:val="both"/>
        <w:rPr>
          <w:rFonts w:ascii="Times New Roman" w:hAnsi="Times New Roman" w:cs="Times New Roman" w:eastAsia="Times New Roman"/>
          <w:i/>
          <w:iCs/>
          <w:sz w:val="20"/>
          <w:szCs w:val="20"/>
        </w:rPr>
      </w:pPr>
    </w:p>
    <w:p w14:paraId="0768FF27" w14:textId="3B428811">
      <w:pPr>
        <w:pStyle w:val="P68B1DB1-Normal18"/>
        <w:widowControl w:val="0"/>
        <w:tabs>
          <w:tab w:val="left" w:pos="409"/>
        </w:tabs>
        <w:autoSpaceDE w:val="0"/>
        <w:autoSpaceDN w:val="0"/>
        <w:spacing w:after="0" w:line="240" w:lineRule="auto"/>
        <w:ind w:left="567"/>
        <w:jc w:val="both"/>
        <w:rPr>
          <w:iCs/>
        </w:rPr>
      </w:pPr>
      <w:r>
        <w:t xml:space="preserve">„55. Zato je treba na peto in šesto vprašanje odgovoriti, da je treba člena 8 in 9 Direktive 83/189 razlagati tako, da se lahko posamezniki nanje sklicujejo pred nacionalnim sodiščem, ki mora zavrniti uporabo nacionalnega tehničnega predpisa, ki ni bil priglašen v skladu z Direktivo.“</w:t>
      </w:r>
    </w:p>
    <w:p w14:paraId="44EDD958"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A6C3DD6" w14:textId="2CAC6094">
      <w:pPr>
        <w:pStyle w:val="P68B1DB1-Normal13"/>
        <w:widowControl w:val="0"/>
        <w:autoSpaceDE w:val="0"/>
        <w:autoSpaceDN w:val="0"/>
        <w:spacing w:after="0" w:line="240" w:lineRule="auto"/>
        <w:jc w:val="both"/>
        <w:outlineLvl w:val="1"/>
      </w:pPr>
      <w:hyperlink r:id="rId100" w:history="1">
        <w:r>
          <w:rPr>
            <w:color w:val="0000FF"/>
            <w:u w:val="single"/>
          </w:rPr>
          <w:t xml:space="preserve">Sodba z dne 16. junija 1998</w:t>
        </w:r>
      </w:hyperlink>
      <w:r>
        <w:t xml:space="preserve">, Lemmens, C-226/97, EU:C:1998:296, točke od 34 do 37.</w:t>
      </w:r>
      <w:bookmarkEnd w:id="182"/>
    </w:p>
    <w:p w14:paraId="758CEF0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ABB4A98" w14:textId="10F576AA">
      <w:pPr>
        <w:pStyle w:val="P68B1DB1-Normal14"/>
        <w:widowControl w:val="0"/>
        <w:tabs>
          <w:tab w:val="left" w:pos="406"/>
        </w:tabs>
        <w:autoSpaceDE w:val="0"/>
        <w:autoSpaceDN w:val="0"/>
        <w:spacing w:after="0" w:line="240" w:lineRule="auto"/>
        <w:jc w:val="both"/>
      </w:pPr>
      <w:r>
        <w:t xml:space="preserve">Neizpolnitev obveznosti priglasitve tehničnega predpisa v zvezi z aparati za analizo dihanja ne povzroči, da bi bil dokaz, pridobljen z aparatom za analizo dihanja, ki je bil odobren v skladu s pravili, ki niso bila priglašena, neizvršljiv proti posamezniku, ki je zadolžen za vožnjo pod vplivom alkohola.</w:t>
      </w:r>
    </w:p>
    <w:p w14:paraId="3E297BB7" w14:textId="77777777">
      <w:pPr>
        <w:widowControl w:val="0"/>
        <w:tabs>
          <w:tab w:val="left" w:pos="406"/>
        </w:tabs>
        <w:autoSpaceDE w:val="0"/>
        <w:autoSpaceDN w:val="0"/>
        <w:spacing w:after="0" w:line="240" w:lineRule="auto"/>
        <w:jc w:val="both"/>
        <w:rPr>
          <w:rFonts w:ascii="Times New Roman" w:hAnsi="Times New Roman" w:cs="Times New Roman" w:eastAsia="Times New Roman"/>
          <w:szCs w:val="20"/>
        </w:rPr>
      </w:pPr>
    </w:p>
    <w:p w14:paraId="25103538" w14:textId="65BB17C7">
      <w:pPr>
        <w:pStyle w:val="P68B1DB1-Normal15"/>
        <w:widowControl w:val="0"/>
        <w:tabs>
          <w:tab w:val="left" w:pos="409"/>
        </w:tabs>
        <w:autoSpaceDE w:val="0"/>
        <w:autoSpaceDN w:val="0"/>
        <w:spacing w:after="0" w:line="240" w:lineRule="auto"/>
        <w:ind w:left="567"/>
        <w:jc w:val="both"/>
      </w:pPr>
      <w:r>
        <w:t xml:space="preserve">„34. V kazenskem postopku, kakršen je ta v postopku v glavni stvari, so predpisi, ki se uporabljajo za obdolženca, tisti, ki po eni strani prepovedujejo in kaznujejo vožnjo pod vplivom alkohola in po drugi strani od voznika zahtevajo, da izdiha v napravo za merjenje vsebnosti alkohola, pri čemer je rezultat tega preizkusa dokaz v kazenskem postopku. Take uredbe se razlikujejo od tistih, ki niso bile priglašene Komisiji v skladu z Direktivo in jih zoper posameznike ni mogoče uveljavljati.</w:t>
      </w:r>
    </w:p>
    <w:p w14:paraId="79D66062" w14:textId="77777777">
      <w:pPr>
        <w:pStyle w:val="P68B1DB1-Normal15"/>
        <w:widowControl w:val="0"/>
        <w:tabs>
          <w:tab w:val="left" w:pos="409"/>
        </w:tabs>
        <w:autoSpaceDE w:val="0"/>
        <w:autoSpaceDN w:val="0"/>
        <w:spacing w:after="0" w:line="240" w:lineRule="auto"/>
        <w:ind w:left="567"/>
        <w:jc w:val="both"/>
      </w:pPr>
    </w:p>
    <w:p w14:paraId="1F291ACA" w14:textId="0D4F54FD">
      <w:pPr>
        <w:pStyle w:val="P68B1DB1-Normal15"/>
        <w:widowControl w:val="0"/>
        <w:tabs>
          <w:tab w:val="left" w:pos="409"/>
        </w:tabs>
        <w:autoSpaceDE w:val="0"/>
        <w:autoSpaceDN w:val="0"/>
        <w:spacing w:after="0" w:line="240" w:lineRule="auto"/>
        <w:ind w:left="567"/>
        <w:jc w:val="both"/>
      </w:pPr>
      <w:r>
        <w:t xml:space="preserve">35. Čeprav neobveščanje o tehničnih predpisih, ki pomeni postopkovno napako pri njihovem sprejetju, povzroči, da se ti predpisi ne uporabljajo, ker ovirajo uporabo ali trženje proizvoda, ki ni v skladu z njimi, pa ne povzroči nezakonitosti kakršne koli uporabe proizvoda, ki je v skladu s predpisi, ki niso bili priglašeni.</w:t>
      </w:r>
    </w:p>
    <w:p w14:paraId="06F58C0E" w14:textId="77777777">
      <w:pPr>
        <w:pStyle w:val="P68B1DB1-Normal15"/>
        <w:widowControl w:val="0"/>
        <w:tabs>
          <w:tab w:val="left" w:pos="409"/>
        </w:tabs>
        <w:autoSpaceDE w:val="0"/>
        <w:autoSpaceDN w:val="0"/>
        <w:spacing w:after="0" w:line="240" w:lineRule="auto"/>
        <w:ind w:left="567"/>
        <w:jc w:val="both"/>
      </w:pPr>
    </w:p>
    <w:p w14:paraId="56671D2C" w14:textId="0E44A6B4">
      <w:pPr>
        <w:pStyle w:val="P68B1DB1-Normal15"/>
        <w:widowControl w:val="0"/>
        <w:tabs>
          <w:tab w:val="left" w:pos="409"/>
        </w:tabs>
        <w:autoSpaceDE w:val="0"/>
        <w:autoSpaceDN w:val="0"/>
        <w:spacing w:after="0" w:line="240" w:lineRule="auto"/>
        <w:ind w:left="567"/>
        <w:jc w:val="both"/>
      </w:pPr>
      <w:r>
        <w:t xml:space="preserve">36. Uporaba proizvoda s strani javnih organov v primeru, kot je obravnavani, ne more povzročiti trgovinske ovire, ki bi se ji bilo mogoče izogniti, če bi se upošteval postopek priglasitve.</w:t>
      </w:r>
    </w:p>
    <w:p w14:paraId="4CD6FBB9" w14:textId="77777777">
      <w:pPr>
        <w:pStyle w:val="P68B1DB1-Normal15"/>
        <w:widowControl w:val="0"/>
        <w:tabs>
          <w:tab w:val="left" w:pos="409"/>
        </w:tabs>
        <w:autoSpaceDE w:val="0"/>
        <w:autoSpaceDN w:val="0"/>
        <w:spacing w:after="0" w:line="240" w:lineRule="auto"/>
        <w:ind w:left="567"/>
        <w:jc w:val="both"/>
      </w:pPr>
    </w:p>
    <w:p w14:paraId="638FC610" w14:textId="5C3DE903">
      <w:pPr>
        <w:pStyle w:val="P68B1DB1-Normal15"/>
        <w:widowControl w:val="0"/>
        <w:tabs>
          <w:tab w:val="left" w:pos="409"/>
        </w:tabs>
        <w:autoSpaceDE w:val="0"/>
        <w:autoSpaceDN w:val="0"/>
        <w:spacing w:after="0" w:line="240" w:lineRule="auto"/>
        <w:ind w:left="567"/>
        <w:jc w:val="both"/>
      </w:pPr>
      <w:r>
        <w:t xml:space="preserve">37. Zato je treba na prvo vprašanje odgovoriti, da je treba Direktivo razlagati tako, da kršitev obveznosti priglasitve tehničnega predpisa o aparatih za analizo dihanja, ki jo nalaga člen 8 te direktive, ne preprečuje, da bi se dokazi, pridobljeni s takimi napravami, odobrenimi v skladu s predpisi, ki niso bili sporočeni, uveljavljali proti posamezniku, ki je bil zadolžen za vožnjo, medtem ko je pod vplivom alkohola.“</w:t>
      </w:r>
    </w:p>
    <w:p w14:paraId="03B0AE9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AD84CA2" w14:textId="7A7E4DF0">
      <w:pPr>
        <w:pStyle w:val="P68B1DB1-Normal13"/>
        <w:widowControl w:val="0"/>
        <w:autoSpaceDE w:val="0"/>
        <w:autoSpaceDN w:val="0"/>
        <w:spacing w:after="0" w:line="240" w:lineRule="auto"/>
        <w:jc w:val="both"/>
        <w:outlineLvl w:val="1"/>
      </w:pPr>
      <w:hyperlink r:id="rId101" w:history="1">
        <w:r>
          <w:rPr>
            <w:color w:val="0000FF"/>
            <w:u w:val="single"/>
          </w:rPr>
          <w:t xml:space="preserve">Sodba z dne 6. junija 2002</w:t>
        </w:r>
      </w:hyperlink>
      <w:r>
        <w:t xml:space="preserve">, Sapod Audic, C-159/00, EU:C:2002:343, točki 52 in 53.</w:t>
      </w:r>
      <w:bookmarkEnd w:id="183"/>
    </w:p>
    <w:p w14:paraId="7700A11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8E293C" w14:textId="6294F0EB">
      <w:pPr>
        <w:widowControl w:val="0"/>
        <w:tabs>
          <w:tab w:val="left" w:pos="409"/>
        </w:tabs>
        <w:autoSpaceDE w:val="0"/>
        <w:autoSpaceDN w:val="0"/>
        <w:spacing w:after="0" w:line="240" w:lineRule="auto"/>
        <w:jc w:val="both"/>
        <w:rPr>
          <w:rFonts w:ascii="Times New Roman" w:hAnsi="Times New Roman" w:cs="Times New Roman" w:eastAsia="Times New Roman"/>
          <w:szCs w:val="20"/>
        </w:rPr>
        <w:pStyle w:val="P68B1DB1-Normal14"/>
      </w:pPr>
      <w:r>
        <w:t xml:space="preserve">Nacionalno sodišče mora zavrniti uporabo določb, ki se zaradi neobveščanja ne uporabljajo. Posledice take neuporabe ureja nacionalno pravo, če to ni manj ugodno kot za podobna nacionalna pravna sredstva in ne onemogoča uveljavljanja pravic Unije.</w:t>
      </w:r>
    </w:p>
    <w:p w14:paraId="1E2D83F5"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4757B367" w14:textId="5B286B77">
      <w:pPr>
        <w:pStyle w:val="P68B1DB1-Normal15"/>
        <w:widowControl w:val="0"/>
        <w:tabs>
          <w:tab w:val="left" w:pos="409"/>
        </w:tabs>
        <w:autoSpaceDE w:val="0"/>
        <w:autoSpaceDN w:val="0"/>
        <w:spacing w:after="0"/>
        <w:ind w:left="567"/>
        <w:jc w:val="both"/>
      </w:pPr>
      <w:r>
        <w:t xml:space="preserve">„52. Vendar je treba poudariti, da je vprašanje posledic, ki jih je treba v postopku v glavni stvari izpeljati iz neuporabe člena 4, drugi odstavek, dekreta št. 92–377 glede strogosti sankcije na podlagi veljavnega nacionalnega prava, kot sta ničnost ali neizvršljivost pogodbe med družbama Sapod in Eco-Emballages, vprašanje, ki ga ureja nacionalno pravo, zlasti glede pravil in načel pogodbenega prava, ki to sankcijo omejujejo ali prilagajajo, da bi bila njena teža sorazmerna z ugotovljeno napako. Vendar ta pravila in načela ne smejo biti manj ugodna od tistih, ki veljajo za podobna nacionalna pravna sredstva (načelo enakovrednosti), in ne smejo biti oblikovana tako, da bi v praksi onemogočila izvrševanje pravic, ki jih daje pravni red Skupnosti (načelo učinkovitosti) (glej zlasti sodbi z dne 14. julija 1976 v zadevi Rewe proti Landwirtschaftskammer für das Saarland, 33/76, Recueil, str. 1989, točka 5, in z dne 20. marca 2001 v združenih zadevah Camorotto in Vignone, C-52/99 in C-53/99, Recueil, str. I-1395, točka 21).</w:t>
      </w:r>
    </w:p>
    <w:p w14:paraId="0A8A5A27" w14:textId="77777777">
      <w:pPr>
        <w:pStyle w:val="P68B1DB1-Normal15"/>
        <w:widowControl w:val="0"/>
        <w:tabs>
          <w:tab w:val="left" w:pos="409"/>
        </w:tabs>
        <w:autoSpaceDE w:val="0"/>
        <w:autoSpaceDN w:val="0"/>
        <w:spacing w:after="0"/>
        <w:ind w:left="567"/>
        <w:jc w:val="both"/>
      </w:pPr>
    </w:p>
    <w:p w14:paraId="26C97D99" w14:textId="2C79F108">
      <w:pPr>
        <w:pStyle w:val="P68B1DB1-Normal15"/>
        <w:widowControl w:val="0"/>
        <w:tabs>
          <w:tab w:val="left" w:pos="409"/>
        </w:tabs>
        <w:autoSpaceDE w:val="0"/>
        <w:autoSpaceDN w:val="0"/>
        <w:spacing w:after="0"/>
        <w:ind w:left="567"/>
        <w:jc w:val="both"/>
      </w:pPr>
      <w:r>
        <w:t xml:space="preserve">53. Zato je treba na drugi del drugega vprašanja v delu, v katerem se nanaša na Direktivo 83/189, odgovoriti, da se lahko posameznik, če bi bilo treba nacionalno določbo, kot je člen 4, drugi odstavek, dekreta št. 92–377, razlagati tako, da zahteva uporabo znamke ali znaka, sklicuje na neobveščanje o tej nacionalni določbi v skladu s členom 8 te direktive. Nato mora nacionalno sodišče zavrniti uporabo te določbe, pri čemer je vprašanje posledic, ki jih je treba izpeljati iz neuporabe te nacionalne določbe glede strogosti sankcije v skladu z veljavnim nacionalnim pravom, kot sta ničnost ali neizvršljivost pogodbe, vprašanje, ki ga ureja nacionalno pravo. Vendar je ta ugotovitev pogojena s tem, da veljavna pravila nacionalnega prava niso manj ugodna od tistih, ki urejajo podobna nacionalna pravna sredstva, in niso oblikovana tako, da bi praktično onemogočila izvrševanje pravic, ki jih podeljuje pravni red Skupnosti.“</w:t>
      </w:r>
    </w:p>
    <w:p w14:paraId="7ECA13E2" w14:textId="77777777">
      <w:pPr>
        <w:pStyle w:val="P68B1DB1-Normal15"/>
        <w:widowControl w:val="0"/>
        <w:tabs>
          <w:tab w:val="left" w:pos="409"/>
        </w:tabs>
        <w:autoSpaceDE w:val="0"/>
        <w:autoSpaceDN w:val="0"/>
        <w:spacing w:after="0"/>
        <w:jc w:val="both"/>
      </w:pPr>
    </w:p>
    <w:p w14:paraId="25CD0695" w14:textId="4587EFBF">
      <w:pPr>
        <w:pStyle w:val="P68B1DB1-Normal13"/>
        <w:widowControl w:val="0"/>
        <w:autoSpaceDE w:val="0"/>
        <w:autoSpaceDN w:val="0"/>
        <w:spacing w:after="0" w:line="240" w:lineRule="auto"/>
        <w:jc w:val="both"/>
        <w:outlineLvl w:val="1"/>
      </w:pPr>
      <w:hyperlink r:id="rId102" w:history="1">
        <w:r>
          <w:rPr>
            <w:color w:val="0000FF"/>
            <w:u w:val="single"/>
          </w:rPr>
          <w:t xml:space="preserve">Sodba z dne 8. septembra 2005</w:t>
        </w:r>
      </w:hyperlink>
      <w:r>
        <w:t xml:space="preserve">, Lidl Italia, C-303/04, EU:C:2005:528, točki 22 in 23.</w:t>
      </w:r>
    </w:p>
    <w:p w14:paraId="4582547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63F8A9D" w14:textId="77777777">
      <w:pPr>
        <w:pStyle w:val="P68B1DB1-Normal14"/>
        <w:widowControl w:val="0"/>
        <w:tabs>
          <w:tab w:val="left" w:pos="403"/>
        </w:tabs>
        <w:autoSpaceDE w:val="0"/>
        <w:autoSpaceDN w:val="0"/>
        <w:spacing w:after="0" w:line="240" w:lineRule="auto"/>
        <w:jc w:val="both"/>
      </w:pPr>
      <w:r>
        <w:t xml:space="preserve">Kršitev obveznosti obveščanja je bistvena kršitev postopka, zaradi katere zadevnih „tehničnih predpisov“ ni mogoče uporabiti in jih torej ni mogoče uveljavljati proti posameznikom.</w:t>
      </w:r>
    </w:p>
    <w:p w14:paraId="099B7D88"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54B8211C" w14:textId="31CFA17B">
      <w:pPr>
        <w:pStyle w:val="P68B1DB1-Normal15"/>
        <w:widowControl w:val="0"/>
        <w:tabs>
          <w:tab w:val="left" w:pos="393"/>
        </w:tabs>
        <w:autoSpaceDE w:val="0"/>
        <w:autoSpaceDN w:val="0"/>
        <w:spacing w:after="0" w:line="240" w:lineRule="auto"/>
        <w:ind w:left="567"/>
        <w:jc w:val="both"/>
      </w:pPr>
      <w:r>
        <w:t xml:space="preserve">„22. [...] v skladu z ustaljeno sodno prakso je namen Direktive 98/34 s preventivnim nadzorom varovati prosti pretok blaga, ki je eden od temeljev Skupnosti, in da ima ta nadzor koristen namen, ker lahko tehnični predpisi, ki spadajo na področje uporabe te direktive, pomenijo ovire pri blagovni menjavi med državami članicami, pri čemer so take ovire dopustne le, če so potrebne za izpolnitev nujnih zahtev v splošnem interesu (glej v tem smislu sodbi z dne 15. marca 1996 v zadevi CIA Security International, C-194/94, Recueil, str. I-2201, točka 40, in z dne 29. aprila 1998 v zadevi Lemmens, C-226/97, Recueil, str. I-3711, točka 32).</w:t>
      </w:r>
    </w:p>
    <w:p w14:paraId="36DAFFCC" w14:textId="77777777">
      <w:pPr>
        <w:pStyle w:val="P68B1DB1-Normal15"/>
        <w:widowControl w:val="0"/>
        <w:tabs>
          <w:tab w:val="left" w:pos="393"/>
        </w:tabs>
        <w:autoSpaceDE w:val="0"/>
        <w:autoSpaceDN w:val="0"/>
        <w:spacing w:after="0" w:line="240" w:lineRule="auto"/>
        <w:ind w:left="567"/>
        <w:jc w:val="both"/>
      </w:pPr>
    </w:p>
    <w:p w14:paraId="149570C3" w14:textId="7B9615CB">
      <w:pPr>
        <w:pStyle w:val="P68B1DB1-Normal15"/>
        <w:widowControl w:val="0"/>
        <w:tabs>
          <w:tab w:val="left" w:pos="393"/>
        </w:tabs>
        <w:autoSpaceDE w:val="0"/>
        <w:autoSpaceDN w:val="0"/>
        <w:spacing w:after="0" w:line="240" w:lineRule="auto"/>
        <w:ind w:left="567"/>
        <w:jc w:val="both"/>
      </w:pPr>
      <w:r>
        <w:t xml:space="preserve">23. Ker je obveznost obveščanja iz člena 8(1), prvi pododstavek, Direktive 98/34 nujna za uresničitev tega nadzora Skupnosti, je učinkovitost takega nadzora toliko večja, če se ta direktiva razlaga tako, da nespoštovanje obveznosti obveščanja pomeni bistveno kršitev postopka, zaradi katere zadevnih tehničnih predpisov ni mogoče uporabiti in jih torej ni mogoče uveljavljati proti posameznikom (zgoraj navedeni sodbi CIA Security International, točke 44, 48 in 54, in Lemmens, točka 33).“</w:t>
      </w:r>
    </w:p>
    <w:p w14:paraId="6E201D8A" w14:textId="77777777">
      <w:pPr>
        <w:pStyle w:val="P68B1DB1-Normal15"/>
        <w:widowControl w:val="0"/>
        <w:tabs>
          <w:tab w:val="left" w:pos="393"/>
        </w:tabs>
        <w:autoSpaceDE w:val="0"/>
        <w:autoSpaceDN w:val="0"/>
        <w:spacing w:after="0" w:line="240" w:lineRule="auto"/>
        <w:ind w:left="567"/>
        <w:jc w:val="both"/>
        <w:rPr>
          <w:i w:val="0"/>
          <w:iCs/>
          <w:szCs w:val="20"/>
        </w:rPr>
      </w:pPr>
    </w:p>
    <w:p w14:paraId="3A7A3401" w14:textId="5474014F">
      <w:pPr>
        <w:pStyle w:val="P68B1DB1-Normal13"/>
        <w:widowControl w:val="0"/>
        <w:autoSpaceDE w:val="0"/>
        <w:autoSpaceDN w:val="0"/>
        <w:spacing w:after="0" w:line="240" w:lineRule="auto"/>
        <w:jc w:val="both"/>
        <w:outlineLvl w:val="1"/>
      </w:pPr>
      <w:hyperlink r:id="rId103" w:history="1">
        <w:r>
          <w:rPr>
            <w:color w:val="0000FF"/>
            <w:u w:val="single"/>
          </w:rPr>
          <w:t xml:space="preserve">Sodba z dne 31. januarja 2013</w:t>
        </w:r>
      </w:hyperlink>
      <w:r>
        <w:t xml:space="preserve">, Belgische Petroleum Unie in drugi, C</w:t>
        <w:noBreakHyphen/>
        <w:t xml:space="preserve">26/11, EU:C:2013:44, točka 50</w:t>
      </w:r>
      <w:bookmarkEnd w:id="184"/>
    </w:p>
    <w:p w14:paraId="7D29DEE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A5859BF" w14:textId="23CC69D0">
      <w:pPr>
        <w:pStyle w:val="P68B1DB1-Normal14"/>
        <w:widowControl w:val="0"/>
        <w:tabs>
          <w:tab w:val="left" w:pos="403"/>
        </w:tabs>
        <w:autoSpaceDE w:val="0"/>
        <w:autoSpaceDN w:val="0"/>
        <w:spacing w:after="0" w:line="240" w:lineRule="auto"/>
        <w:jc w:val="both"/>
      </w:pPr>
      <w:r>
        <w:t xml:space="preserve">Kršitev obveznosti obveščanja je bistvena kršitev postopka, zaradi katere zadevnih „tehničnih predpisov“ ni mogoče uporabiti in jih torej ni mogoče uveljavljati proti posameznikom.</w:t>
      </w:r>
    </w:p>
    <w:p w14:paraId="3A77BF8A"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1EFBF218" w14:textId="0E7DE8F3">
      <w:pPr>
        <w:pStyle w:val="P68B1DB1-Normal15"/>
        <w:widowControl w:val="0"/>
        <w:tabs>
          <w:tab w:val="left" w:pos="403"/>
        </w:tabs>
        <w:autoSpaceDE w:val="0"/>
        <w:autoSpaceDN w:val="0"/>
        <w:spacing w:after="0" w:line="240" w:lineRule="auto"/>
        <w:ind w:left="567"/>
        <w:jc w:val="both"/>
        <w:rPr>
          <w:iCs/>
        </w:rPr>
      </w:pPr>
      <w:r>
        <w:t>„</w:t>
      </w:r>
      <w:bookmarkStart w:id="185" w:name="point50"/>
      <w:r>
        <w:t>50</w:t>
      </w:r>
      <w:bookmarkEnd w:id="185"/>
      <w:r>
        <w:t xml:space="preserve">.  Ker je obveznost obveščanja iz člena 8(1), prvi pododstavek, Direktive 98/34 nujna za dosego tega nadzora, je učinkovitost takega nadzora toliko večja, če se ta direktiva razlaga tako, da nespoštovanje obveznosti obveščanja pomeni materialno kršitev postopka, zaradi katere zadevnih tehničnih predpisov ni mogoče uporabiti in jih torej ni mogoče uveljavljati proti posameznikom (glej zgoraj navedeni sodbi Lidl Italia, točka 23, in Sandström, točka 43).“</w:t>
      </w:r>
    </w:p>
    <w:p w14:paraId="5A7C1A1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F877C96" w14:textId="12F7ED6C">
      <w:pPr>
        <w:pStyle w:val="P68B1DB1-Normal13"/>
        <w:widowControl w:val="0"/>
        <w:autoSpaceDE w:val="0"/>
        <w:autoSpaceDN w:val="0"/>
        <w:spacing w:after="0" w:line="240" w:lineRule="auto"/>
        <w:jc w:val="both"/>
        <w:outlineLvl w:val="1"/>
      </w:pPr>
      <w:hyperlink r:id="rId104" w:history="1">
        <w:r>
          <w:rPr>
            <w:color w:val="0000FF"/>
            <w:u w:val="single"/>
          </w:rPr>
          <w:t xml:space="preserve">Sodba z dne 2. februarja 2016</w:t>
        </w:r>
      </w:hyperlink>
      <w:r>
        <w:t xml:space="preserve">, Ince, C-336/14, EU:C:2016:72, točki 67 in 68.</w:t>
      </w:r>
      <w:bookmarkEnd w:id="186"/>
    </w:p>
    <w:p w14:paraId="5109C791" w14:textId="77777777">
      <w:pPr>
        <w:pStyle w:val="P68B1DB1-Normal13"/>
        <w:widowControl w:val="0"/>
        <w:autoSpaceDE w:val="0"/>
        <w:autoSpaceDN w:val="0"/>
        <w:spacing w:after="0" w:line="240" w:lineRule="auto"/>
        <w:jc w:val="both"/>
        <w:outlineLvl w:val="1"/>
      </w:pPr>
    </w:p>
    <w:p w14:paraId="0118741A" w14:textId="59CA11D9">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Zaradi neobveščanja o „tehničnem predpisu“ je ta neuporaben in neizvršljiv proti posameznikom. Ta se lahko sklicuje na člen 8 Direktive 98/34 pred nacionalnimi sodišči, ki morajo zato zavrniti uporabo nepriglašenega pravila.</w:t>
      </w:r>
    </w:p>
    <w:p w14:paraId="33041BEA" w14:textId="77777777">
      <w:pPr>
        <w:widowControl w:val="0"/>
        <w:autoSpaceDE w:val="0"/>
        <w:autoSpaceDN w:val="0"/>
        <w:spacing w:after="0" w:line="240" w:lineRule="auto"/>
        <w:jc w:val="both"/>
        <w:rPr>
          <w:rFonts w:ascii="Times New Roman" w:hAnsi="Times New Roman" w:cs="Times New Roman" w:eastAsia="Times New Roman"/>
          <w:i/>
          <w:iCs/>
          <w:sz w:val="20"/>
          <w:szCs w:val="20"/>
        </w:rPr>
      </w:pPr>
    </w:p>
    <w:p w14:paraId="0B90620E" w14:textId="22B6DE21">
      <w:pPr>
        <w:pStyle w:val="P68B1DB1-Normal18"/>
        <w:widowControl w:val="0"/>
        <w:autoSpaceDE w:val="0"/>
        <w:autoSpaceDN w:val="0"/>
        <w:spacing w:after="0" w:line="240" w:lineRule="auto"/>
        <w:ind w:left="567"/>
        <w:jc w:val="both"/>
      </w:pPr>
      <w:r>
        <w:t xml:space="preserve">„67. Najprej je treba spomniti, da kršitev obveznosti sporočanja iz člena 8(1) Direktive 98/34 pomeni kršitev postopka pri sprejetju zadevnih tehničnih predpisov, zaradi česar teh predpisov ni mogoče uporabiti in tako uveljavljati proti posameznikom (glej zlasti sodbo Ivansson in drugi, C-307/13, EU:C:2014:2058, točka 48 ter navedena sodna praksa).</w:t>
      </w:r>
    </w:p>
    <w:p w14:paraId="3D0E63B7" w14:textId="77777777">
      <w:pPr>
        <w:pStyle w:val="P68B1DB1-Normal18"/>
        <w:widowControl w:val="0"/>
        <w:autoSpaceDE w:val="0"/>
        <w:autoSpaceDN w:val="0"/>
        <w:spacing w:after="0" w:line="240" w:lineRule="auto"/>
        <w:ind w:left="567"/>
        <w:jc w:val="both"/>
      </w:pPr>
    </w:p>
    <w:p w14:paraId="0BF09E0D" w14:textId="771301DC">
      <w:pPr>
        <w:pStyle w:val="P68B1DB1-Normal18"/>
        <w:widowControl w:val="0"/>
        <w:autoSpaceDE w:val="0"/>
        <w:autoSpaceDN w:val="0"/>
        <w:spacing w:after="0" w:line="240" w:lineRule="auto"/>
        <w:ind w:left="567"/>
        <w:jc w:val="both"/>
        <w:rPr>
          <w:iCs/>
        </w:rPr>
      </w:pPr>
      <w:r>
        <w:t xml:space="preserve">68. V zvezi s tem je treba poudariti, kot je generalni pravobranilec navedel v točki 60 sklepnih predlogov, da čeprav člen 8(1) te direktive zahteva, da se Komisiji sporoči celoten osnutek zakona, ki vsebuje tehnične predpise (glej v tem smislu sodbo Komisija/Italija, C-279/94, EU:C:1997:396, točki 40 in 41), se neuporaba, ki izhaja iz kršitve te obveznosti, ne nanaša na vse določbe takega zakona, ampak le na tehnične predpise, ki jih vsebuje.“</w:t>
      </w:r>
    </w:p>
    <w:p w14:paraId="3958CBE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3409741" w14:textId="429ECE6F">
      <w:pPr>
        <w:pStyle w:val="P68B1DB1-Normal13"/>
        <w:widowControl w:val="0"/>
        <w:autoSpaceDE w:val="0"/>
        <w:autoSpaceDN w:val="0"/>
        <w:spacing w:after="0" w:line="240" w:lineRule="auto"/>
        <w:jc w:val="both"/>
        <w:outlineLvl w:val="1"/>
      </w:pPr>
      <w:hyperlink r:id="rId105" w:history="1">
        <w:r>
          <w:rPr>
            <w:color w:val="0000FF"/>
            <w:u w:val="single"/>
          </w:rPr>
          <w:t xml:space="preserve">Sklep z dne 21. aprila 2016</w:t>
        </w:r>
      </w:hyperlink>
      <w:r>
        <w:t xml:space="preserve">, Beca Engineering, C-285/15, EU:C:2016:295, točka 37.</w:t>
      </w:r>
      <w:bookmarkEnd w:id="187"/>
    </w:p>
    <w:p w14:paraId="4FF7730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95C5D13" w14:textId="319BB418">
      <w:pPr>
        <w:widowControl w:val="0"/>
        <w:tabs>
          <w:tab w:val="left" w:pos="436"/>
        </w:tabs>
        <w:autoSpaceDE w:val="0"/>
        <w:autoSpaceDN w:val="0"/>
        <w:spacing w:after="0" w:line="240" w:lineRule="auto"/>
        <w:jc w:val="both"/>
        <w:rPr>
          <w:rFonts w:ascii="Times New Roman" w:hAnsi="Times New Roman" w:cs="Times New Roman" w:eastAsia="Times New Roman"/>
          <w:szCs w:val="20"/>
        </w:rPr>
        <w:pStyle w:val="P68B1DB1-Normal14"/>
      </w:pPr>
      <w:r>
        <w:t xml:space="preserve">Zaradi neobveščanja o „tehničnem predpisu“ ga ni mogoče uporabiti in ga ni mogoče uveljavljati zoper posameznike, ki se lahko sklicujejo na člen 8 Direktive 98/34 pred nacionalnimi sodišči, ki morajo zato njegovo uporabo zavrniti.</w:t>
      </w:r>
    </w:p>
    <w:p w14:paraId="4B5D090C"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4CE283BE" w14:textId="354C4BFD">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(Ker je vrstni red na voljo samo v francoščini in italijanščini, je naslednje besedilo prevod.)</w:t>
      </w:r>
    </w:p>
    <w:p w14:paraId="71B521E7"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176B997E" w14:textId="2F3B42D8">
      <w:pPr>
        <w:pStyle w:val="P68B1DB1-Normal15"/>
        <w:widowControl w:val="0"/>
        <w:tabs>
          <w:tab w:val="left" w:pos="436"/>
        </w:tabs>
        <w:autoSpaceDE w:val="0"/>
        <w:autoSpaceDN w:val="0"/>
        <w:spacing w:after="0" w:line="240" w:lineRule="auto"/>
        <w:ind w:left="567"/>
        <w:jc w:val="both"/>
        <w:rPr>
          <w:iCs/>
        </w:rPr>
      </w:pPr>
      <w:r>
        <w:t xml:space="preserve">„37. V skladu z ustaljeno sodno prakso to, da države članice ne izpolnijo obveznosti takojšnje priglasitve tehničnih predpisov Komisiji, določene v členu 8 Direktive 98/34, povzroči, da se zadevni tehnični predpisi ne uporabljajo, tako da jih ni mogoče uveljavljati zoper posameznike, ki se lahko sklicujejo na člen 8 Direktive 98/34 pred nacionalnim sodiščem, ki mora zavrniti uporabo nacionalnega tehničnega predpisa, ki ni bil priglašen v skladu s to direktivo (glej v tem smislu sodbe z dne 30. aprila 1996, CIA Security International, 194/94</w:t>
        <w:noBreakHyphen/>
        <w:t xml:space="preserve">, EU:C:1996:172, točki 44 in 54; z dne 26. septembra 2000, Unilever</w:t>
        <w:noBreakHyphen/>
        <w:t xml:space="preserve">, 443/98, EU:C:2000:496, točka 49; in z dne 16. julija 2015, UNIC in Uni.co.pel,</w:t>
        <w:noBreakHyphen/>
        <w:t xml:space="preserve">95/14, EU:C:2015:492, točka 29).“</w:t>
      </w:r>
    </w:p>
    <w:p w14:paraId="316A0C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2DF0B9D" w14:textId="49BEF45B">
      <w:pPr>
        <w:pStyle w:val="P68B1DB1-Normal13"/>
        <w:widowControl w:val="0"/>
        <w:autoSpaceDE w:val="0"/>
        <w:autoSpaceDN w:val="0"/>
        <w:spacing w:after="0" w:line="240" w:lineRule="auto"/>
        <w:jc w:val="both"/>
        <w:outlineLvl w:val="1"/>
      </w:pPr>
      <w:hyperlink r:id="rId106" w:history="1">
        <w:r>
          <w:rPr>
            <w:color w:val="0000FF"/>
            <w:u w:val="single"/>
          </w:rPr>
          <w:t xml:space="preserve">Sodba z dne 1. februarja 2017</w:t>
        </w:r>
      </w:hyperlink>
      <w:r>
        <w:t xml:space="preserve">, Município de Palmela, C</w:t>
        <w:noBreakHyphen/>
        <w:t xml:space="preserve">144/16, EU:C:2017:76, točki 36 in 37.</w:t>
      </w:r>
      <w:bookmarkEnd w:id="188"/>
    </w:p>
    <w:p w14:paraId="71CD8C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48608F0" w14:textId="4E7B20FD">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Neuporaba nepriglašenih tehničnih predpisov se nanaša le na določbe, ki se štejejo za take, in ne na celotno besedilo, v katerem so določeni. </w:t>
      </w:r>
    </w:p>
    <w:p w14:paraId="75A4341D" w14:textId="77777777">
      <w:pPr>
        <w:widowControl w:val="0"/>
        <w:tabs>
          <w:tab w:val="left" w:pos="506"/>
        </w:tabs>
        <w:autoSpaceDE w:val="0"/>
        <w:autoSpaceDN w:val="0"/>
        <w:spacing w:after="0" w:line="240" w:lineRule="auto"/>
        <w:jc w:val="both"/>
        <w:rPr>
          <w:rFonts w:ascii="Times New Roman" w:hAnsi="Times New Roman" w:cs="Times New Roman" w:eastAsia="Times New Roman"/>
          <w:szCs w:val="20"/>
        </w:rPr>
      </w:pPr>
    </w:p>
    <w:p w14:paraId="0AB4BF23" w14:textId="0FC0DDA5">
      <w:pPr>
        <w:pStyle w:val="P68B1DB1-Normal15"/>
        <w:widowControl w:val="0"/>
        <w:tabs>
          <w:tab w:val="left" w:pos="506"/>
        </w:tabs>
        <w:autoSpaceDE w:val="0"/>
        <w:autoSpaceDN w:val="0"/>
        <w:spacing w:after="0" w:line="240" w:lineRule="auto"/>
        <w:ind w:left="567"/>
        <w:jc w:val="both"/>
      </w:pPr>
      <w:r>
        <w:t xml:space="preserve">„36. Poleg tega je sankcija za neizpolnitev take obveznosti priglasitve neuporaba tehničnih pravil, ki niso bila sporočena (glej v tem smislu v zvezi z Direktivo 83/189, sodbo z dne 30. aprila 1996, CIA Security International, C-194/94, EU:C:1996:172, točka 54, in v zvezi z Direktivo 98/34 sodbo z dne 4. februarja 2016, Ince, C-336/14, EU:C:2016:72, točka 67 in navedena sodna praksa).</w:t>
      </w:r>
    </w:p>
    <w:p w14:paraId="53154754" w14:textId="77777777">
      <w:pPr>
        <w:pStyle w:val="P68B1DB1-Normal15"/>
        <w:widowControl w:val="0"/>
        <w:tabs>
          <w:tab w:val="left" w:pos="506"/>
        </w:tabs>
        <w:autoSpaceDE w:val="0"/>
        <w:autoSpaceDN w:val="0"/>
        <w:spacing w:after="0" w:line="240" w:lineRule="auto"/>
        <w:ind w:left="567"/>
        <w:jc w:val="both"/>
      </w:pPr>
    </w:p>
    <w:p w14:paraId="3D0698B5" w14:textId="300775AA">
      <w:pPr>
        <w:pStyle w:val="P68B1DB1-Normal15"/>
        <w:widowControl w:val="0"/>
        <w:tabs>
          <w:tab w:val="left" w:pos="506"/>
        </w:tabs>
        <w:autoSpaceDE w:val="0"/>
        <w:autoSpaceDN w:val="0"/>
        <w:spacing w:after="0" w:line="240" w:lineRule="auto"/>
        <w:ind w:left="567"/>
        <w:jc w:val="both"/>
        <w:rPr>
          <w:iCs/>
        </w:rPr>
      </w:pPr>
      <w:r>
        <w:t xml:space="preserve">37. Glede obsega take sankcije, čeprav člen 8(1) Direktive 83/189 in člen 8(1) Direktive 98/34 zahtevata, da se Komisiji sporoči celoten osnutek zakona, ki vsebuje tehnične predpise, se neuporaba, ki izhaja iz kršitve te obveznosti, ne nanaša na vse določbe takega zakona, ampak le na tehnične predpise, ki jih vsebuje (glej v tem smislu sodbo z dne 4. februarja 2016, Ince, C-336/14, EU:C:2016:72, točka 68).“</w:t>
      </w:r>
    </w:p>
    <w:p w14:paraId="554FD6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6C171BE6" w14:textId="2B08C6DC">
      <w:pPr>
        <w:pStyle w:val="P68B1DB1-Normal13"/>
        <w:widowControl w:val="0"/>
        <w:autoSpaceDE w:val="0"/>
        <w:autoSpaceDN w:val="0"/>
        <w:spacing w:after="0" w:line="240" w:lineRule="auto"/>
        <w:jc w:val="both"/>
        <w:outlineLvl w:val="1"/>
      </w:pPr>
      <w:hyperlink r:id="rId107" w:history="1">
        <w:r>
          <w:rPr>
            <w:color w:val="0000FF"/>
            <w:u w:val="single"/>
          </w:rPr>
          <w:t xml:space="preserve">Sodba z dne 12. septembra 2019</w:t>
        </w:r>
      </w:hyperlink>
      <w:r>
        <w:t xml:space="preserve">, VG Media, C-299/17, EU:C:2019:716, točka 39.</w:t>
      </w:r>
      <w:bookmarkEnd w:id="189"/>
    </w:p>
    <w:p w14:paraId="4D9638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70EAA48" w14:textId="672654D1">
      <w:pPr>
        <w:pStyle w:val="P68B1DB1-Normal14"/>
        <w:widowControl w:val="0"/>
        <w:tabs>
          <w:tab w:val="left" w:pos="396"/>
        </w:tabs>
        <w:autoSpaceDE w:val="0"/>
        <w:autoSpaceDN w:val="0"/>
        <w:spacing w:after="0" w:line="240" w:lineRule="auto"/>
        <w:jc w:val="both"/>
      </w:pPr>
      <w:r>
        <w:t xml:space="preserve">Na neuporabo nepriglašenega „tehničnega predpisa“ se je mogoče sklicevati v okviru spora med posamezniki.</w:t>
      </w:r>
    </w:p>
    <w:p w14:paraId="28A74567" w14:textId="77777777">
      <w:pPr>
        <w:widowControl w:val="0"/>
        <w:tabs>
          <w:tab w:val="left" w:pos="396"/>
        </w:tabs>
        <w:autoSpaceDE w:val="0"/>
        <w:autoSpaceDN w:val="0"/>
        <w:spacing w:after="0" w:line="240" w:lineRule="auto"/>
        <w:jc w:val="both"/>
        <w:rPr>
          <w:rFonts w:ascii="Times New Roman" w:hAnsi="Times New Roman" w:cs="Times New Roman" w:eastAsia="Times New Roman"/>
          <w:szCs w:val="20"/>
        </w:rPr>
      </w:pPr>
    </w:p>
    <w:p w14:paraId="341E5191" w14:textId="072C374E">
      <w:pPr>
        <w:pStyle w:val="P68B1DB1-Normal15"/>
        <w:widowControl w:val="0"/>
        <w:tabs>
          <w:tab w:val="left" w:pos="396"/>
        </w:tabs>
        <w:autoSpaceDE w:val="0"/>
        <w:autoSpaceDN w:val="0"/>
        <w:spacing w:after="0" w:line="240" w:lineRule="auto"/>
        <w:ind w:left="567"/>
        <w:jc w:val="both"/>
        <w:rPr>
          <w:iCs/>
        </w:rPr>
      </w:pPr>
      <w:r>
        <w:t>„</w:t>
      </w:r>
      <w:bookmarkStart w:id="190" w:name="point39"/>
      <w:r>
        <w:t>39</w:t>
      </w:r>
      <w:bookmarkEnd w:id="190"/>
      <w:r>
        <w:t xml:space="preserve">. Ker se predpis, kakršen je ta v postopku v glavni stvari, nanaša posebej na storitve informacijske družbe, mora biti osnutek tehničnega predpisa predhodno sporočen Komisiji v skladu s členom 8(1) Direktive 98/34. V nasprotnem primeru se je v skladu z ustaljeno sodno prakso na neuporabo tehničnega predpisa, ki ni bil priglašen v skladu s to določbo, mogoče sklicevati v okviru spora med posamezniki (sodba z dne 27. oktobra 2016, James Elliott Construction, C 613/14</w:t>
        <w:noBreakHyphen/>
        <w:t xml:space="preserve">, EU:C:2016:821, točka 64 in navedena sodna praksa).“</w:t>
      </w:r>
    </w:p>
    <w:p w14:paraId="67343887" w14:textId="77777777">
      <w:pPr>
        <w:pStyle w:val="P68B1DB1-Normal16"/>
        <w:spacing w:after="0" w:line="240" w:lineRule="auto"/>
        <w:rPr>
          <w:i/>
          <w:iCs/>
        </w:rPr>
      </w:pPr>
      <w:r>
        <w:br w:type="page"/>
      </w:r>
    </w:p>
    <w:p w14:paraId="3EE7303A" w14:textId="250577BE">
      <w:pPr>
        <w:pStyle w:val="P68B1DB1-Heading24"/>
        <w:numPr>
          <w:ilvl w:val="0"/>
          <w:numId w:val="38"/>
        </w:numPr>
        <w:spacing w:before="0" w:after="0"/>
        <w:jc w:val="center"/>
        <w:rPr>
          <w:bCs/>
          <w:color w:val="auto"/>
        </w:rPr>
      </w:pPr>
      <w:bookmarkStart w:id="191" w:name="_Ref194485069"/>
      <w:bookmarkStart w:id="192" w:name="_Toc203035686"/>
      <w:r>
        <w:t xml:space="preserve">Neuporaba v primeru posvojitve v obdobju mirovanja</w:t>
      </w:r>
      <w:bookmarkEnd w:id="191"/>
      <w:bookmarkEnd w:id="192"/>
    </w:p>
    <w:p w14:paraId="37876FE6" w14:textId="77777777">
      <w:pPr>
        <w:widowControl w:val="0"/>
        <w:tabs>
          <w:tab w:val="left" w:pos="396"/>
        </w:tabs>
        <w:autoSpaceDE w:val="0"/>
        <w:autoSpaceDN w:val="0"/>
        <w:spacing w:after="0" w:line="240" w:lineRule="auto"/>
        <w:ind w:left="567"/>
        <w:jc w:val="both"/>
        <w:rPr>
          <w:rFonts w:ascii="Times New Roman" w:hAnsi="Times New Roman" w:cs="Times New Roman" w:eastAsia="Times New Roman"/>
          <w:i/>
          <w:iCs/>
          <w:sz w:val="20"/>
          <w:szCs w:val="16"/>
        </w:rPr>
      </w:pPr>
    </w:p>
    <w:p w14:paraId="0D0639E5" w14:textId="5783481F">
      <w:pPr>
        <w:pStyle w:val="P68B1DB1-Normal13"/>
        <w:widowControl w:val="0"/>
        <w:autoSpaceDE w:val="0"/>
        <w:autoSpaceDN w:val="0"/>
        <w:spacing w:after="0" w:line="240" w:lineRule="auto"/>
        <w:jc w:val="both"/>
        <w:outlineLvl w:val="1"/>
      </w:pPr>
      <w:hyperlink r:id="rId108" w:history="1">
        <w:r>
          <w:rPr>
            <w:color w:val="0000FF"/>
            <w:u w:val="single"/>
          </w:rPr>
          <w:t xml:space="preserve">Sodba z dne 26. septembra 2000</w:t>
        </w:r>
      </w:hyperlink>
      <w:r>
        <w:t xml:space="preserve">, Unilever, C-443/98, EU:C:2000:496, točki 44 in 49.</w:t>
      </w:r>
      <w:bookmarkEnd w:id="193"/>
    </w:p>
    <w:p w14:paraId="42E7AF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BBEE81D" w14:textId="01D7910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Kršitev obveznosti odloga sprejetja „tehničnega predpisa“ naj bi bila bistvena kršitev postopka, zaradi česar naj bi se lahko uveljavljala neuporaba v pravdnem postopku na področju civilnega pogodbenega prava.</w:t>
      </w:r>
    </w:p>
    <w:p w14:paraId="44D1FDCE" w14:textId="77777777">
      <w:pPr>
        <w:widowControl w:val="0"/>
        <w:autoSpaceDE w:val="0"/>
        <w:autoSpaceDN w:val="0"/>
        <w:spacing w:after="0" w:line="240" w:lineRule="auto"/>
        <w:jc w:val="both"/>
        <w:rPr>
          <w:rFonts w:ascii="Times New Roman" w:hAnsi="Times New Roman" w:cs="Times New Roman" w:eastAsia="Times New Roman"/>
          <w:szCs w:val="20"/>
        </w:rPr>
      </w:pPr>
    </w:p>
    <w:p w14:paraId="75DB8828" w14:textId="28728DEC">
      <w:pPr>
        <w:pStyle w:val="P68B1DB1-Normal15"/>
        <w:widowControl w:val="0"/>
        <w:autoSpaceDE w:val="0"/>
        <w:autoSpaceDN w:val="0"/>
        <w:spacing w:after="0"/>
        <w:ind w:left="567"/>
        <w:jc w:val="both"/>
      </w:pPr>
      <w:r>
        <w:t xml:space="preserve">„44. Čeprav je Sodišče v točki 48 zgoraj navedene sodbe CIA Security, potem ko je ponovno poudarilo, da je cilj Direktive 83/189 varovanje prostega pretoka blaga s preventivnim nadzorom in da je obveznost obveščanja bistvena za dosego takega nadzora Skupnosti, ugotovilo, da bi bila učinkovitost takega nadzora toliko večja, če bi se Direktiva razlagala tako, da kršitev obveznosti obveščanja pomeni bistveno kršitev postopka, zaradi katere zadevnih tehničnih predpisov za posameznike ni mogoče uporabiti, iz preudarkov, navedenih v točkah od 40 do 43 te sodbe, izhaja, da kršitev obveznosti odloga sprejetja iz člena 9 Direktive 83/189 pomeni tudi bistveno kršitev postopka, zaradi katere tehničnih predpisov ni mogoče uporabiti.“</w:t>
      </w:r>
    </w:p>
    <w:p w14:paraId="02036EC1"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58BC9E48" w14:textId="635AF4A5">
      <w:pPr>
        <w:pStyle w:val="P68B1DB1-Normal15"/>
        <w:widowControl w:val="0"/>
        <w:autoSpaceDE w:val="0"/>
        <w:autoSpaceDN w:val="0"/>
        <w:spacing w:after="0" w:line="240" w:lineRule="auto"/>
        <w:ind w:left="567"/>
        <w:jc w:val="both"/>
        <w:rPr>
          <w:iCs/>
        </w:rPr>
      </w:pPr>
      <w:r>
        <w:t xml:space="preserve">„49. Tako iz sodne prakse Sodišča izhaja, da se je na neuporabo tehničnega predpisa, ki ni bil priglašen v skladu s členom 8 Direktive 83/189, mogoče sklicevati v okviru spora med posamezniki iz razlogov, navedenih v točkah od 40 do 43 te sodbe. Enako velja za nespoštovanje obveznosti iz člena 9 te direktive, ne da bi bilo treba v zvezi s tem spore med posamezniki na področju nelojalne konkurence, kot v zadevi CIA Security International, obravnavati različno od sporov med posamezniki, ki se nanašajo na pravice in obveznosti pogodbene narave, kot v postopku v glavni stvari.“</w:t>
      </w:r>
    </w:p>
    <w:p w14:paraId="2398ED1C"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DE1608D" w14:textId="65CDF631">
      <w:pPr>
        <w:pStyle w:val="P68B1DB1-Normal13"/>
        <w:widowControl w:val="0"/>
        <w:autoSpaceDE w:val="0"/>
        <w:autoSpaceDN w:val="0"/>
        <w:spacing w:after="0" w:line="240" w:lineRule="auto"/>
        <w:jc w:val="both"/>
        <w:outlineLvl w:val="1"/>
      </w:pPr>
      <w:hyperlink r:id="rId109" w:history="1">
        <w:r>
          <w:rPr>
            <w:color w:val="0000FF"/>
            <w:u w:val="single"/>
          </w:rPr>
          <w:t xml:space="preserve">Sodba z dne 16. julija 2015</w:t>
        </w:r>
      </w:hyperlink>
      <w:r>
        <w:t xml:space="preserve">, UNIC in Uni.co.pel, C-95/14, EU:C:2015:492, točki 29 in 30.</w:t>
      </w:r>
      <w:bookmarkEnd w:id="194"/>
    </w:p>
    <w:p w14:paraId="1A2641F5" w14:textId="77777777">
      <w:pPr>
        <w:pStyle w:val="P68B1DB1-Normal13"/>
        <w:widowControl w:val="0"/>
        <w:autoSpaceDE w:val="0"/>
        <w:autoSpaceDN w:val="0"/>
        <w:spacing w:after="0" w:line="240" w:lineRule="auto"/>
        <w:jc w:val="both"/>
        <w:outlineLvl w:val="1"/>
        <w:rPr>
          <w:color w:val="0000FF"/>
          <w:u w:val="single"/>
        </w:rPr>
      </w:pPr>
    </w:p>
    <w:p w14:paraId="6A41CA20" w14:textId="5D78CD99">
      <w:pPr>
        <w:pStyle w:val="P68B1DB1-Normal14"/>
        <w:widowControl w:val="0"/>
        <w:tabs>
          <w:tab w:val="left" w:pos="458"/>
        </w:tabs>
        <w:autoSpaceDE w:val="0"/>
        <w:autoSpaceDN w:val="0"/>
        <w:spacing w:after="0" w:line="240" w:lineRule="auto"/>
        <w:jc w:val="both"/>
      </w:pPr>
      <w:r>
        <w:t xml:space="preserve">„Tehnični predpis“ se ne more uporabljati, če ni bil priglašen ali če je bil sprejet in izveden pred koncem obdobja mirovanja, čeprav je bil priglašen. Neupoštevanje tega obdobja mirovanja pomeni materialno kršitev postopka, zaradi katere zadevnega „tehničnega predpisa“ ni mogoče uporabiti in ga ni mogoče uveljavljati proti posameznikom.</w:t>
      </w:r>
    </w:p>
    <w:p w14:paraId="78F423B5" w14:textId="77777777">
      <w:pPr>
        <w:widowControl w:val="0"/>
        <w:tabs>
          <w:tab w:val="left" w:pos="458"/>
        </w:tabs>
        <w:autoSpaceDE w:val="0"/>
        <w:autoSpaceDN w:val="0"/>
        <w:spacing w:after="0" w:line="240" w:lineRule="auto"/>
        <w:jc w:val="both"/>
        <w:rPr>
          <w:rFonts w:ascii="Times New Roman" w:hAnsi="Times New Roman" w:cs="Times New Roman" w:eastAsia="Times New Roman"/>
          <w:szCs w:val="20"/>
        </w:rPr>
      </w:pPr>
    </w:p>
    <w:p w14:paraId="671D359F" w14:textId="02315FA1">
      <w:pPr>
        <w:pStyle w:val="P68B1DB1-Normal15"/>
        <w:widowControl w:val="0"/>
        <w:tabs>
          <w:tab w:val="left" w:pos="413"/>
        </w:tabs>
        <w:autoSpaceDE w:val="0"/>
        <w:autoSpaceDN w:val="0"/>
        <w:spacing w:after="0" w:line="240" w:lineRule="auto"/>
        <w:ind w:left="567"/>
        <w:jc w:val="both"/>
      </w:pPr>
      <w:r>
        <w:t xml:space="preserve">„29. V zvezi s tem je treba spomniti, da se tehnično pravilo ne sme uporabiti, če ni bilo sporočeno v skladu s členom 8(1) Direktive 98/34 ali če je bilo, čeprav je bilo sporočeno, potrjeno in izvedeno pred potekom trimesečnega obdobja mirovanja, določenega v členu 9(1) navedene direktive (glej sodbi CIA Security International, C-194/94, EU:C:1996:172, točke 41, 44 in 54, in Unilever, C-443/98, EU:C:2000:496, točka 49).</w:t>
      </w:r>
    </w:p>
    <w:p w14:paraId="669F0D65" w14:textId="77777777">
      <w:pPr>
        <w:pStyle w:val="P68B1DB1-Normal15"/>
        <w:widowControl w:val="0"/>
        <w:tabs>
          <w:tab w:val="left" w:pos="413"/>
        </w:tabs>
        <w:autoSpaceDE w:val="0"/>
        <w:autoSpaceDN w:val="0"/>
        <w:spacing w:after="0" w:line="240" w:lineRule="auto"/>
        <w:ind w:left="567"/>
        <w:jc w:val="both"/>
      </w:pPr>
    </w:p>
    <w:p w14:paraId="6F40553C" w14:textId="5546CC32">
      <w:pPr>
        <w:pStyle w:val="P68B1DB1-Normal15"/>
        <w:widowControl w:val="0"/>
        <w:tabs>
          <w:tab w:val="left" w:pos="413"/>
        </w:tabs>
        <w:autoSpaceDE w:val="0"/>
        <w:autoSpaceDN w:val="0"/>
        <w:spacing w:after="0" w:line="240" w:lineRule="auto"/>
        <w:ind w:left="567"/>
        <w:jc w:val="both"/>
        <w:rPr>
          <w:iCs/>
        </w:rPr>
      </w:pPr>
      <w:r>
        <w:t xml:space="preserve">30. Zato mora v postopku v glavni stvari predložitveno sodišče preveriti, ali je zakon št. 8/2013 začel veljati brez upoštevanja obdobja mirovanja iz člena 9 Direktive 98/34. Če je, pomeni neupoštevanje tega obdobja mirovanja bistveno kršitev postopka, katere posledica je neuporaba spornega tehničnega predpisa. Kot je generalna pravobranilka poudarila v točkah od 44 do 47 sklepnih predlogov, člena 3(2) zakona št. 8/2103 v tem primeru ne bi bilo mogoče uveljavljati zoper posameznike.“</w:t>
      </w:r>
    </w:p>
    <w:p w14:paraId="6059C0D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3CFB923" w14:textId="1D33D9D9">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10" w:history="1">
        <w:r>
          <w:rPr>
            <w:rStyle w:val="Hyperlink"/>
            <w:rFonts w:ascii="Times New Roman" w:hAnsi="Times New Roman" w:cs="Times New Roman" w:eastAsia="Times New Roman"/>
            <w:b/>
            <w:i/>
            <w:color w:val="0000FF"/>
            <w:szCs w:val="20"/>
          </w:rPr>
          <w:t xml:space="preserve">Sodba z dne 21. decembra 2023</w:t>
        </w:r>
      </w:hyperlink>
      <w:r>
        <w:rPr>
          <w:rFonts w:ascii="Times New Roman" w:hAnsi="Times New Roman" w:cs="Times New Roman" w:eastAsia="Times New Roman"/>
          <w:b/>
          <w:i/>
          <w:szCs w:val="20"/>
        </w:rPr>
        <w:t xml:space="preserve">, Papier Mettler Italia, C-86/22, EU:C:2023:1023, točki 48 in 51.</w:t>
      </w:r>
      <w:bookmarkEnd w:id="195"/>
    </w:p>
    <w:p w14:paraId="72FE2D2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184A21" w14:textId="5074D777">
      <w:pPr>
        <w:pStyle w:val="P68B1DB1-Normal17"/>
        <w:widowControl w:val="0"/>
        <w:autoSpaceDE w:val="0"/>
        <w:autoSpaceDN w:val="0"/>
        <w:spacing w:after="0" w:line="240" w:lineRule="auto"/>
        <w:jc w:val="both"/>
      </w:pPr>
      <w:r>
        <w:t xml:space="preserve">Sprejetje osnutka „tehničnega predpisa“ šest dni po uradnem obvestilu o njem je v nasprotju z direktivo.</w:t>
      </w:r>
    </w:p>
    <w:p w14:paraId="6AE096BF" w14:textId="77777777">
      <w:pPr>
        <w:widowControl w:val="0"/>
        <w:autoSpaceDE w:val="0"/>
        <w:autoSpaceDN w:val="0"/>
        <w:spacing w:after="0" w:line="240" w:lineRule="auto"/>
        <w:jc w:val="both"/>
        <w:rPr>
          <w:rFonts w:ascii="Times New Roman" w:hAnsi="Times New Roman" w:cs="Times New Roman" w:eastAsia="Times New Roman"/>
        </w:rPr>
      </w:pPr>
    </w:p>
    <w:p w14:paraId="49072627" w14:textId="0533C648">
      <w:pPr>
        <w:pStyle w:val="P68B1DB1-Normal17"/>
        <w:widowControl w:val="0"/>
        <w:autoSpaceDE w:val="0"/>
        <w:autoSpaceDN w:val="0"/>
        <w:spacing w:after="0" w:line="240" w:lineRule="auto"/>
        <w:jc w:val="both"/>
      </w:pPr>
      <w:r>
        <w:t xml:space="preserve">Klavzule, ki začetek veljavnosti zakonodaje pogojujejo z neodzivom Komisije na to zakonodajo („odločilne klavzule“), so v nasprotju z Direktivo, ker sprejetje take zakonodaje ne omogoča upoštevanja stališč drugih držav članic in krši načelo pravne varnosti. </w:t>
      </w:r>
    </w:p>
    <w:p w14:paraId="324F8208"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F3C3AE8" w14:textId="66B8593F">
      <w:pPr>
        <w:pStyle w:val="P68B1DB1-Normal15"/>
        <w:widowControl w:val="0"/>
        <w:autoSpaceDE w:val="0"/>
        <w:autoSpaceDN w:val="0"/>
        <w:spacing w:after="0" w:line="240" w:lineRule="auto"/>
        <w:ind w:left="567"/>
        <w:jc w:val="both"/>
        <w:outlineLvl w:val="1"/>
        <w:rPr>
          <w:iCs/>
        </w:rPr>
      </w:pPr>
      <w:bookmarkStart w:id="196" w:name="_Toc198043912"/>
      <w:r>
        <w:t>„</w:t>
      </w:r>
      <w:bookmarkStart w:id="197" w:name="point48"/>
      <w:r>
        <w:t>48</w:t>
      </w:r>
      <w:bookmarkEnd w:id="197"/>
      <w:r>
        <w:t xml:space="preserve">. Drugič, s sprejetjem odloka iz postopka v glavni stvari v šestih dneh od uradnega obvestila Komisiji na podlagi člena 8(1) te direktive naj bi bila kršena tudi obveznost iz člena 9(1) te direktive, v skladu s katero države članice odložijo sprejetje „osnutka tehničnega predpisa“ za tri mesece od datuma, ko Komisija prejme sporočilo iz člena 8(1) te direktive.“</w:t>
      </w:r>
      <w:bookmarkEnd w:id="196"/>
    </w:p>
    <w:p w14:paraId="34ACB37E" w14:textId="77777777">
      <w:pPr>
        <w:widowControl w:val="0"/>
        <w:autoSpaceDE w:val="0"/>
        <w:autoSpaceDN w:val="0"/>
        <w:spacing w:after="0" w:line="240" w:lineRule="auto"/>
        <w:ind w:left="567"/>
        <w:jc w:val="both"/>
        <w:outlineLvl w:val="1"/>
      </w:pPr>
    </w:p>
    <w:p w14:paraId="14BB6DC8" w14:textId="1355B8C7">
      <w:pPr>
        <w:pStyle w:val="P68B1DB1-Normal15"/>
        <w:widowControl w:val="0"/>
        <w:autoSpaceDE w:val="0"/>
        <w:autoSpaceDN w:val="0"/>
        <w:spacing w:after="0" w:line="240" w:lineRule="auto"/>
        <w:ind w:left="567"/>
        <w:jc w:val="both"/>
        <w:rPr>
          <w:iCs/>
        </w:rPr>
      </w:pPr>
      <w:r>
        <w:t>„</w:t>
      </w:r>
      <w:bookmarkStart w:id="198" w:name="point51"/>
      <w:r>
        <w:t>51</w:t>
      </w:r>
      <w:bookmarkEnd w:id="198"/>
      <w:r>
        <w:t xml:space="preserve">. Po drugi strani navedena vlada trdi, da je bil začetek veljavnosti uredbe iz postopka v glavni stvari na podlagi člena 6 te uredbe pogojen z „ugodnim izidom“ postopka uradnega obveščanja, ki se je začel 12. marca 2013 na podlagi člena 8(1) Direktive 98/34. Vendar ta postopek ni imel takega izida, ker Komisija ni izdala mnenja o tem odloku. To trditev je treba zavrniti, ker lahko, prvič, sprejetje in objava tega odloka sama po sebi vplivata na prosti pretok zadevnega blaga; drugič, z njimi naj ne bi bilo mogoče upoštevati stališč in podrobnih mnenj Kraljevine Nizozemske, Kraljevine Švedske in Združenega kraljestva Velika Britanija in Severna Irska; tretjič, kot je generalni pravobranilec navedel v točki 52 sklepnih predlogov, gre za zakonodajno tehniko, ki ni združljiva z načelom pravne varnosti.“</w:t>
      </w:r>
    </w:p>
    <w:p w14:paraId="4AC163BF" w14:textId="77777777">
      <w:pPr>
        <w:pStyle w:val="P68B1DB1-Normal16"/>
        <w:spacing w:after="0" w:line="240" w:lineRule="auto"/>
        <w:rPr>
          <w:i/>
          <w:iCs/>
        </w:rPr>
      </w:pPr>
      <w:r>
        <w:br w:type="page"/>
      </w:r>
    </w:p>
    <w:p w14:paraId="781C6309" w14:textId="325A6AD3">
      <w:pPr>
        <w:pStyle w:val="P68B1DB1-Heading24"/>
        <w:numPr>
          <w:ilvl w:val="0"/>
          <w:numId w:val="38"/>
        </w:numPr>
        <w:spacing w:before="0" w:after="0"/>
        <w:jc w:val="center"/>
        <w:rPr>
          <w:bCs/>
          <w:color w:val="auto"/>
        </w:rPr>
      </w:pPr>
      <w:bookmarkStart w:id="199" w:name="_Ref194485197"/>
      <w:bookmarkStart w:id="200" w:name="_Toc203035687"/>
      <w:r>
        <w:t xml:space="preserve">Pojasnitev učinka neuporabe</w:t>
      </w:r>
      <w:bookmarkEnd w:id="199"/>
      <w:bookmarkEnd w:id="200"/>
    </w:p>
    <w:p w14:paraId="606EC11D" w14:textId="756F529E">
      <w:pPr>
        <w:pStyle w:val="P68B1DB1-Normal15"/>
        <w:widowControl w:val="0"/>
        <w:autoSpaceDE w:val="0"/>
        <w:autoSpaceDN w:val="0"/>
        <w:spacing w:after="0" w:line="240" w:lineRule="auto"/>
        <w:ind w:left="567"/>
        <w:jc w:val="both"/>
        <w:rPr>
          <w:iCs/>
        </w:rPr>
      </w:pPr>
      <w:r>
        <w:t xml:space="preserve">          </w:t>
      </w:r>
    </w:p>
    <w:p w14:paraId="7D2667CD" w14:textId="02A04B70">
      <w:pPr>
        <w:pStyle w:val="P68B1DB1-Normal13"/>
        <w:widowControl w:val="0"/>
        <w:autoSpaceDE w:val="0"/>
        <w:autoSpaceDN w:val="0"/>
        <w:spacing w:after="0" w:line="240" w:lineRule="auto"/>
        <w:jc w:val="both"/>
        <w:outlineLvl w:val="1"/>
      </w:pPr>
      <w:hyperlink r:id="rId111" w:anchor="ctx1" w:history="1">
        <w:r>
          <w:rPr>
            <w:color w:val="0000FF"/>
            <w:u w:val="single"/>
          </w:rPr>
          <w:t xml:space="preserve">Sodba z dne 11. junija 2015</w:t>
        </w:r>
      </w:hyperlink>
      <w:r>
        <w:t xml:space="preserve">, Berlington Hungary in drugi, C-98/14, EU:C:2015:386, točki 108 in 109.</w:t>
      </w:r>
      <w:bookmarkEnd w:id="201"/>
    </w:p>
    <w:p w14:paraId="4569287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68A195" w14:textId="7B49416F">
      <w:pPr>
        <w:widowControl w:val="0"/>
        <w:tabs>
          <w:tab w:val="left" w:pos="416"/>
        </w:tabs>
        <w:autoSpaceDE w:val="0"/>
        <w:autoSpaceDN w:val="0"/>
        <w:spacing w:after="0" w:line="240" w:lineRule="auto"/>
        <w:jc w:val="both"/>
        <w:rPr>
          <w:rFonts w:ascii="Times New Roman" w:hAnsi="Times New Roman" w:cs="Times New Roman" w:eastAsia="Times New Roman"/>
          <w:szCs w:val="20"/>
        </w:rPr>
        <w:pStyle w:val="P68B1DB1-Normal14"/>
      </w:pPr>
      <w:r>
        <w:t xml:space="preserve">Namen obveznosti priglasitve in mirovanja ni podelitev pravic posameznikom. Zato kršitev, ki jo stori država članica, posameznikom na podlagi prava Unije ne daje pravice, da od te države članice zahtevajo odškodnino za nastalo škodo.</w:t>
      </w:r>
    </w:p>
    <w:p w14:paraId="3D1B5CA6" w14:textId="77777777">
      <w:pPr>
        <w:widowControl w:val="0"/>
        <w:tabs>
          <w:tab w:val="left" w:pos="416"/>
        </w:tabs>
        <w:autoSpaceDE w:val="0"/>
        <w:autoSpaceDN w:val="0"/>
        <w:spacing w:after="0" w:line="240" w:lineRule="auto"/>
        <w:jc w:val="both"/>
        <w:rPr>
          <w:rFonts w:ascii="Times New Roman" w:hAnsi="Times New Roman" w:cs="Times New Roman" w:eastAsia="Times New Roman"/>
          <w:szCs w:val="20"/>
        </w:rPr>
      </w:pPr>
    </w:p>
    <w:p w14:paraId="689BAE8B" w14:textId="2C62B4CE">
      <w:pPr>
        <w:pStyle w:val="P68B1DB1-Normal15"/>
        <w:widowControl w:val="0"/>
        <w:tabs>
          <w:tab w:val="left" w:pos="416"/>
        </w:tabs>
        <w:autoSpaceDE w:val="0"/>
        <w:autoSpaceDN w:val="0"/>
        <w:spacing w:after="0" w:line="240" w:lineRule="auto"/>
        <w:ind w:left="567"/>
        <w:jc w:val="both"/>
      </w:pPr>
      <w:r>
        <w:t xml:space="preserve">„108. V zvezi s tem iz sodne prakse izhaja, da čeprav je namen Direktive 98/34 zagotoviti prosti pretok blaga z organizacijo preventivnega nadzora, katerega polni učinek zahteva, da se v okviru spora med posamezniki ne uporabi nacionalni ukrep, sprejet v nasprotju s členoma 8 in 9 te direktive, ta direktiva nikakor ne opredeljuje vsebinskega področja uporabe pravnega pravila, na podlagi katerega mora nacionalno sodišče odločiti o sporu, o katerem odloča. Tako ta direktiva ne ustvarja niti pravic niti obveznosti za posameznike (sodba Unilever, C-443/98, EU:C:2000:496, točka 51).</w:t>
      </w:r>
    </w:p>
    <w:p w14:paraId="3783F5A5" w14:textId="77777777">
      <w:pPr>
        <w:pStyle w:val="P68B1DB1-Normal15"/>
        <w:widowControl w:val="0"/>
        <w:tabs>
          <w:tab w:val="left" w:pos="416"/>
        </w:tabs>
        <w:autoSpaceDE w:val="0"/>
        <w:autoSpaceDN w:val="0"/>
        <w:spacing w:after="0" w:line="240" w:lineRule="auto"/>
        <w:ind w:left="567"/>
        <w:jc w:val="both"/>
      </w:pPr>
    </w:p>
    <w:p w14:paraId="6B92FF8B" w14:textId="78BC6D0C">
      <w:pPr>
        <w:pStyle w:val="P68B1DB1-Normal15"/>
        <w:widowControl w:val="0"/>
        <w:tabs>
          <w:tab w:val="left" w:pos="416"/>
        </w:tabs>
        <w:autoSpaceDE w:val="0"/>
        <w:autoSpaceDN w:val="0"/>
        <w:spacing w:after="0" w:line="240" w:lineRule="auto"/>
        <w:ind w:left="567"/>
        <w:jc w:val="both"/>
        <w:rPr>
          <w:iCs/>
        </w:rPr>
      </w:pPr>
      <w:r>
        <w:t xml:space="preserve">109. V teh okoliščinah je treba ugotoviti, da prvi od pogojev, naštetih v točki 104, ni izpolnjen, tako da se posamezniki za ugotovitev odgovornosti zadevne države članice na podlagi prava Unije ne morejo sklicevati na kršitev členov 8 in 9 te direktive.“</w:t>
      </w:r>
    </w:p>
    <w:p w14:paraId="73CEA11C" w14:textId="62A8886A">
      <w:pPr>
        <w:pStyle w:val="P68B1DB1-Normal29"/>
        <w:spacing w:after="0" w:line="240" w:lineRule="auto"/>
        <w:rPr>
          <w:i/>
          <w:iCs/>
        </w:rPr>
      </w:pPr>
      <w:r>
        <w:br w:type="page"/>
      </w:r>
    </w:p>
    <w:p w14:paraId="1EE58DB8" w14:textId="063FB854">
      <w:pPr>
        <w:pStyle w:val="P68B1DB1-Heading24"/>
        <w:numPr>
          <w:ilvl w:val="0"/>
          <w:numId w:val="38"/>
        </w:numPr>
        <w:spacing w:before="0" w:after="0"/>
        <w:jc w:val="center"/>
        <w:rPr>
          <w:bCs/>
          <w:color w:val="auto"/>
        </w:rPr>
      </w:pPr>
      <w:bookmarkStart w:id="202" w:name="_Ref194943555"/>
      <w:bookmarkStart w:id="203" w:name="_Toc198043914"/>
      <w:bookmarkStart w:id="204" w:name="_Toc203035688"/>
      <w:r>
        <w:t xml:space="preserve">Postopek za ugotavljanje kršitev</w:t>
      </w:r>
      <w:bookmarkEnd w:id="202"/>
      <w:bookmarkEnd w:id="203"/>
      <w:bookmarkEnd w:id="204"/>
    </w:p>
    <w:p w14:paraId="7CCCC14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2B64A1E" w14:textId="69A5682B">
      <w:pPr>
        <w:pStyle w:val="P68B1DB1-Normal13"/>
        <w:widowControl w:val="0"/>
        <w:autoSpaceDE w:val="0"/>
        <w:autoSpaceDN w:val="0"/>
        <w:spacing w:after="0" w:line="240" w:lineRule="auto"/>
        <w:jc w:val="both"/>
        <w:outlineLvl w:val="1"/>
      </w:pPr>
      <w:hyperlink r:id="rId112" w:history="1">
        <w:r>
          <w:rPr>
            <w:color w:val="0000FF"/>
            <w:u w:val="single"/>
          </w:rPr>
          <w:t xml:space="preserve">Sodba z dne 4. junija 2009</w:t>
        </w:r>
      </w:hyperlink>
      <w:r>
        <w:t xml:space="preserve">, Komisija/Grčija, C-109/08, EU:C:2009:346, točke od 14 do 17.</w:t>
      </w:r>
      <w:bookmarkEnd w:id="205"/>
    </w:p>
    <w:p w14:paraId="764614BF" w14:textId="77777777">
      <w:pPr>
        <w:widowControl w:val="0"/>
        <w:autoSpaceDE w:val="0"/>
        <w:autoSpaceDN w:val="0"/>
        <w:spacing w:after="0" w:line="240" w:lineRule="auto"/>
        <w:jc w:val="both"/>
        <w:rPr>
          <w:rFonts w:ascii="Times New Roman" w:hAnsi="Times New Roman" w:cs="Times New Roman" w:eastAsia="Times New Roman"/>
          <w:szCs w:val="20"/>
        </w:rPr>
      </w:pPr>
    </w:p>
    <w:p w14:paraId="2AE57DC7" w14:textId="4EB830F5">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Sodbo Sodišča, s katero je ugotovljena neizpolnitev obveznosti obvestitve, je treba izvršiti takoj, da se zagotovi enotna uporaba prava Unije. Vprašanje obstoja take neizpolnitve obveznosti na podlagi člena 228 ES se presoja ob izteku roka, določenega v obrazloženem mnenju. Ker v obravnavanem primeru Grčija ni sprejela nobenega ukrepa pred iztekom predpisanega roka, ni izpolnila obveznosti iz člena 228(1) ES.</w:t>
      </w:r>
    </w:p>
    <w:p w14:paraId="09B61ED9" w14:textId="77777777">
      <w:pPr>
        <w:widowControl w:val="0"/>
        <w:autoSpaceDE w:val="0"/>
        <w:autoSpaceDN w:val="0"/>
        <w:spacing w:after="0" w:line="240" w:lineRule="auto"/>
        <w:jc w:val="both"/>
        <w:rPr>
          <w:rFonts w:ascii="Times New Roman" w:hAnsi="Times New Roman" w:cs="Times New Roman" w:eastAsia="Times New Roman"/>
          <w:szCs w:val="20"/>
        </w:rPr>
      </w:pPr>
    </w:p>
    <w:p w14:paraId="387679BD" w14:textId="0C49733C">
      <w:pPr>
        <w:spacing w:after="0" w:line="240" w:lineRule="auto"/>
        <w:ind w:left="567"/>
        <w:jc w:val="both"/>
        <w:rPr>
          <w:rFonts w:ascii="Times New Roman" w:hAnsi="Times New Roman" w:cs="Times New Roman"/>
          <w:i/>
          <w:iCs/>
          <w:sz w:val="20"/>
          <w:szCs w:val="20"/>
        </w:rPr>
        <w:pStyle w:val="P68B1DB1-Normal20"/>
      </w:pPr>
      <w:r>
        <w:t>„</w:t>
      </w:r>
      <w:bookmarkStart w:id="206" w:name="point14"/>
      <w:r>
        <w:t>14</w:t>
      </w:r>
      <w:bookmarkEnd w:id="206"/>
      <w:r>
        <w:t xml:space="preserve">. Čeprav člen 228 ES ne določa roka, v katerem je treba izvršiti sodbo Sodišča, s katero je ugotovljena neizpolnitev obveznosti, iz ustaljene sodne prakse izhaja, da pomen takojšnje in enotne uporabe prava Skupnosti pomeni, da se mora postopek izvršitve začeti takoj in končati čim prej (glej zlasti sodbo z dne 8. aprila 2008 v zadevi Komisija proti Franciji, C-121/07, ZOdl., str. I</w:t>
        <w:noBreakHyphen/>
        <w:t xml:space="preserve">0000, točka 21 in navedena</w:t>
        <w:noBreakHyphen/>
        <w:t xml:space="preserve">sodna praksa).</w:t>
      </w:r>
    </w:p>
    <w:p w14:paraId="79FE7B6A" w14:textId="77777777">
      <w:pPr>
        <w:spacing w:after="0" w:line="240" w:lineRule="auto"/>
        <w:ind w:left="567"/>
        <w:jc w:val="both"/>
        <w:rPr>
          <w:rFonts w:ascii="Times New Roman" w:hAnsi="Times New Roman" w:cs="Times New Roman"/>
          <w:i/>
          <w:iCs/>
          <w:sz w:val="20"/>
          <w:szCs w:val="20"/>
        </w:rPr>
      </w:pPr>
    </w:p>
    <w:p w14:paraId="34290D7F" w14:textId="2B2B8F25">
      <w:pPr>
        <w:spacing w:after="0" w:line="240" w:lineRule="auto"/>
        <w:ind w:left="567"/>
        <w:jc w:val="both"/>
        <w:rPr>
          <w:rFonts w:ascii="Times New Roman" w:hAnsi="Times New Roman" w:cs="Times New Roman"/>
          <w:i/>
          <w:iCs/>
          <w:sz w:val="20"/>
          <w:szCs w:val="20"/>
        </w:rPr>
        <w:pStyle w:val="P68B1DB1-Normal20"/>
      </w:pPr>
      <w:bookmarkStart w:id="207" w:name="point15"/>
      <w:r>
        <w:t>15</w:t>
      </w:r>
      <w:bookmarkEnd w:id="207"/>
      <w:r>
        <w:t xml:space="preserve">. Poleg tega je referenčni datum za presojo obstoja neizpolnitve obveznosti na podlagi člena 228 ES datum izteka roka, določenega v obrazloženem mnenju, izdanem na podlagi te določbe (glej zlasti sodbo z dne 18. julija 2007 v zadevi</w:t>
        <w:noBreakHyphen/>
        <w:t xml:space="preserve">Komisija proti Nemčiji, C-503/04, ZOdl., str. I</w:t>
        <w:noBreakHyphen/>
        <w:t xml:space="preserve">6153, točka 19 in navedena</w:t>
        <w:noBreakHyphen/>
        <w:t xml:space="preserve">sodna praksa).</w:t>
      </w:r>
    </w:p>
    <w:p w14:paraId="473BFE9F" w14:textId="77777777">
      <w:pPr>
        <w:spacing w:after="0" w:line="240" w:lineRule="auto"/>
        <w:ind w:left="567"/>
        <w:jc w:val="both"/>
        <w:rPr>
          <w:rFonts w:ascii="Times New Roman" w:hAnsi="Times New Roman" w:cs="Times New Roman"/>
          <w:i/>
          <w:iCs/>
          <w:sz w:val="20"/>
          <w:szCs w:val="20"/>
        </w:rPr>
      </w:pPr>
    </w:p>
    <w:p w14:paraId="25F77FB4" w14:textId="525C8130">
      <w:pPr>
        <w:spacing w:after="0" w:line="240" w:lineRule="auto"/>
        <w:ind w:left="567"/>
        <w:jc w:val="both"/>
        <w:rPr>
          <w:rFonts w:ascii="Times New Roman" w:hAnsi="Times New Roman" w:cs="Times New Roman"/>
          <w:i/>
          <w:iCs/>
          <w:sz w:val="20"/>
          <w:szCs w:val="20"/>
        </w:rPr>
        <w:pStyle w:val="P68B1DB1-Normal20"/>
      </w:pPr>
      <w:bookmarkStart w:id="208" w:name="point16"/>
      <w:r>
        <w:t>16</w:t>
      </w:r>
      <w:bookmarkEnd w:id="208"/>
      <w:r>
        <w:t xml:space="preserve">. V obravnavanem primeru je očitno, da Helenska republika do izteka dvomesečnega roka, določenega v obrazloženem mnenju z dne 29. junija 2007, ni sprejela nobenega od ukrepov, potrebnih za izvršitev zgoraj navedene sodbe</w:t>
        <w:noBreakHyphen/>
        <w:t xml:space="preserve">Komisija proti Grčiji, saj je bil osnutek prvega ukrepa za izvršitev te sodbe Komisiji sporočen šele 7. maja 2008.</w:t>
      </w:r>
    </w:p>
    <w:p w14:paraId="42C25375" w14:textId="77777777">
      <w:pPr>
        <w:spacing w:after="0" w:line="240" w:lineRule="auto"/>
        <w:ind w:left="567"/>
        <w:jc w:val="both"/>
        <w:rPr>
          <w:rFonts w:ascii="Times New Roman" w:hAnsi="Times New Roman" w:cs="Times New Roman"/>
          <w:i/>
          <w:iCs/>
          <w:sz w:val="20"/>
          <w:szCs w:val="20"/>
        </w:rPr>
      </w:pPr>
    </w:p>
    <w:p w14:paraId="4F21B78F" w14:textId="2C79CD2A">
      <w:pPr>
        <w:spacing w:after="0" w:line="240" w:lineRule="auto"/>
        <w:ind w:left="567"/>
        <w:jc w:val="both"/>
        <w:rPr>
          <w:rFonts w:ascii="Times New Roman" w:hAnsi="Times New Roman" w:cs="Times New Roman"/>
          <w:i/>
          <w:iCs/>
          <w:sz w:val="20"/>
          <w:szCs w:val="20"/>
        </w:rPr>
        <w:pStyle w:val="P68B1DB1-Normal20"/>
      </w:pPr>
      <w:bookmarkStart w:id="209" w:name="point17"/>
      <w:r>
        <w:t>17</w:t>
      </w:r>
      <w:bookmarkEnd w:id="209"/>
      <w:r>
        <w:t xml:space="preserve">. V teh okoliščinah je treba ugotoviti, kot priznava sama, da Helenska republika ni izpolnila obveznosti iz člena 228(1) ES.“</w:t>
      </w:r>
    </w:p>
    <w:sectPr>
      <w:headerReference w:type="even" r:id="rId113"/>
      <w:headerReference w:type="default" r:id="rId114"/>
      <w:footerReference w:type="even" r:id="rId115"/>
      <w:footerReference w:type="default" r:id="rId116"/>
      <w:headerReference w:type="first" r:id="rId117"/>
      <w:footerReference w:type="first" r:id="rId1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2E30" w14:textId="77777777">
      <w:pPr>
        <w:spacing w:after="0" w:line="240" w:lineRule="auto"/>
      </w:pPr>
      <w:r>
        <w:separator/>
      </w:r>
    </w:p>
  </w:endnote>
  <w:endnote w:type="continuationSeparator" w:id="0">
    <w:p w14:paraId="42F9C4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6B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162115"/>
      <w:docPartObj>
        <w:docPartGallery w:val="Page Numbers (Bottom of Page)"/>
        <w:docPartUnique/>
      </w:docPartObj>
    </w:sdtPr>
    <w:sdtEndPr>
      <w:rPr>
        <w:noProof/>
      </w:rPr>
    </w:sdtEndPr>
    <w:sdtContent>
      <w:p w14:paraId="169A474F" w14:textId="1212D73C">
        <w:pPr>
          <w:pStyle w:val="Footer"/>
          <w:jc w:val="center"/>
        </w:pPr>
        <w:r>
          <w:fldChar w:fldCharType="begin"/>
        </w:r>
        <w:r>
          <w:instrText xml:space="preserve"> PAGE   \* MERGEFORMAT </w:instrText>
        </w:r>
        <w:r>
          <w:fldChar w:fldCharType="separate"/>
        </w:r>
        <w:r>
          <w:t>2</w:t>
        </w:r>
        <w:r>
          <w:fldChar w:fldCharType="end"/>
        </w:r>
      </w:p>
    </w:sdtContent>
  </w:sdt>
  <w:p w14:paraId="3E6C88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91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A389" w14:textId="77777777">
      <w:pPr>
        <w:spacing w:after="0" w:line="240" w:lineRule="auto"/>
      </w:pPr>
      <w:r>
        <w:separator/>
      </w:r>
    </w:p>
  </w:footnote>
  <w:footnote w:type="continuationSeparator" w:id="0">
    <w:p w14:paraId="415CF120" w14:textId="77777777">
      <w:pPr>
        <w:spacing w:after="0" w:line="240" w:lineRule="auto"/>
      </w:pPr>
      <w:r>
        <w:continuationSeparator/>
      </w:r>
    </w:p>
  </w:footnote>
  <w:footnote w:id="1">
    <w:p w14:paraId="1FA0C861" w14:textId="399A73E6">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Primerjava Direktive 2015/1535 in Direktive 83/189/EGS temelji na prvotnih nespremenjenih aktih, medtem ko primerjava Direktive 98/34/ES temelji na različici, spremenjeni z Direktivo 98/48/ES z dne 20. julija 1998.</w:t>
      </w:r>
    </w:p>
  </w:footnote>
  <w:footnote w:id="2">
    <w:p w14:paraId="76340588" w14:textId="755D0E80">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Direktiva (EU) 2015/1535 Evropskega parlamenta in Sveta z dne 9. septembra 2015 o določitvi postopka za zbiranje informacij na področju tehničnih predpisov in pravil za storitve informacijske družbe (kodificirano besedilo)</w:t>
      </w:r>
    </w:p>
  </w:footnote>
  <w:footnote w:id="3">
    <w:p w14:paraId="44C51982" w14:textId="0D8DBE21">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Direktiva 98/34/ES Evropskega parlamenta in Sveta z dne 22. junija 1998 o določitvi postopka za zbiranje informacij na področju tehničnih standardov in tehničnih predpisov, kakor je bila spremenjena z Direktivo 98/48/ES z dne 20. julija 1998 (vključno s pravili o storitvah)</w:t>
      </w:r>
    </w:p>
  </w:footnote>
  <w:footnote w:id="4">
    <w:p w14:paraId="587067AB" w14:textId="06FBABC3">
      <w:pPr>
        <w:pStyle w:val="FootnoteText"/>
        <w:jc w:val="both"/>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Direktiva Sveta 83/189/EGS z dne 28. marca 1983 o določitvi postopka za zagotavljanje informacij na področju tehničnih standardov in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FD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9FF6" w14:textId="236766A6">
    <w:pPr>
      <w:pStyle w:val="P68B1DB1-Title1"/>
      <w:spacing w:before="0"/>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B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25A"/>
    <w:multiLevelType w:val="hybridMultilevel"/>
    <w:tmpl w:val="010ED82C"/>
    <w:lvl w:ilvl="0" w:tplc="F5D80FDE">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AF1625A"/>
    <w:multiLevelType w:val="hybridMultilevel"/>
    <w:tmpl w:val="A2B2F5CC"/>
    <w:lvl w:ilvl="0" w:tplc="20CA2DB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DC43F72"/>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9310EC"/>
    <w:multiLevelType w:val="hybridMultilevel"/>
    <w:tmpl w:val="0C2EB568"/>
    <w:lvl w:ilvl="0" w:tplc="7E12F6AE">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67F49A9"/>
    <w:multiLevelType w:val="hybridMultilevel"/>
    <w:tmpl w:val="5B0068A6"/>
    <w:lvl w:ilvl="0" w:tplc="3A24D51C">
      <w:start w:val="1"/>
      <w:numFmt w:val="decimal"/>
      <w:lvlText w:val="%1)"/>
      <w:lvlJc w:val="left"/>
      <w:pPr>
        <w:ind w:left="1020" w:hanging="360"/>
      </w:pPr>
    </w:lvl>
    <w:lvl w:ilvl="1" w:tplc="125A5C02">
      <w:start w:val="1"/>
      <w:numFmt w:val="decimal"/>
      <w:lvlText w:val="%2)"/>
      <w:lvlJc w:val="left"/>
      <w:pPr>
        <w:ind w:left="1020" w:hanging="360"/>
      </w:pPr>
    </w:lvl>
    <w:lvl w:ilvl="2" w:tplc="1AFA6D0C">
      <w:start w:val="1"/>
      <w:numFmt w:val="decimal"/>
      <w:lvlText w:val="%3)"/>
      <w:lvlJc w:val="left"/>
      <w:pPr>
        <w:ind w:left="1020" w:hanging="360"/>
      </w:pPr>
    </w:lvl>
    <w:lvl w:ilvl="3" w:tplc="CBDAF276">
      <w:start w:val="1"/>
      <w:numFmt w:val="decimal"/>
      <w:lvlText w:val="%4)"/>
      <w:lvlJc w:val="left"/>
      <w:pPr>
        <w:ind w:left="1020" w:hanging="360"/>
      </w:pPr>
    </w:lvl>
    <w:lvl w:ilvl="4" w:tplc="2166B310">
      <w:start w:val="1"/>
      <w:numFmt w:val="decimal"/>
      <w:lvlText w:val="%5)"/>
      <w:lvlJc w:val="left"/>
      <w:pPr>
        <w:ind w:left="1020" w:hanging="360"/>
      </w:pPr>
    </w:lvl>
    <w:lvl w:ilvl="5" w:tplc="04D0DE84">
      <w:start w:val="1"/>
      <w:numFmt w:val="decimal"/>
      <w:lvlText w:val="%6)"/>
      <w:lvlJc w:val="left"/>
      <w:pPr>
        <w:ind w:left="1020" w:hanging="360"/>
      </w:pPr>
    </w:lvl>
    <w:lvl w:ilvl="6" w:tplc="1E228612">
      <w:start w:val="1"/>
      <w:numFmt w:val="decimal"/>
      <w:lvlText w:val="%7)"/>
      <w:lvlJc w:val="left"/>
      <w:pPr>
        <w:ind w:left="1020" w:hanging="360"/>
      </w:pPr>
    </w:lvl>
    <w:lvl w:ilvl="7" w:tplc="D7021F9C">
      <w:start w:val="1"/>
      <w:numFmt w:val="decimal"/>
      <w:lvlText w:val="%8)"/>
      <w:lvlJc w:val="left"/>
      <w:pPr>
        <w:ind w:left="1020" w:hanging="360"/>
      </w:pPr>
    </w:lvl>
    <w:lvl w:ilvl="8" w:tplc="1A70A482">
      <w:start w:val="1"/>
      <w:numFmt w:val="decimal"/>
      <w:lvlText w:val="%9)"/>
      <w:lvlJc w:val="left"/>
      <w:pPr>
        <w:ind w:left="1020" w:hanging="360"/>
      </w:pPr>
    </w:lvl>
  </w:abstractNum>
  <w:abstractNum w:abstractNumId="5" w15:restartNumberingAfterBreak="0">
    <w:nsid w:val="16C372E0"/>
    <w:multiLevelType w:val="hybridMultilevel"/>
    <w:tmpl w:val="F2F082AA"/>
    <w:lvl w:ilvl="0" w:tplc="0FDE36C8">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175D724D"/>
    <w:multiLevelType w:val="hybridMultilevel"/>
    <w:tmpl w:val="FE303218"/>
    <w:lvl w:ilvl="0" w:tplc="B44444F0">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 w15:restartNumberingAfterBreak="0">
    <w:nsid w:val="17A252B1"/>
    <w:multiLevelType w:val="hybridMultilevel"/>
    <w:tmpl w:val="936870D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021F90"/>
    <w:multiLevelType w:val="hybridMultilevel"/>
    <w:tmpl w:val="BAFE4132"/>
    <w:lvl w:ilvl="0" w:tplc="7F08DD2E">
      <w:start w:val="4"/>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F426828"/>
    <w:multiLevelType w:val="hybridMultilevel"/>
    <w:tmpl w:val="EF5AD44C"/>
    <w:lvl w:ilvl="0" w:tplc="33F6B108">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 w15:restartNumberingAfterBreak="0">
    <w:nsid w:val="21D2371B"/>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28E67F7"/>
    <w:multiLevelType w:val="hybridMultilevel"/>
    <w:tmpl w:val="825EF55E"/>
    <w:lvl w:ilvl="0" w:tplc="E1C26E36">
      <w:start w:val="2"/>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682F2F"/>
    <w:multiLevelType w:val="hybridMultilevel"/>
    <w:tmpl w:val="6242F30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F42A0D"/>
    <w:multiLevelType w:val="hybridMultilevel"/>
    <w:tmpl w:val="AEB26076"/>
    <w:lvl w:ilvl="0" w:tplc="5A141406">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2D025A04"/>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DC75B28"/>
    <w:multiLevelType w:val="hybridMultilevel"/>
    <w:tmpl w:val="59601DDA"/>
    <w:lvl w:ilvl="0" w:tplc="1A00D246">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2F6B6AB7"/>
    <w:multiLevelType w:val="hybridMultilevel"/>
    <w:tmpl w:val="D0AC01D8"/>
    <w:lvl w:ilvl="0" w:tplc="91B8A490">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5303A9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7296099"/>
    <w:multiLevelType w:val="hybridMultilevel"/>
    <w:tmpl w:val="2A705CA2"/>
    <w:lvl w:ilvl="0" w:tplc="7F08DD2E">
      <w:start w:val="1"/>
      <w:numFmt w:val="lowerLetter"/>
      <w:lvlText w:val="%1."/>
      <w:lvlJc w:val="left"/>
      <w:pPr>
        <w:ind w:left="1440"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3415B6"/>
    <w:multiLevelType w:val="hybridMultilevel"/>
    <w:tmpl w:val="B554F348"/>
    <w:lvl w:ilvl="0" w:tplc="15F4A3B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0" w15:restartNumberingAfterBreak="0">
    <w:nsid w:val="37B979D4"/>
    <w:multiLevelType w:val="hybridMultilevel"/>
    <w:tmpl w:val="2B5A74C2"/>
    <w:lvl w:ilvl="0" w:tplc="7D78FE44">
      <w:start w:val="5"/>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41841F32"/>
    <w:multiLevelType w:val="hybridMultilevel"/>
    <w:tmpl w:val="43346CB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390360F"/>
    <w:multiLevelType w:val="hybridMultilevel"/>
    <w:tmpl w:val="4A62FD58"/>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51601A36"/>
    <w:multiLevelType w:val="hybridMultilevel"/>
    <w:tmpl w:val="3022F154"/>
    <w:lvl w:ilvl="0" w:tplc="CF547ED6">
      <w:start w:val="1"/>
      <w:numFmt w:val="upperRoman"/>
      <w:lvlText w:val="%1."/>
      <w:lvlJc w:val="left"/>
      <w:pPr>
        <w:ind w:left="1080" w:hanging="720"/>
      </w:pPr>
      <w:rPr>
        <w:rFonts w:hint="default"/>
        <w:sz w:val="40"/>
        <w:szCs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D04C1A"/>
    <w:multiLevelType w:val="hybridMultilevel"/>
    <w:tmpl w:val="D334EE56"/>
    <w:lvl w:ilvl="0" w:tplc="A4560BD8">
      <w:start w:val="1"/>
      <w:numFmt w:val="upperRoman"/>
      <w:lvlText w:val="%1."/>
      <w:lvlJc w:val="left"/>
      <w:pPr>
        <w:ind w:left="2715" w:hanging="720"/>
      </w:pPr>
      <w:rPr>
        <w:rFonts w:hint="default"/>
      </w:rPr>
    </w:lvl>
    <w:lvl w:ilvl="1" w:tplc="18090019" w:tentative="1">
      <w:start w:val="1"/>
      <w:numFmt w:val="lowerLetter"/>
      <w:lvlText w:val="%2."/>
      <w:lvlJc w:val="left"/>
      <w:pPr>
        <w:ind w:left="3075" w:hanging="360"/>
      </w:pPr>
    </w:lvl>
    <w:lvl w:ilvl="2" w:tplc="1809001B" w:tentative="1">
      <w:start w:val="1"/>
      <w:numFmt w:val="lowerRoman"/>
      <w:lvlText w:val="%3."/>
      <w:lvlJc w:val="right"/>
      <w:pPr>
        <w:ind w:left="3795" w:hanging="180"/>
      </w:pPr>
    </w:lvl>
    <w:lvl w:ilvl="3" w:tplc="1809000F" w:tentative="1">
      <w:start w:val="1"/>
      <w:numFmt w:val="decimal"/>
      <w:lvlText w:val="%4."/>
      <w:lvlJc w:val="left"/>
      <w:pPr>
        <w:ind w:left="4515" w:hanging="360"/>
      </w:pPr>
    </w:lvl>
    <w:lvl w:ilvl="4" w:tplc="18090019" w:tentative="1">
      <w:start w:val="1"/>
      <w:numFmt w:val="lowerLetter"/>
      <w:lvlText w:val="%5."/>
      <w:lvlJc w:val="left"/>
      <w:pPr>
        <w:ind w:left="5235" w:hanging="360"/>
      </w:pPr>
    </w:lvl>
    <w:lvl w:ilvl="5" w:tplc="1809001B" w:tentative="1">
      <w:start w:val="1"/>
      <w:numFmt w:val="lowerRoman"/>
      <w:lvlText w:val="%6."/>
      <w:lvlJc w:val="right"/>
      <w:pPr>
        <w:ind w:left="5955" w:hanging="180"/>
      </w:pPr>
    </w:lvl>
    <w:lvl w:ilvl="6" w:tplc="1809000F" w:tentative="1">
      <w:start w:val="1"/>
      <w:numFmt w:val="decimal"/>
      <w:lvlText w:val="%7."/>
      <w:lvlJc w:val="left"/>
      <w:pPr>
        <w:ind w:left="6675" w:hanging="360"/>
      </w:pPr>
    </w:lvl>
    <w:lvl w:ilvl="7" w:tplc="18090019" w:tentative="1">
      <w:start w:val="1"/>
      <w:numFmt w:val="lowerLetter"/>
      <w:lvlText w:val="%8."/>
      <w:lvlJc w:val="left"/>
      <w:pPr>
        <w:ind w:left="7395" w:hanging="360"/>
      </w:pPr>
    </w:lvl>
    <w:lvl w:ilvl="8" w:tplc="1809001B" w:tentative="1">
      <w:start w:val="1"/>
      <w:numFmt w:val="lowerRoman"/>
      <w:lvlText w:val="%9."/>
      <w:lvlJc w:val="right"/>
      <w:pPr>
        <w:ind w:left="8115" w:hanging="180"/>
      </w:pPr>
    </w:lvl>
  </w:abstractNum>
  <w:abstractNum w:abstractNumId="25" w15:restartNumberingAfterBreak="0">
    <w:nsid w:val="562A56D8"/>
    <w:multiLevelType w:val="hybridMultilevel"/>
    <w:tmpl w:val="B1C08C96"/>
    <w:lvl w:ilvl="0" w:tplc="8DE862CC">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6" w15:restartNumberingAfterBreak="0">
    <w:nsid w:val="58835420"/>
    <w:multiLevelType w:val="hybridMultilevel"/>
    <w:tmpl w:val="3B7A2A46"/>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5A900DE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68261C9"/>
    <w:multiLevelType w:val="hybridMultilevel"/>
    <w:tmpl w:val="FC82B53A"/>
    <w:lvl w:ilvl="0" w:tplc="35C2C75E">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6B796262"/>
    <w:multiLevelType w:val="hybridMultilevel"/>
    <w:tmpl w:val="80723CDA"/>
    <w:lvl w:ilvl="0" w:tplc="295CF590">
      <w:start w:val="1"/>
      <w:numFmt w:val="upperRoman"/>
      <w:lvlText w:val="%1)"/>
      <w:lvlJc w:val="left"/>
      <w:pPr>
        <w:ind w:left="1080" w:hanging="720"/>
      </w:pPr>
      <w:rPr>
        <w:rFonts w:hint="default"/>
      </w:rPr>
    </w:lvl>
    <w:lvl w:ilvl="1" w:tplc="D658AE2E">
      <w:start w:val="1"/>
      <w:numFmt w:val="lowerLetter"/>
      <w:lvlText w:val="%2."/>
      <w:lvlJc w:val="left"/>
      <w:pPr>
        <w:ind w:left="1440" w:hanging="360"/>
      </w:pPr>
      <w:rPr>
        <w:b w:val="0"/>
        <w:bCs w:val="0"/>
        <w:i w:val="0"/>
        <w:iCs w:val="0"/>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4B2126"/>
    <w:multiLevelType w:val="hybridMultilevel"/>
    <w:tmpl w:val="41F6FC34"/>
    <w:lvl w:ilvl="0" w:tplc="20302D40">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6D6D3A31"/>
    <w:multiLevelType w:val="hybridMultilevel"/>
    <w:tmpl w:val="34CCDBBE"/>
    <w:lvl w:ilvl="0" w:tplc="FFFFFFFF">
      <w:start w:val="1"/>
      <w:numFmt w:val="lowerLetter"/>
      <w:lvlText w:val="%1."/>
      <w:lvlJc w:val="left"/>
      <w:pPr>
        <w:ind w:left="21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DA4040B"/>
    <w:multiLevelType w:val="hybridMultilevel"/>
    <w:tmpl w:val="9DBCA204"/>
    <w:lvl w:ilvl="0" w:tplc="075CAAC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6F6B2BDA"/>
    <w:multiLevelType w:val="hybridMultilevel"/>
    <w:tmpl w:val="1A6CE3C2"/>
    <w:lvl w:ilvl="0" w:tplc="0B227E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4" w15:restartNumberingAfterBreak="0">
    <w:nsid w:val="6FD45B5F"/>
    <w:multiLevelType w:val="hybridMultilevel"/>
    <w:tmpl w:val="BA76F484"/>
    <w:lvl w:ilvl="0" w:tplc="5B6842F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5" w15:restartNumberingAfterBreak="0">
    <w:nsid w:val="72EA3F19"/>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7C64A56"/>
    <w:multiLevelType w:val="hybridMultilevel"/>
    <w:tmpl w:val="34DAEC8C"/>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7DA32368"/>
    <w:multiLevelType w:val="hybridMultilevel"/>
    <w:tmpl w:val="17CEBB6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89067590">
    <w:abstractNumId w:val="29"/>
  </w:num>
  <w:num w:numId="2" w16cid:durableId="1149712612">
    <w:abstractNumId w:val="22"/>
  </w:num>
  <w:num w:numId="3" w16cid:durableId="522597413">
    <w:abstractNumId w:val="18"/>
  </w:num>
  <w:num w:numId="4" w16cid:durableId="131093797">
    <w:abstractNumId w:val="3"/>
  </w:num>
  <w:num w:numId="5" w16cid:durableId="930895856">
    <w:abstractNumId w:val="8"/>
  </w:num>
  <w:num w:numId="6" w16cid:durableId="859314359">
    <w:abstractNumId w:val="26"/>
  </w:num>
  <w:num w:numId="7" w16cid:durableId="222370173">
    <w:abstractNumId w:val="33"/>
  </w:num>
  <w:num w:numId="8" w16cid:durableId="2057385159">
    <w:abstractNumId w:val="36"/>
  </w:num>
  <w:num w:numId="9" w16cid:durableId="1794322050">
    <w:abstractNumId w:val="0"/>
  </w:num>
  <w:num w:numId="10" w16cid:durableId="3677297">
    <w:abstractNumId w:val="17"/>
  </w:num>
  <w:num w:numId="11" w16cid:durableId="1485776725">
    <w:abstractNumId w:val="10"/>
  </w:num>
  <w:num w:numId="12" w16cid:durableId="882793964">
    <w:abstractNumId w:val="2"/>
  </w:num>
  <w:num w:numId="13" w16cid:durableId="1924220346">
    <w:abstractNumId w:val="35"/>
  </w:num>
  <w:num w:numId="14" w16cid:durableId="407272038">
    <w:abstractNumId w:val="14"/>
  </w:num>
  <w:num w:numId="15" w16cid:durableId="402528430">
    <w:abstractNumId w:val="27"/>
  </w:num>
  <w:num w:numId="16" w16cid:durableId="2008940943">
    <w:abstractNumId w:val="31"/>
  </w:num>
  <w:num w:numId="17" w16cid:durableId="29764232">
    <w:abstractNumId w:val="24"/>
  </w:num>
  <w:num w:numId="18" w16cid:durableId="1598323702">
    <w:abstractNumId w:val="11"/>
  </w:num>
  <w:num w:numId="19" w16cid:durableId="894586789">
    <w:abstractNumId w:val="20"/>
  </w:num>
  <w:num w:numId="20" w16cid:durableId="935164786">
    <w:abstractNumId w:val="19"/>
  </w:num>
  <w:num w:numId="21" w16cid:durableId="1832065826">
    <w:abstractNumId w:val="9"/>
  </w:num>
  <w:num w:numId="22" w16cid:durableId="576403216">
    <w:abstractNumId w:val="28"/>
  </w:num>
  <w:num w:numId="23" w16cid:durableId="539055433">
    <w:abstractNumId w:val="5"/>
  </w:num>
  <w:num w:numId="24" w16cid:durableId="958028667">
    <w:abstractNumId w:val="6"/>
  </w:num>
  <w:num w:numId="25" w16cid:durableId="1079519155">
    <w:abstractNumId w:val="13"/>
  </w:num>
  <w:num w:numId="26" w16cid:durableId="1120418109">
    <w:abstractNumId w:val="30"/>
  </w:num>
  <w:num w:numId="27" w16cid:durableId="153690731">
    <w:abstractNumId w:val="15"/>
  </w:num>
  <w:num w:numId="28" w16cid:durableId="1952590443">
    <w:abstractNumId w:val="32"/>
  </w:num>
  <w:num w:numId="29" w16cid:durableId="893469427">
    <w:abstractNumId w:val="34"/>
  </w:num>
  <w:num w:numId="30" w16cid:durableId="596908438">
    <w:abstractNumId w:val="16"/>
  </w:num>
  <w:num w:numId="31" w16cid:durableId="995496117">
    <w:abstractNumId w:val="1"/>
  </w:num>
  <w:num w:numId="32" w16cid:durableId="1634409818">
    <w:abstractNumId w:val="4"/>
  </w:num>
  <w:num w:numId="33" w16cid:durableId="750465225">
    <w:abstractNumId w:val="25"/>
  </w:num>
  <w:num w:numId="34" w16cid:durableId="1072579241">
    <w:abstractNumId w:val="23"/>
  </w:num>
  <w:num w:numId="35" w16cid:durableId="1444232820">
    <w:abstractNumId w:val="21"/>
  </w:num>
  <w:num w:numId="36" w16cid:durableId="1960531220">
    <w:abstractNumId w:val="12"/>
  </w:num>
  <w:num w:numId="37" w16cid:durableId="2066171962">
    <w:abstractNumId w:val="37"/>
  </w:num>
  <w:num w:numId="38" w16cid:durableId="165093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36EB0"/>
    <w:rsid w:val="00040F59"/>
    <w:rsid w:val="00041401"/>
    <w:rsid w:val="000421A2"/>
    <w:rsid w:val="0007551C"/>
    <w:rsid w:val="00093525"/>
    <w:rsid w:val="000A18C4"/>
    <w:rsid w:val="000A1DAE"/>
    <w:rsid w:val="000B320E"/>
    <w:rsid w:val="000C20A2"/>
    <w:rsid w:val="000C2978"/>
    <w:rsid w:val="000D1631"/>
    <w:rsid w:val="000D631B"/>
    <w:rsid w:val="000F5423"/>
    <w:rsid w:val="000F7992"/>
    <w:rsid w:val="000F7DA5"/>
    <w:rsid w:val="00106EDB"/>
    <w:rsid w:val="00112FD1"/>
    <w:rsid w:val="001305B4"/>
    <w:rsid w:val="0013272D"/>
    <w:rsid w:val="00137427"/>
    <w:rsid w:val="00137B20"/>
    <w:rsid w:val="001557BC"/>
    <w:rsid w:val="00182A36"/>
    <w:rsid w:val="00186890"/>
    <w:rsid w:val="0018765D"/>
    <w:rsid w:val="001910C8"/>
    <w:rsid w:val="001913A5"/>
    <w:rsid w:val="00192492"/>
    <w:rsid w:val="00193FFC"/>
    <w:rsid w:val="001C2C44"/>
    <w:rsid w:val="001D4E5E"/>
    <w:rsid w:val="001E525A"/>
    <w:rsid w:val="001F5CEA"/>
    <w:rsid w:val="00227D5B"/>
    <w:rsid w:val="0023316E"/>
    <w:rsid w:val="0023465A"/>
    <w:rsid w:val="00241E4F"/>
    <w:rsid w:val="00245EEF"/>
    <w:rsid w:val="002547A4"/>
    <w:rsid w:val="00260293"/>
    <w:rsid w:val="00265197"/>
    <w:rsid w:val="00272AFD"/>
    <w:rsid w:val="00274ED4"/>
    <w:rsid w:val="002829DC"/>
    <w:rsid w:val="00285458"/>
    <w:rsid w:val="0029429C"/>
    <w:rsid w:val="002977CE"/>
    <w:rsid w:val="002B0265"/>
    <w:rsid w:val="002B042F"/>
    <w:rsid w:val="002C2477"/>
    <w:rsid w:val="002C37D7"/>
    <w:rsid w:val="002C7310"/>
    <w:rsid w:val="002D416D"/>
    <w:rsid w:val="002F31E8"/>
    <w:rsid w:val="002F562D"/>
    <w:rsid w:val="00307893"/>
    <w:rsid w:val="003116E4"/>
    <w:rsid w:val="00311818"/>
    <w:rsid w:val="0031192C"/>
    <w:rsid w:val="003307D4"/>
    <w:rsid w:val="00334A0D"/>
    <w:rsid w:val="00341F32"/>
    <w:rsid w:val="003421A4"/>
    <w:rsid w:val="00345FC9"/>
    <w:rsid w:val="00355497"/>
    <w:rsid w:val="00363DCF"/>
    <w:rsid w:val="00390589"/>
    <w:rsid w:val="003B39B7"/>
    <w:rsid w:val="003E20F0"/>
    <w:rsid w:val="003E2812"/>
    <w:rsid w:val="003E787C"/>
    <w:rsid w:val="003E78A4"/>
    <w:rsid w:val="00411B0D"/>
    <w:rsid w:val="00455195"/>
    <w:rsid w:val="00470FB3"/>
    <w:rsid w:val="00477CB9"/>
    <w:rsid w:val="0048519F"/>
    <w:rsid w:val="004A0A95"/>
    <w:rsid w:val="004A1BC1"/>
    <w:rsid w:val="004A497A"/>
    <w:rsid w:val="004D43FB"/>
    <w:rsid w:val="004E0CCF"/>
    <w:rsid w:val="004E15FB"/>
    <w:rsid w:val="004F52D0"/>
    <w:rsid w:val="004F549F"/>
    <w:rsid w:val="00503A50"/>
    <w:rsid w:val="0051744C"/>
    <w:rsid w:val="0053273A"/>
    <w:rsid w:val="00534A40"/>
    <w:rsid w:val="0054357E"/>
    <w:rsid w:val="00545171"/>
    <w:rsid w:val="00551C5D"/>
    <w:rsid w:val="005938BC"/>
    <w:rsid w:val="005A15B3"/>
    <w:rsid w:val="005A7E2B"/>
    <w:rsid w:val="005B5418"/>
    <w:rsid w:val="005B6867"/>
    <w:rsid w:val="005C0F66"/>
    <w:rsid w:val="005C12E8"/>
    <w:rsid w:val="005F057E"/>
    <w:rsid w:val="005F1C4E"/>
    <w:rsid w:val="006014C8"/>
    <w:rsid w:val="006100D5"/>
    <w:rsid w:val="006141C3"/>
    <w:rsid w:val="006178BF"/>
    <w:rsid w:val="00632AD7"/>
    <w:rsid w:val="0063307C"/>
    <w:rsid w:val="00642218"/>
    <w:rsid w:val="00644D71"/>
    <w:rsid w:val="00645AC3"/>
    <w:rsid w:val="0065142E"/>
    <w:rsid w:val="00655279"/>
    <w:rsid w:val="00655B51"/>
    <w:rsid w:val="00657D92"/>
    <w:rsid w:val="00661EB7"/>
    <w:rsid w:val="006644E8"/>
    <w:rsid w:val="00664793"/>
    <w:rsid w:val="00667654"/>
    <w:rsid w:val="0067271E"/>
    <w:rsid w:val="00690AF6"/>
    <w:rsid w:val="00691D55"/>
    <w:rsid w:val="00693ADF"/>
    <w:rsid w:val="006A0998"/>
    <w:rsid w:val="006B09DD"/>
    <w:rsid w:val="006B220F"/>
    <w:rsid w:val="006B6267"/>
    <w:rsid w:val="006C7A98"/>
    <w:rsid w:val="006D242E"/>
    <w:rsid w:val="006E1007"/>
    <w:rsid w:val="006E369B"/>
    <w:rsid w:val="006E6449"/>
    <w:rsid w:val="006F0DE7"/>
    <w:rsid w:val="006F1D25"/>
    <w:rsid w:val="006F4BEB"/>
    <w:rsid w:val="00701DE2"/>
    <w:rsid w:val="00712783"/>
    <w:rsid w:val="007140D1"/>
    <w:rsid w:val="007158E5"/>
    <w:rsid w:val="00724C8A"/>
    <w:rsid w:val="00724EFA"/>
    <w:rsid w:val="00737915"/>
    <w:rsid w:val="00751FE6"/>
    <w:rsid w:val="00756332"/>
    <w:rsid w:val="007575A4"/>
    <w:rsid w:val="0076355C"/>
    <w:rsid w:val="00767671"/>
    <w:rsid w:val="0077396A"/>
    <w:rsid w:val="007851D0"/>
    <w:rsid w:val="007925D9"/>
    <w:rsid w:val="007C2EE0"/>
    <w:rsid w:val="007C57A2"/>
    <w:rsid w:val="007D1474"/>
    <w:rsid w:val="007D3DE5"/>
    <w:rsid w:val="007E199A"/>
    <w:rsid w:val="007E2D57"/>
    <w:rsid w:val="007E3AA5"/>
    <w:rsid w:val="007E6C4C"/>
    <w:rsid w:val="007F205B"/>
    <w:rsid w:val="007F7D69"/>
    <w:rsid w:val="008057ED"/>
    <w:rsid w:val="008115AB"/>
    <w:rsid w:val="008224AE"/>
    <w:rsid w:val="00824EA7"/>
    <w:rsid w:val="00831726"/>
    <w:rsid w:val="00831F89"/>
    <w:rsid w:val="00842A96"/>
    <w:rsid w:val="008635C4"/>
    <w:rsid w:val="00884F4A"/>
    <w:rsid w:val="008B31BD"/>
    <w:rsid w:val="008B7C81"/>
    <w:rsid w:val="008C36F6"/>
    <w:rsid w:val="008C523D"/>
    <w:rsid w:val="008C7BCF"/>
    <w:rsid w:val="008E22D9"/>
    <w:rsid w:val="008E7EAB"/>
    <w:rsid w:val="008F17FD"/>
    <w:rsid w:val="008F3B3C"/>
    <w:rsid w:val="009167EE"/>
    <w:rsid w:val="00916E26"/>
    <w:rsid w:val="009270FD"/>
    <w:rsid w:val="00944592"/>
    <w:rsid w:val="00961323"/>
    <w:rsid w:val="00973E73"/>
    <w:rsid w:val="0098183C"/>
    <w:rsid w:val="0098326E"/>
    <w:rsid w:val="009963AC"/>
    <w:rsid w:val="009C60BA"/>
    <w:rsid w:val="009D04F7"/>
    <w:rsid w:val="009D0547"/>
    <w:rsid w:val="009D515C"/>
    <w:rsid w:val="009F199A"/>
    <w:rsid w:val="00A079BE"/>
    <w:rsid w:val="00A23485"/>
    <w:rsid w:val="00A23B5B"/>
    <w:rsid w:val="00A32846"/>
    <w:rsid w:val="00A36893"/>
    <w:rsid w:val="00A429BC"/>
    <w:rsid w:val="00A461D6"/>
    <w:rsid w:val="00A655E9"/>
    <w:rsid w:val="00A73F71"/>
    <w:rsid w:val="00A909E5"/>
    <w:rsid w:val="00A920C3"/>
    <w:rsid w:val="00A93C86"/>
    <w:rsid w:val="00AA2AB3"/>
    <w:rsid w:val="00AA4F20"/>
    <w:rsid w:val="00AA5C41"/>
    <w:rsid w:val="00AC368B"/>
    <w:rsid w:val="00AC4926"/>
    <w:rsid w:val="00AD230C"/>
    <w:rsid w:val="00AD28AA"/>
    <w:rsid w:val="00AF1412"/>
    <w:rsid w:val="00AF2C96"/>
    <w:rsid w:val="00AF5A1B"/>
    <w:rsid w:val="00B143D4"/>
    <w:rsid w:val="00B176DB"/>
    <w:rsid w:val="00B200E5"/>
    <w:rsid w:val="00B313DA"/>
    <w:rsid w:val="00B4195B"/>
    <w:rsid w:val="00B41B63"/>
    <w:rsid w:val="00B52094"/>
    <w:rsid w:val="00B60C64"/>
    <w:rsid w:val="00B63F8E"/>
    <w:rsid w:val="00B679CF"/>
    <w:rsid w:val="00B95631"/>
    <w:rsid w:val="00BA6A9C"/>
    <w:rsid w:val="00BB4944"/>
    <w:rsid w:val="00BC697C"/>
    <w:rsid w:val="00BD0D44"/>
    <w:rsid w:val="00BE2C14"/>
    <w:rsid w:val="00BE3AAE"/>
    <w:rsid w:val="00BE4185"/>
    <w:rsid w:val="00C053A0"/>
    <w:rsid w:val="00C05416"/>
    <w:rsid w:val="00C14379"/>
    <w:rsid w:val="00C26DB7"/>
    <w:rsid w:val="00C40932"/>
    <w:rsid w:val="00C50C46"/>
    <w:rsid w:val="00C52D02"/>
    <w:rsid w:val="00C53371"/>
    <w:rsid w:val="00C60A10"/>
    <w:rsid w:val="00C64A0F"/>
    <w:rsid w:val="00C674A9"/>
    <w:rsid w:val="00C71512"/>
    <w:rsid w:val="00C73ECB"/>
    <w:rsid w:val="00CA0C57"/>
    <w:rsid w:val="00CA0F6D"/>
    <w:rsid w:val="00CC16E0"/>
    <w:rsid w:val="00CD328F"/>
    <w:rsid w:val="00CD546D"/>
    <w:rsid w:val="00CE7482"/>
    <w:rsid w:val="00D049DE"/>
    <w:rsid w:val="00D10FFD"/>
    <w:rsid w:val="00D138B3"/>
    <w:rsid w:val="00D15504"/>
    <w:rsid w:val="00D175E6"/>
    <w:rsid w:val="00D17CC7"/>
    <w:rsid w:val="00D17E5E"/>
    <w:rsid w:val="00D200F4"/>
    <w:rsid w:val="00D43595"/>
    <w:rsid w:val="00D4431B"/>
    <w:rsid w:val="00D57485"/>
    <w:rsid w:val="00D627EA"/>
    <w:rsid w:val="00D674E0"/>
    <w:rsid w:val="00D67EBB"/>
    <w:rsid w:val="00D83EC6"/>
    <w:rsid w:val="00D84AD6"/>
    <w:rsid w:val="00D84C84"/>
    <w:rsid w:val="00DA04D9"/>
    <w:rsid w:val="00DA7543"/>
    <w:rsid w:val="00DB2A7B"/>
    <w:rsid w:val="00DC5693"/>
    <w:rsid w:val="00DC6A5A"/>
    <w:rsid w:val="00DC711F"/>
    <w:rsid w:val="00DD4985"/>
    <w:rsid w:val="00DE5BE7"/>
    <w:rsid w:val="00DE7A7A"/>
    <w:rsid w:val="00E00CFA"/>
    <w:rsid w:val="00E02E7F"/>
    <w:rsid w:val="00E15D6C"/>
    <w:rsid w:val="00E277F3"/>
    <w:rsid w:val="00E4168D"/>
    <w:rsid w:val="00E420CF"/>
    <w:rsid w:val="00E560EE"/>
    <w:rsid w:val="00E57CA4"/>
    <w:rsid w:val="00E6387C"/>
    <w:rsid w:val="00EA357C"/>
    <w:rsid w:val="00EA689F"/>
    <w:rsid w:val="00EA6994"/>
    <w:rsid w:val="00EA7BA1"/>
    <w:rsid w:val="00EA7E10"/>
    <w:rsid w:val="00EB5792"/>
    <w:rsid w:val="00EC1A8B"/>
    <w:rsid w:val="00EC381E"/>
    <w:rsid w:val="00EE3F9B"/>
    <w:rsid w:val="00EE4C2F"/>
    <w:rsid w:val="00EF6B42"/>
    <w:rsid w:val="00F038BC"/>
    <w:rsid w:val="00F059E9"/>
    <w:rsid w:val="00F21D98"/>
    <w:rsid w:val="00F3475E"/>
    <w:rsid w:val="00F35643"/>
    <w:rsid w:val="00F562FA"/>
    <w:rsid w:val="00F56389"/>
    <w:rsid w:val="00F61BB5"/>
    <w:rsid w:val="00F64037"/>
    <w:rsid w:val="00F720F5"/>
    <w:rsid w:val="00F849FE"/>
    <w:rsid w:val="00F90EFA"/>
    <w:rsid w:val="00FA26A5"/>
    <w:rsid w:val="00FA51CC"/>
    <w:rsid w:val="00FB282E"/>
    <w:rsid w:val="00FC003C"/>
    <w:rsid w:val="00FC20F6"/>
    <w:rsid w:val="00FC5890"/>
    <w:rsid w:val="00FD29DC"/>
    <w:rsid w:val="00FD373D"/>
    <w:rsid w:val="00FD5EC6"/>
    <w:rsid w:val="00FE5AA9"/>
    <w:rsid w:val="00FF0D22"/>
    <w:rsid w:val="00FF65BC"/>
  </w:rsids>
  <m:mathPr>
    <m:mathFont m:val="Cambria Math"/>
    <m:brkBin m:val="before"/>
    <m:brkBinSub m:val="--"/>
    <m:smallFrac m:val="0"/>
    <m:dispDef/>
    <m:lMargin m:val="0"/>
    <m:rMargin m:val="0"/>
    <m:defJc m:val="centerGroup"/>
    <m:wrapIndent m:val="1440"/>
    <m:intLim m:val="subSup"/>
    <m:naryLim m:val="undOvr"/>
  </m:mathPr>
  <w:themeFontLang w:val="s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FF16"/>
  <w15:chartTrackingRefBased/>
  <w15:docId w15:val="{A34D24E0-96EA-4058-9A94-33AE47BDF93C}"/>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szCs w:val="24"/>
        <w14:ligatures w14:val="standardContextual"/>
        <w:lang w:val="sl"/>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05B"/>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7F205B"/>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7F205B"/>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F205B"/>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F205B"/>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7F205B"/>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F205B"/>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F205B"/>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F205B"/>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B"/>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rsid w:val="007F205B"/>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7F205B"/>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7F205B"/>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7F205B"/>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7F205B"/>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7F205B"/>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7F205B"/>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7F205B"/>
    <w:rPr>
      <w:rFonts w:cstheme="majorBidi" w:eastAsiaTheme="majorEastAsia"/>
      <w:color w:val="272727" w:themeColor="text1" w:themeTint="D8"/>
    </w:rPr>
  </w:style>
  <w:style w:type="paragraph" w:styleId="Title">
    <w:name w:val="Title"/>
    <w:basedOn w:val="Normal"/>
    <w:next w:val="Normal"/>
    <w:link w:val="TitleChar"/>
    <w:uiPriority w:val="10"/>
    <w:qFormat/>
    <w:rsid w:val="007F205B"/>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7F205B"/>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7F205B"/>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7F205B"/>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7F205B"/>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B"/>
    <w:rPr>
      <w:i/>
      <w:iCs/>
      <w:color w:val="404040" w:themeColor="text1" w:themeTint="BF"/>
    </w:rPr>
  </w:style>
  <w:style w:type="paragraph" w:styleId="ListParagraph">
    <w:name w:val="List Paragraph"/>
    <w:basedOn w:val="Normal"/>
    <w:uiPriority w:val="34"/>
    <w:qFormat/>
    <w:rsid w:val="007F205B"/>
    <w:pPr>
      <w:ind w:left="720"/>
      <w:contextualSpacing/>
    </w:pPr>
  </w:style>
  <w:style w:type="character" w:styleId="IntenseEmphasis">
    <w:name w:val="Intense Emphasis"/>
    <w:basedOn w:val="DefaultParagraphFont"/>
    <w:uiPriority w:val="21"/>
    <w:qFormat/>
    <w:rsid w:val="007F205B"/>
    <w:rPr>
      <w:i/>
      <w:iCs/>
      <w:color w:val="0F4761" w:themeColor="accent1" w:themeShade="BF"/>
    </w:rPr>
  </w:style>
  <w:style w:type="paragraph" w:styleId="IntenseQuote">
    <w:name w:val="Intense Quote"/>
    <w:basedOn w:val="Normal"/>
    <w:next w:val="Normal"/>
    <w:link w:val="IntenseQuoteChar"/>
    <w:uiPriority w:val="30"/>
    <w:qFormat/>
    <w:rsid w:val="007F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5B"/>
    <w:rPr>
      <w:i/>
      <w:iCs/>
      <w:color w:val="0F4761" w:themeColor="accent1" w:themeShade="BF"/>
    </w:rPr>
  </w:style>
  <w:style w:type="character" w:styleId="IntenseReference">
    <w:name w:val="Intense Reference"/>
    <w:basedOn w:val="DefaultParagraphFont"/>
    <w:uiPriority w:val="32"/>
    <w:qFormat/>
    <w:rsid w:val="007F205B"/>
    <w:rPr>
      <w:b/>
      <w:bCs/>
      <w:smallCaps/>
      <w:color w:val="0F4761" w:themeColor="accent1" w:themeShade="BF"/>
    </w:rPr>
  </w:style>
  <w:style w:type="table" w:styleId="TableGrid">
    <w:name w:val="Table Grid"/>
    <w:basedOn w:val="TableNormal"/>
    <w:uiPriority w:val="39"/>
    <w:rsid w:val="007F20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2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5B"/>
    <w:rPr>
      <w:kern w:val="0"/>
      <w:sz w:val="20"/>
      <w:szCs w:val="20"/>
      <w14:ligatures w14:val="none"/>
    </w:rPr>
  </w:style>
  <w:style w:type="character" w:styleId="FootnoteReference">
    <w:name w:val="footnote reference"/>
    <w:basedOn w:val="DefaultParagraphFont"/>
    <w:uiPriority w:val="99"/>
    <w:semiHidden/>
    <w:unhideWhenUsed/>
    <w:rsid w:val="007F205B"/>
    <w:rPr>
      <w:vertAlign w:val="superscript"/>
    </w:rPr>
  </w:style>
  <w:style w:type="paragraph" w:styleId="Header">
    <w:name w:val="header"/>
    <w:basedOn w:val="Normal"/>
    <w:link w:val="HeaderChar"/>
    <w:uiPriority w:val="99"/>
    <w:unhideWhenUsed/>
    <w:rsid w:val="007F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05B"/>
    <w:rPr>
      <w:kern w:val="0"/>
      <w:sz w:val="22"/>
      <w:szCs w:val="22"/>
      <w14:ligatures w14:val="none"/>
    </w:rPr>
  </w:style>
  <w:style w:type="paragraph" w:styleId="Footer">
    <w:name w:val="footer"/>
    <w:basedOn w:val="Normal"/>
    <w:link w:val="FooterChar"/>
    <w:uiPriority w:val="99"/>
    <w:unhideWhenUsed/>
    <w:rsid w:val="007F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05B"/>
    <w:rPr>
      <w:kern w:val="0"/>
      <w:sz w:val="22"/>
      <w:szCs w:val="22"/>
      <w14:ligatures w14:val="none"/>
    </w:rPr>
  </w:style>
  <w:style w:type="paragraph" w:styleId="BodyText">
    <w:name w:val="Body Text"/>
    <w:basedOn w:val="Normal"/>
    <w:link w:val="BodyTextChar"/>
    <w:uiPriority w:val="1"/>
    <w:qFormat/>
    <w:rsid w:val="007F205B"/>
    <w:pPr>
      <w:widowControl w:val="0"/>
      <w:autoSpaceDE w:val="0"/>
      <w:autoSpaceDN w:val="0"/>
      <w:spacing w:after="0" w:line="240" w:lineRule="auto"/>
      <w:jc w:val="both"/>
    </w:pPr>
    <w:rPr>
      <w:rFonts w:ascii="Times New Roman" w:hAnsi="Times New Roman" w:cs="Times New Roman" w:eastAsia="Times New Roman"/>
      <w:sz w:val="24"/>
      <w:szCs w:val="20"/>
    </w:rPr>
  </w:style>
  <w:style w:type="character" w:customStyle="1" w:styleId="BodyTextChar">
    <w:name w:val="Body Text Char"/>
    <w:basedOn w:val="DefaultParagraphFont"/>
    <w:link w:val="BodyText"/>
    <w:uiPriority w:val="1"/>
    <w:rsid w:val="007F205B"/>
    <w:rPr>
      <w:rFonts w:ascii="Times New Roman" w:hAnsi="Times New Roman" w:cs="Times New Roman" w:eastAsia="Times New Roman"/>
      <w:kern w:val="0"/>
      <w:szCs w:val="20"/>
      <w14:ligatures w14:val="none"/>
    </w:rPr>
  </w:style>
  <w:style w:type="paragraph" w:customStyle="1" w:styleId="P68B1DB1-Title1">
    <w:name w:val="P68B1DB1-Title1"/>
    <w:basedOn w:val="Title"/>
    <w:rsid w:val="007F205B"/>
    <w:pPr>
      <w:widowControl w:val="0"/>
      <w:autoSpaceDE w:val="0"/>
      <w:autoSpaceDN w:val="0"/>
      <w:spacing w:before="59" w:after="0"/>
      <w:ind w:left="139"/>
      <w:contextualSpacing w:val="0"/>
      <w:jc w:val="center"/>
    </w:pPr>
    <w:rPr>
      <w:rFonts w:ascii="Times New Roman" w:hAnsi="Times New Roman" w:cs="Times New Roman" w:eastAsia="Times New Roman"/>
      <w:b/>
      <w:kern w:val="0"/>
      <w:sz w:val="32"/>
      <w:szCs w:val="20"/>
      <w:u w:val="single" w:color="000000"/>
    </w:rPr>
  </w:style>
  <w:style w:type="paragraph" w:customStyle="1" w:styleId="P68B1DB1-Normal3">
    <w:name w:val="P68B1DB1-Normal3"/>
    <w:basedOn w:val="Normal"/>
    <w:rsid w:val="007F205B"/>
    <w:pPr>
      <w:widowControl w:val="0"/>
      <w:autoSpaceDE w:val="0"/>
      <w:autoSpaceDN w:val="0"/>
      <w:spacing w:after="0" w:line="240" w:lineRule="auto"/>
    </w:pPr>
    <w:rPr>
      <w:rFonts w:ascii="Times New Roman" w:hAnsi="Times New Roman" w:cs="Times New Roman" w:eastAsia="Times New Roman"/>
      <w:b/>
      <w:smallCaps/>
      <w:sz w:val="24"/>
      <w:szCs w:val="20"/>
    </w:rPr>
  </w:style>
  <w:style w:type="paragraph" w:customStyle="1" w:styleId="P68B1DB1-BodyText4">
    <w:name w:val="P68B1DB1-BodyText4"/>
    <w:basedOn w:val="BodyText"/>
    <w:rsid w:val="007F205B"/>
    <w:rPr>
      <w:sz w:val="20"/>
    </w:rPr>
  </w:style>
  <w:style w:type="character" w:styleId="Hyperlink">
    <w:name w:val="Hyperlink"/>
    <w:basedOn w:val="DefaultParagraphFont"/>
    <w:uiPriority w:val="99"/>
    <w:unhideWhenUsed/>
    <w:rsid w:val="008E22D9"/>
    <w:rPr>
      <w:color w:val="467886" w:themeColor="hyperlink"/>
      <w:u w:val="single"/>
    </w:rPr>
  </w:style>
  <w:style w:type="paragraph" w:customStyle="1" w:styleId="P68B1DB1-ListParagraph2">
    <w:name w:val="P68B1DB1-ListParagraph2"/>
    <w:basedOn w:val="ListParagraph"/>
    <w:rsid w:val="004E15FB"/>
    <w:pPr>
      <w:widowControl w:val="0"/>
      <w:autoSpaceDE w:val="0"/>
      <w:autoSpaceDN w:val="0"/>
      <w:spacing w:after="0" w:line="240" w:lineRule="auto"/>
      <w:ind w:left="396" w:right="111" w:hanging="142"/>
      <w:contextualSpacing w:val="0"/>
      <w:jc w:val="both"/>
    </w:pPr>
    <w:rPr>
      <w:rFonts w:ascii="Times New Roman" w:hAnsi="Times New Roman" w:cs="Times New Roman" w:eastAsia="Times New Roman"/>
      <w:sz w:val="24"/>
      <w:szCs w:val="20"/>
    </w:rPr>
  </w:style>
  <w:style w:type="paragraph" w:customStyle="1" w:styleId="P68B1DB1-Heading15">
    <w:name w:val="P68B1DB1-Heading15"/>
    <w:basedOn w:val="Heading1"/>
    <w:rsid w:val="00AA4F20"/>
    <w:pPr>
      <w:keepNext w:val="0"/>
      <w:keepLines w:val="0"/>
      <w:widowControl w:val="0"/>
      <w:autoSpaceDE w:val="0"/>
      <w:autoSpaceDN w:val="0"/>
      <w:spacing w:before="0" w:after="0" w:line="240" w:lineRule="auto"/>
      <w:ind w:left="446"/>
    </w:pPr>
    <w:rPr>
      <w:rFonts w:ascii="Times New Roman" w:hAnsi="Times New Roman" w:cs="Times New Roman" w:eastAsia="Times New Roman"/>
      <w:b/>
      <w:color w:val="auto"/>
      <w:sz w:val="24"/>
      <w:szCs w:val="20"/>
      <w:u w:val="single"/>
    </w:rPr>
  </w:style>
  <w:style w:type="character" w:styleId="CommentReference">
    <w:name w:val="annotation reference"/>
    <w:basedOn w:val="DefaultParagraphFont"/>
    <w:uiPriority w:val="99"/>
    <w:semiHidden/>
    <w:unhideWhenUsed/>
    <w:rsid w:val="00AC368B"/>
    <w:rPr>
      <w:sz w:val="16"/>
      <w:szCs w:val="16"/>
    </w:rPr>
  </w:style>
  <w:style w:type="paragraph" w:styleId="CommentText">
    <w:name w:val="annotation text"/>
    <w:basedOn w:val="Normal"/>
    <w:link w:val="CommentTextChar"/>
    <w:uiPriority w:val="99"/>
    <w:unhideWhenUsed/>
    <w:rsid w:val="00AC368B"/>
    <w:pPr>
      <w:spacing w:line="240" w:lineRule="auto"/>
    </w:pPr>
    <w:rPr>
      <w:sz w:val="20"/>
      <w:szCs w:val="20"/>
    </w:rPr>
  </w:style>
  <w:style w:type="character" w:customStyle="1" w:styleId="CommentTextChar">
    <w:name w:val="Comment Text Char"/>
    <w:basedOn w:val="DefaultParagraphFont"/>
    <w:link w:val="CommentText"/>
    <w:uiPriority w:val="99"/>
    <w:rsid w:val="00AC368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368B"/>
    <w:rPr>
      <w:b/>
      <w:bCs/>
    </w:rPr>
  </w:style>
  <w:style w:type="character" w:customStyle="1" w:styleId="CommentSubjectChar">
    <w:name w:val="Comment Subject Char"/>
    <w:basedOn w:val="CommentTextChar"/>
    <w:link w:val="CommentSubject"/>
    <w:uiPriority w:val="99"/>
    <w:semiHidden/>
    <w:rsid w:val="00AC368B"/>
    <w:rPr>
      <w:b/>
      <w:bCs/>
      <w:kern w:val="0"/>
      <w:sz w:val="20"/>
      <w:szCs w:val="20"/>
      <w14:ligatures w14:val="none"/>
    </w:rPr>
  </w:style>
  <w:style w:type="character" w:styleId="UnresolvedMention">
    <w:name w:val="Unresolved Mention"/>
    <w:basedOn w:val="DefaultParagraphFont"/>
    <w:uiPriority w:val="99"/>
    <w:semiHidden/>
    <w:unhideWhenUsed/>
    <w:rsid w:val="00D4431B"/>
    <w:rPr>
      <w:color w:val="605E5C"/>
      <w:shd w:val="clear" w:color="auto" w:fill="E1DFDD"/>
    </w:rPr>
  </w:style>
  <w:style w:type="character" w:styleId="FollowedHyperlink">
    <w:name w:val="FollowedHyperlink"/>
    <w:basedOn w:val="DefaultParagraphFont"/>
    <w:uiPriority w:val="99"/>
    <w:semiHidden/>
    <w:unhideWhenUsed/>
    <w:rsid w:val="00973E73"/>
    <w:rPr>
      <w:color w:val="96607D" w:themeColor="followedHyperlink"/>
      <w:u w:val="single"/>
    </w:rPr>
  </w:style>
  <w:style w:type="paragraph" w:styleId="Revision">
    <w:name w:val="Revision"/>
    <w:hidden/>
    <w:uiPriority w:val="99"/>
    <w:semiHidden/>
    <w:rsid w:val="008F17FD"/>
    <w:pPr>
      <w:spacing w:after="0" w:line="240" w:lineRule="auto"/>
    </w:pPr>
    <w:rPr>
      <w:kern w:val="0"/>
      <w:sz w:val="22"/>
      <w:szCs w:val="22"/>
      <w14:ligatures w14:val="none"/>
    </w:rPr>
  </w:style>
  <w:style w:type="paragraph" w:customStyle="1" w:styleId="P68B1DB1-BodyText1">
    <w:name w:val="P68B1DB1-BodyText1"/>
    <w:basedOn w:val="BodyText"/>
    <w:rPr>
      <w:sz w:val="20"/>
      <w:u w:val="single"/>
    </w:rPr>
  </w:style>
  <w:style w:type="paragraph" w:customStyle="1" w:styleId="P68B1DB1-BodyText2">
    <w:name w:val="P68B1DB1-BodyText2"/>
    <w:basedOn w:val="BodyText"/>
    <w:rPr>
      <w:i/>
      <w:sz w:val="16"/>
      <w:szCs w:val="16"/>
    </w:rPr>
  </w:style>
  <w:style w:type="paragraph" w:customStyle="1" w:styleId="P68B1DB1-Normal4">
    <w:name w:val="P68B1DB1-Normal4"/>
    <w:basedOn w:val="Normal"/>
    <w:rPr>
      <w:sz w:val="20"/>
    </w:rPr>
  </w:style>
  <w:style w:type="paragraph" w:customStyle="1" w:styleId="P68B1DB1-Normal5">
    <w:name w:val="P68B1DB1-Normal5"/>
    <w:basedOn w:val="Normal"/>
    <w:rPr>
      <w:rFonts w:ascii="Times New Roman" w:hAnsi="Times New Roman" w:cs="Times New Roman"/>
      <w:b/>
      <w:sz w:val="24"/>
      <w:szCs w:val="24"/>
      <w:u w:val="single"/>
    </w:rPr>
  </w:style>
  <w:style w:type="paragraph" w:customStyle="1" w:styleId="P68B1DB1-Normal6">
    <w:name w:val="P68B1DB1-Normal6"/>
    <w:basedOn w:val="Normal"/>
    <w:rPr>
      <w:rFonts w:ascii="Times New Roman" w:hAnsi="Times New Roman" w:cs="Times New Roman"/>
      <w:b/>
      <w:sz w:val="24"/>
      <w:szCs w:val="24"/>
    </w:rPr>
  </w:style>
  <w:style w:type="paragraph" w:customStyle="1" w:styleId="P68B1DB1-Normal7">
    <w:name w:val="P68B1DB1-Normal7"/>
    <w:basedOn w:val="Normal"/>
    <w:rPr>
      <w:rFonts w:ascii="Times New Roman" w:hAnsi="Times New Roman" w:cs="Times New Roman"/>
      <w:sz w:val="24"/>
      <w:szCs w:val="24"/>
    </w:rPr>
  </w:style>
  <w:style w:type="paragraph" w:customStyle="1" w:styleId="P68B1DB1-Normal8">
    <w:name w:val="P68B1DB1-Normal8"/>
    <w:basedOn w:val="Normal"/>
    <w:rPr>
      <w:rFonts w:ascii="Times New Roman" w:hAnsi="Times New Roman" w:cs="Times New Roman" w:eastAsia="Times New Roman"/>
      <w:sz w:val="24"/>
      <w:szCs w:val="24"/>
    </w:rPr>
  </w:style>
  <w:style w:type="paragraph" w:customStyle="1" w:styleId="P68B1DB1-P68B1DB1-Normal39">
    <w:name w:val="P68B1DB1-P68B1DB1-Normal39"/>
    <w:basedOn w:val="P68B1DB1-Normal3"/>
    <w:rPr>
      <w:sz w:val="28"/>
      <w:szCs w:val="22"/>
    </w:rPr>
  </w:style>
  <w:style w:type="paragraph" w:customStyle="1" w:styleId="P68B1DB1-BodyText10">
    <w:name w:val="P68B1DB1-BodyText10"/>
    <w:basedOn w:val="BodyText"/>
    <w:rPr>
      <w:b/>
    </w:rPr>
  </w:style>
  <w:style w:type="paragraph" w:customStyle="1" w:styleId="P68B1DB1-BodyText11">
    <w:name w:val="P68B1DB1-BodyText11"/>
    <w:basedOn w:val="BodyText"/>
    <w:rPr>
      <w:i/>
    </w:rPr>
  </w:style>
  <w:style w:type="paragraph" w:customStyle="1" w:styleId="P68B1DB1-Normal12">
    <w:name w:val="P68B1DB1-Normal12"/>
    <w:basedOn w:val="Normal"/>
    <w:rPr>
      <w:rFonts w:ascii="Times New Roman" w:hAnsi="Times New Roman" w:cs="Times New Roman"/>
      <w:i/>
      <w:sz w:val="24"/>
      <w:szCs w:val="24"/>
    </w:rPr>
  </w:style>
  <w:style w:type="paragraph" w:customStyle="1" w:styleId="P68B1DB1-Normal13">
    <w:name w:val="P68B1DB1-Normal13"/>
    <w:basedOn w:val="Normal"/>
    <w:rPr>
      <w:rFonts w:ascii="Times New Roman" w:hAnsi="Times New Roman" w:cs="Times New Roman" w:eastAsia="Times New Roman"/>
      <w:b/>
      <w:i/>
      <w:szCs w:val="20"/>
    </w:rPr>
  </w:style>
  <w:style w:type="paragraph" w:customStyle="1" w:styleId="P68B1DB1-Normal14">
    <w:name w:val="P68B1DB1-Normal14"/>
    <w:basedOn w:val="Normal"/>
    <w:rPr>
      <w:rFonts w:ascii="Times New Roman" w:hAnsi="Times New Roman" w:cs="Times New Roman" w:eastAsia="Times New Roman"/>
      <w:szCs w:val="20"/>
    </w:rPr>
  </w:style>
  <w:style w:type="paragraph" w:customStyle="1" w:styleId="P68B1DB1-Normal15">
    <w:name w:val="P68B1DB1-Normal15"/>
    <w:basedOn w:val="Normal"/>
    <w:rPr>
      <w:rFonts w:ascii="Times New Roman" w:hAnsi="Times New Roman" w:cs="Times New Roman" w:eastAsia="Times New Roman"/>
      <w:i/>
      <w:sz w:val="20"/>
      <w:szCs w:val="16"/>
    </w:rPr>
  </w:style>
  <w:style w:type="paragraph" w:customStyle="1" w:styleId="P68B1DB1-Normal16">
    <w:name w:val="P68B1DB1-Normal16"/>
    <w:basedOn w:val="Normal"/>
    <w:rPr>
      <w:rFonts w:ascii="Times New Roman" w:hAnsi="Times New Roman" w:cs="Times New Roman" w:eastAsia="Times New Roman"/>
      <w:sz w:val="20"/>
      <w:szCs w:val="16"/>
    </w:rPr>
  </w:style>
  <w:style w:type="paragraph" w:customStyle="1" w:styleId="P68B1DB1-Normal17">
    <w:name w:val="P68B1DB1-Normal17"/>
    <w:basedOn w:val="Normal"/>
    <w:rPr>
      <w:rFonts w:ascii="Times New Roman" w:hAnsi="Times New Roman" w:cs="Times New Roman" w:eastAsia="Times New Roman"/>
    </w:rPr>
  </w:style>
  <w:style w:type="paragraph" w:customStyle="1" w:styleId="P68B1DB1-Normal18">
    <w:name w:val="P68B1DB1-Normal18"/>
    <w:basedOn w:val="Normal"/>
    <w:rPr>
      <w:rFonts w:ascii="Times New Roman" w:hAnsi="Times New Roman" w:cs="Times New Roman" w:eastAsia="Times New Roman"/>
      <w:i/>
      <w:sz w:val="20"/>
      <w:szCs w:val="20"/>
    </w:rPr>
  </w:style>
  <w:style w:type="paragraph" w:customStyle="1" w:styleId="P68B1DB1-BodyText19">
    <w:name w:val="P68B1DB1-BodyText19"/>
    <w:basedOn w:val="BodyText"/>
    <w:rPr>
      <w:i/>
      <w:sz w:val="20"/>
    </w:rPr>
  </w:style>
  <w:style w:type="paragraph" w:customStyle="1" w:styleId="P68B1DB1-Normal20">
    <w:name w:val="P68B1DB1-Normal20"/>
    <w:basedOn w:val="Normal"/>
    <w:rPr>
      <w:rFonts w:ascii="Times New Roman" w:hAnsi="Times New Roman" w:cs="Times New Roman"/>
      <w:i/>
      <w:sz w:val="20"/>
      <w:szCs w:val="20"/>
    </w:rPr>
  </w:style>
  <w:style w:type="paragraph" w:customStyle="1" w:styleId="P68B1DB1-ListParagraph21">
    <w:name w:val="P68B1DB1-ListParagraph21"/>
    <w:basedOn w:val="ListParagraph"/>
    <w:rPr>
      <w:rFonts w:ascii="Times New Roman" w:hAnsi="Times New Roman" w:cs="Times New Roman"/>
      <w:i/>
      <w:sz w:val="24"/>
      <w:szCs w:val="24"/>
    </w:rPr>
  </w:style>
  <w:style w:type="paragraph" w:customStyle="1" w:styleId="P68B1DB1-BodyText22">
    <w:name w:val="P68B1DB1-BodyText22"/>
    <w:basedOn w:val="BodyText"/>
    <w:rPr>
      <w:sz w:val="22"/>
      <w:szCs w:val="18"/>
    </w:rPr>
  </w:style>
  <w:style w:type="paragraph" w:customStyle="1" w:styleId="P68B1DB1-BodyText23">
    <w:name w:val="P68B1DB1-BodyText23"/>
    <w:basedOn w:val="BodyText"/>
    <w:rPr>
      <w:i/>
      <w:szCs w:val="24"/>
    </w:rPr>
  </w:style>
  <w:style w:type="paragraph" w:customStyle="1" w:styleId="P68B1DB1-BodyText24">
    <w:name w:val="P68B1DB1-BodyText24"/>
    <w:basedOn w:val="BodyText"/>
    <w:rPr>
      <w:szCs w:val="24"/>
    </w:rPr>
  </w:style>
  <w:style w:type="paragraph" w:customStyle="1" w:styleId="P68B1DB1-BodyText25">
    <w:name w:val="P68B1DB1-BodyText25"/>
    <w:basedOn w:val="BodyText"/>
    <w:rPr>
      <w:i/>
      <w:sz w:val="20"/>
      <w:szCs w:val="16"/>
    </w:rPr>
  </w:style>
  <w:style w:type="paragraph" w:customStyle="1" w:styleId="P68B1DB1-P68B1DB1-ListParagraph226">
    <w:name w:val="P68B1DB1-P68B1DB1-ListParagraph226"/>
    <w:basedOn w:val="P68B1DB1-ListParagraph2"/>
    <w:rPr>
      <w:i/>
      <w:sz w:val="20"/>
      <w:szCs w:val="16"/>
    </w:rPr>
  </w:style>
  <w:style w:type="paragraph" w:customStyle="1" w:styleId="P68B1DB1-ListParagraph27">
    <w:name w:val="P68B1DB1-ListParagraph27"/>
    <w:basedOn w:val="ListParagraph"/>
    <w:rPr>
      <w:rFonts w:ascii="Times New Roman" w:hAnsi="Times New Roman" w:cs="Times New Roman" w:eastAsia="Times New Roman"/>
      <w:b/>
      <w:sz w:val="20"/>
      <w:szCs w:val="16"/>
    </w:rPr>
  </w:style>
  <w:style w:type="paragraph" w:customStyle="1" w:styleId="P68B1DB1-Normal28">
    <w:name w:val="P68B1DB1-Normal28"/>
    <w:basedOn w:val="Normal"/>
    <w:rPr>
      <w:rFonts w:ascii="Times New Roman" w:hAnsi="Times New Roman" w:cs="Times New Roman" w:eastAsia="Times New Roman"/>
      <w:i/>
      <w:sz w:val="24"/>
      <w:szCs w:val="24"/>
    </w:rPr>
  </w:style>
  <w:style w:type="paragraph" w:customStyle="1" w:styleId="P68B1DB1-Normal29">
    <w:name w:val="P68B1DB1-Normal29"/>
    <w:basedOn w:val="Normal"/>
    <w:rPr>
      <w:rFonts w:ascii="Times New Roman" w:hAnsi="Times New Roman" w:cs="Times New Roman"/>
      <w:sz w:val="20"/>
      <w:szCs w:val="20"/>
    </w:rPr>
  </w:style>
  <w:style w:type="paragraph" w:customStyle="1" w:styleId="P68B1DB1-ListParagraph30">
    <w:name w:val="P68B1DB1-ListParagraph30"/>
    <w:basedOn w:val="ListParagraph"/>
    <w:rPr>
      <w:rFonts w:ascii="Times New Roman" w:hAnsi="Times New Roman" w:cs="Times New Roman"/>
      <w:b/>
      <w:sz w:val="24"/>
      <w:szCs w:val="24"/>
    </w:rPr>
  </w:style>
  <w:style w:type="paragraph" w:customStyle="1" w:styleId="P68B1DB1-Normal31">
    <w:name w:val="P68B1DB1-Normal31"/>
    <w:basedOn w:val="Normal"/>
    <w:rPr>
      <w:rFonts w:ascii="Times New Roman" w:hAnsi="Times New Roman" w:cs="Times New Roman"/>
      <w:i/>
      <w:sz w:val="20"/>
      <w:szCs w:val="16"/>
    </w:rPr>
  </w:style>
  <w:style w:type="paragraph" w:customStyle="1" w:styleId="P68B1DB1-Normal32">
    <w:name w:val="P68B1DB1-Normal32"/>
    <w:basedOn w:val="Normal"/>
    <w:rPr>
      <w:rFonts w:ascii="Times New Roman" w:hAnsi="Times New Roman" w:cs="Times New Roman" w:eastAsia="Times New Roman"/>
      <w:sz w:val="20"/>
      <w:szCs w:val="20"/>
    </w:rPr>
  </w:style>
  <w:style w:type="paragraph" w:customStyle="1" w:styleId="P68B1DB1-Normal33">
    <w:name w:val="P68B1DB1-Normal33"/>
    <w:basedOn w:val="Normal"/>
    <w:rPr>
      <w:sz w:val="20"/>
      <w:szCs w:val="16"/>
    </w:rPr>
  </w:style>
  <w:style w:type="paragraph" w:customStyle="1" w:styleId="P68B1DB1-BodyText34">
    <w:name w:val="P68B1DB1-BodyText34"/>
    <w:basedOn w:val="BodyText"/>
    <w:rPr>
      <w:b/>
      <w:sz w:val="28"/>
      <w:szCs w:val="22"/>
    </w:rPr>
  </w:style>
  <w:style w:type="paragraph" w:styleId="TOCHeading">
    <w:name w:val="TOC Heading"/>
    <w:basedOn w:val="Heading1"/>
    <w:next w:val="Normal"/>
    <w:uiPriority w:val="39"/>
    <w:unhideWhenUsed/>
    <w:qFormat/>
    <w:rsid w:val="00FF0D22"/>
    <w:pPr>
      <w:spacing w:before="240" w:after="0"/>
      <w:outlineLvl w:val="9"/>
    </w:pPr>
    <w:rPr>
      <w:sz w:val="32"/>
      <w:szCs w:val="32"/>
    </w:rPr>
  </w:style>
  <w:style w:type="paragraph" w:styleId="TOC2">
    <w:name w:val="toc 2"/>
    <w:basedOn w:val="Normal"/>
    <w:next w:val="Normal"/>
    <w:autoRedefine/>
    <w:uiPriority w:val="39"/>
    <w:unhideWhenUsed/>
    <w:rsid w:val="00FF0D22"/>
    <w:pPr>
      <w:spacing w:after="0"/>
      <w:ind w:left="220"/>
    </w:pPr>
    <w:rPr>
      <w:smallCaps/>
      <w:sz w:val="20"/>
      <w:szCs w:val="20"/>
    </w:rPr>
  </w:style>
  <w:style w:type="paragraph" w:styleId="TOC1">
    <w:name w:val="toc 1"/>
    <w:basedOn w:val="Normal"/>
    <w:next w:val="Normal"/>
    <w:autoRedefine/>
    <w:uiPriority w:val="39"/>
    <w:unhideWhenUsed/>
    <w:rsid w:val="00FF0D22"/>
    <w:pPr>
      <w:spacing w:before="120" w:after="120"/>
    </w:pPr>
    <w:rPr>
      <w:b/>
      <w:bCs/>
      <w:caps/>
      <w:sz w:val="20"/>
      <w:szCs w:val="20"/>
    </w:rPr>
  </w:style>
  <w:style w:type="paragraph" w:styleId="TOC3">
    <w:name w:val="toc 3"/>
    <w:basedOn w:val="Normal"/>
    <w:next w:val="Normal"/>
    <w:autoRedefine/>
    <w:uiPriority w:val="39"/>
    <w:unhideWhenUsed/>
    <w:rsid w:val="00FF0D22"/>
    <w:pPr>
      <w:spacing w:after="0"/>
      <w:ind w:left="440"/>
    </w:pPr>
    <w:rPr>
      <w:i/>
      <w:iCs/>
      <w:sz w:val="20"/>
      <w:szCs w:val="20"/>
    </w:rPr>
  </w:style>
  <w:style w:type="paragraph" w:styleId="TOC4">
    <w:name w:val="toc 4"/>
    <w:basedOn w:val="Normal"/>
    <w:next w:val="Normal"/>
    <w:autoRedefine/>
    <w:uiPriority w:val="39"/>
    <w:unhideWhenUsed/>
    <w:rsid w:val="00FF0D22"/>
    <w:pPr>
      <w:spacing w:after="0"/>
      <w:ind w:left="660"/>
    </w:pPr>
    <w:rPr>
      <w:sz w:val="18"/>
      <w:szCs w:val="18"/>
    </w:rPr>
  </w:style>
  <w:style w:type="paragraph" w:styleId="TOC5">
    <w:name w:val="toc 5"/>
    <w:basedOn w:val="Normal"/>
    <w:next w:val="Normal"/>
    <w:autoRedefine/>
    <w:uiPriority w:val="39"/>
    <w:unhideWhenUsed/>
    <w:rsid w:val="00FF0D22"/>
    <w:pPr>
      <w:spacing w:after="0"/>
      <w:ind w:left="880"/>
    </w:pPr>
    <w:rPr>
      <w:sz w:val="18"/>
      <w:szCs w:val="18"/>
    </w:rPr>
  </w:style>
  <w:style w:type="paragraph" w:styleId="TOC6">
    <w:name w:val="toc 6"/>
    <w:basedOn w:val="Normal"/>
    <w:next w:val="Normal"/>
    <w:autoRedefine/>
    <w:uiPriority w:val="39"/>
    <w:unhideWhenUsed/>
    <w:rsid w:val="00FF0D22"/>
    <w:pPr>
      <w:spacing w:after="0"/>
      <w:ind w:left="1100"/>
    </w:pPr>
    <w:rPr>
      <w:sz w:val="18"/>
      <w:szCs w:val="18"/>
    </w:rPr>
  </w:style>
  <w:style w:type="paragraph" w:styleId="TOC7">
    <w:name w:val="toc 7"/>
    <w:basedOn w:val="Normal"/>
    <w:next w:val="Normal"/>
    <w:autoRedefine/>
    <w:uiPriority w:val="39"/>
    <w:unhideWhenUsed/>
    <w:rsid w:val="00FF0D22"/>
    <w:pPr>
      <w:spacing w:after="0"/>
      <w:ind w:left="1320"/>
    </w:pPr>
    <w:rPr>
      <w:sz w:val="18"/>
      <w:szCs w:val="18"/>
    </w:rPr>
  </w:style>
  <w:style w:type="paragraph" w:styleId="TOC8">
    <w:name w:val="toc 8"/>
    <w:basedOn w:val="Normal"/>
    <w:next w:val="Normal"/>
    <w:autoRedefine/>
    <w:uiPriority w:val="39"/>
    <w:unhideWhenUsed/>
    <w:rsid w:val="00FF0D22"/>
    <w:pPr>
      <w:spacing w:after="0"/>
      <w:ind w:left="1540"/>
    </w:pPr>
    <w:rPr>
      <w:sz w:val="18"/>
      <w:szCs w:val="18"/>
    </w:rPr>
  </w:style>
  <w:style w:type="paragraph" w:styleId="TOC9">
    <w:name w:val="toc 9"/>
    <w:basedOn w:val="Normal"/>
    <w:next w:val="Normal"/>
    <w:autoRedefine/>
    <w:uiPriority w:val="39"/>
    <w:unhideWhenUsed/>
    <w:rsid w:val="00FF0D22"/>
    <w:pPr>
      <w:spacing w:after="0"/>
      <w:ind w:left="1760"/>
    </w:pPr>
    <w:rPr>
      <w:sz w:val="18"/>
      <w:szCs w:val="18"/>
    </w:rPr>
  </w:style>
  <w:style w:type="paragraph" w:styleId="P68B1DB1-P68B1DB1-Title11">
    <w:name w:val="P68B1DB1-P68B1DB1-Title11"/>
    <w:basedOn w:val="P68B1DB1-Title1"/>
    <w:rPr>
      <w:i/>
      <w:color w:val="FF0000"/>
      <w:sz w:val="24"/>
      <w:szCs w:val="24"/>
      <w:u w:val="none"/>
    </w:rPr>
  </w:style>
  <w:style w:type="paragraph" w:styleId="P68B1DB1-TOC12">
    <w:name w:val="P68B1DB1-TOC12"/>
    <w:basedOn w:val="TOC1"/>
    <w:rPr>
      <w:rFonts w:ascii="Times New Roman" w:hAnsi="Times New Roman" w:cs="Times New Roman"/>
    </w:rPr>
  </w:style>
  <w:style w:type="paragraph" w:styleId="P68B1DB1-Heading13">
    <w:name w:val="P68B1DB1-Heading13"/>
    <w:basedOn w:val="Heading1"/>
    <w:rPr>
      <w:color w:val="auto"/>
    </w:rPr>
  </w:style>
  <w:style w:type="paragraph" w:styleId="P68B1DB1-Heading24">
    <w:name w:val="P68B1DB1-Heading24"/>
    <w:basedOn w:val="Heading2"/>
    <w:rPr>
      <w:color w:val="auto"/>
    </w:rPr>
  </w:style>
  <w:style w:type="paragraph" w:styleId="P68B1DB1-P68B1DB1-Normal135">
    <w:name w:val="P68B1DB1-P68B1DB1-Normal135"/>
    <w:basedOn w:val="P68B1DB1-Normal13"/>
    <w:rPr>
      <w:b w:val="0"/>
      <w:i w:val="0"/>
    </w:rPr>
  </w:style>
  <w:style w:type="paragraph" w:styleId="P68B1DB1-P68B1DB1-Normal146">
    <w:name w:val="P68B1DB1-P68B1DB1-Normal146"/>
    <w:basedOn w:val="P68B1DB1-Normal14"/>
    <w:rPr>
      <w:i/>
      <w:sz w:val="20"/>
    </w:rPr>
  </w:style>
  <w:style w:type="paragraph" w:styleId="P68B1DB1-P68B1DB1-Normal147">
    <w:name w:val="P68B1DB1-P68B1DB1-Normal147"/>
    <w:basedOn w:val="P68B1DB1-Normal14"/>
    <w:rPr>
      <w:i/>
      <w:sz w:val="20"/>
      <w:szCs w:val="18"/>
    </w:rPr>
  </w:style>
  <w:style w:type="paragraph" w:styleId="P68B1DB1-P68B1DB1-Normal168">
    <w:name w:val="P68B1DB1-P68B1DB1-Normal168"/>
    <w:basedOn w:val="P68B1DB1-Normal16"/>
    <w:rPr>
      <w:b/>
      <w:i/>
      <w:sz w:val="22"/>
      <w:szCs w:val="18"/>
    </w:rPr>
  </w:style>
  <w:style w:type="paragraph" w:styleId="P68B1DB1-P68B1DB1-Normal169">
    <w:name w:val="P68B1DB1-P68B1DB1-Normal169"/>
    <w:basedOn w:val="P68B1DB1-Normal16"/>
    <w:rPr>
      <w:b/>
      <w:i/>
      <w:sz w:val="24"/>
      <w:szCs w:val="20"/>
    </w:rPr>
  </w:style>
  <w:style w:type="paragraph" w:styleId="P68B1DB1-P68B1DB1-Normal1710">
    <w:name w:val="P68B1DB1-P68B1DB1-Normal1710"/>
    <w:basedOn w:val="P68B1DB1-Normal17"/>
    <w:rPr>
      <w:i/>
      <w:sz w:val="20"/>
      <w:szCs w:val="18"/>
    </w:rPr>
  </w:style>
  <w:style w:type="paragraph" w:styleId="P68B1DB1-Normal11">
    <w:name w:val="P68B1DB1-Normal11"/>
    <w:basedOn w:val="Normal"/>
    <w:rPr>
      <w:rFonts w:ascii="Times New Roman" w:hAnsi="Times New Roman" w:cs="Times New Roman" w:eastAsia="Times New Roman"/>
      <w:sz w:val="20"/>
      <w:szCs w:val="18"/>
    </w:rPr>
  </w:style>
  <w:style w:type="paragraph" w:styleId="P68B1DB1-Normal19">
    <w:name w:val="P68B1DB1-Normal19"/>
    <w:basedOn w:val="Normal"/>
    <w:rPr>
      <w:rFonts w:ascii="Times New Roman" w:hAnsi="Times New Roman" w:cs="Times New Roman" w:eastAsia="Times New Roman"/>
      <w:i/>
      <w:sz w:val="20"/>
      <w:szCs w:val="18"/>
    </w:rPr>
  </w:style>
  <w:style w:type="paragraph" w:styleId="P68B1DB1-P68B1DB1-Normal1820">
    <w:name w:val="P68B1DB1-P68B1DB1-Normal1820"/>
    <w:basedOn w:val="P68B1DB1-Normal18"/>
    <w:rPr>
      <w:sz w:val="18"/>
      <w:szCs w:val="18"/>
    </w:rPr>
  </w:style>
  <w:style w:type="paragraph" w:styleId="P68B1DB1-P68B1DB1-Normal1421">
    <w:name w:val="P68B1DB1-P68B1DB1-Normal1421"/>
    <w:basedOn w:val="P68B1DB1-Normal14"/>
    <w:rPr>
      <w:i/>
    </w:rPr>
  </w:style>
  <w:style w:type="paragraph" w:styleId="P68B1DB1-P68B1DB1-Normal1622">
    <w:name w:val="P68B1DB1-P68B1DB1-Normal1622"/>
    <w:basedOn w:val="P68B1DB1-Normal16"/>
    <w:rPr>
      <w:b/>
      <w:i/>
      <w:sz w:val="22"/>
      <w:szCs w:val="22"/>
    </w:rPr>
  </w:style>
  <w:style w:type="paragraph" w:styleId="P68B1DB1-P68B1DB1-Normal1623">
    <w:name w:val="P68B1DB1-P68B1DB1-Normal1623"/>
    <w:basedOn w:val="P68B1DB1-Normal1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432">
      <w:bodyDiv w:val="1"/>
      <w:marLeft w:val="0"/>
      <w:marRight w:val="0"/>
      <w:marTop w:val="0"/>
      <w:marBottom w:val="0"/>
      <w:divBdr>
        <w:top w:val="none" w:sz="0" w:space="0" w:color="auto"/>
        <w:left w:val="none" w:sz="0" w:space="0" w:color="auto"/>
        <w:bottom w:val="none" w:sz="0" w:space="0" w:color="auto"/>
        <w:right w:val="none" w:sz="0" w:space="0" w:color="auto"/>
      </w:divBdr>
    </w:div>
    <w:div w:id="26762372">
      <w:bodyDiv w:val="1"/>
      <w:marLeft w:val="0"/>
      <w:marRight w:val="0"/>
      <w:marTop w:val="0"/>
      <w:marBottom w:val="0"/>
      <w:divBdr>
        <w:top w:val="none" w:sz="0" w:space="0" w:color="auto"/>
        <w:left w:val="none" w:sz="0" w:space="0" w:color="auto"/>
        <w:bottom w:val="none" w:sz="0" w:space="0" w:color="auto"/>
        <w:right w:val="none" w:sz="0" w:space="0" w:color="auto"/>
      </w:divBdr>
    </w:div>
    <w:div w:id="34356982">
      <w:bodyDiv w:val="1"/>
      <w:marLeft w:val="0"/>
      <w:marRight w:val="0"/>
      <w:marTop w:val="0"/>
      <w:marBottom w:val="0"/>
      <w:divBdr>
        <w:top w:val="none" w:sz="0" w:space="0" w:color="auto"/>
        <w:left w:val="none" w:sz="0" w:space="0" w:color="auto"/>
        <w:bottom w:val="none" w:sz="0" w:space="0" w:color="auto"/>
        <w:right w:val="none" w:sz="0" w:space="0" w:color="auto"/>
      </w:divBdr>
    </w:div>
    <w:div w:id="37046487">
      <w:bodyDiv w:val="1"/>
      <w:marLeft w:val="0"/>
      <w:marRight w:val="0"/>
      <w:marTop w:val="0"/>
      <w:marBottom w:val="0"/>
      <w:divBdr>
        <w:top w:val="none" w:sz="0" w:space="0" w:color="auto"/>
        <w:left w:val="none" w:sz="0" w:space="0" w:color="auto"/>
        <w:bottom w:val="none" w:sz="0" w:space="0" w:color="auto"/>
        <w:right w:val="none" w:sz="0" w:space="0" w:color="auto"/>
      </w:divBdr>
    </w:div>
    <w:div w:id="89932279">
      <w:bodyDiv w:val="1"/>
      <w:marLeft w:val="0"/>
      <w:marRight w:val="0"/>
      <w:marTop w:val="0"/>
      <w:marBottom w:val="0"/>
      <w:divBdr>
        <w:top w:val="none" w:sz="0" w:space="0" w:color="auto"/>
        <w:left w:val="none" w:sz="0" w:space="0" w:color="auto"/>
        <w:bottom w:val="none" w:sz="0" w:space="0" w:color="auto"/>
        <w:right w:val="none" w:sz="0" w:space="0" w:color="auto"/>
      </w:divBdr>
    </w:div>
    <w:div w:id="90786061">
      <w:bodyDiv w:val="1"/>
      <w:marLeft w:val="0"/>
      <w:marRight w:val="0"/>
      <w:marTop w:val="0"/>
      <w:marBottom w:val="0"/>
      <w:divBdr>
        <w:top w:val="none" w:sz="0" w:space="0" w:color="auto"/>
        <w:left w:val="none" w:sz="0" w:space="0" w:color="auto"/>
        <w:bottom w:val="none" w:sz="0" w:space="0" w:color="auto"/>
        <w:right w:val="none" w:sz="0" w:space="0" w:color="auto"/>
      </w:divBdr>
    </w:div>
    <w:div w:id="96026439">
      <w:bodyDiv w:val="1"/>
      <w:marLeft w:val="0"/>
      <w:marRight w:val="0"/>
      <w:marTop w:val="0"/>
      <w:marBottom w:val="0"/>
      <w:divBdr>
        <w:top w:val="none" w:sz="0" w:space="0" w:color="auto"/>
        <w:left w:val="none" w:sz="0" w:space="0" w:color="auto"/>
        <w:bottom w:val="none" w:sz="0" w:space="0" w:color="auto"/>
        <w:right w:val="none" w:sz="0" w:space="0" w:color="auto"/>
      </w:divBdr>
    </w:div>
    <w:div w:id="100228059">
      <w:bodyDiv w:val="1"/>
      <w:marLeft w:val="0"/>
      <w:marRight w:val="0"/>
      <w:marTop w:val="0"/>
      <w:marBottom w:val="0"/>
      <w:divBdr>
        <w:top w:val="none" w:sz="0" w:space="0" w:color="auto"/>
        <w:left w:val="none" w:sz="0" w:space="0" w:color="auto"/>
        <w:bottom w:val="none" w:sz="0" w:space="0" w:color="auto"/>
        <w:right w:val="none" w:sz="0" w:space="0" w:color="auto"/>
      </w:divBdr>
    </w:div>
    <w:div w:id="120274445">
      <w:bodyDiv w:val="1"/>
      <w:marLeft w:val="0"/>
      <w:marRight w:val="0"/>
      <w:marTop w:val="0"/>
      <w:marBottom w:val="0"/>
      <w:divBdr>
        <w:top w:val="none" w:sz="0" w:space="0" w:color="auto"/>
        <w:left w:val="none" w:sz="0" w:space="0" w:color="auto"/>
        <w:bottom w:val="none" w:sz="0" w:space="0" w:color="auto"/>
        <w:right w:val="none" w:sz="0" w:space="0" w:color="auto"/>
      </w:divBdr>
    </w:div>
    <w:div w:id="126512856">
      <w:bodyDiv w:val="1"/>
      <w:marLeft w:val="0"/>
      <w:marRight w:val="0"/>
      <w:marTop w:val="0"/>
      <w:marBottom w:val="0"/>
      <w:divBdr>
        <w:top w:val="none" w:sz="0" w:space="0" w:color="auto"/>
        <w:left w:val="none" w:sz="0" w:space="0" w:color="auto"/>
        <w:bottom w:val="none" w:sz="0" w:space="0" w:color="auto"/>
        <w:right w:val="none" w:sz="0" w:space="0" w:color="auto"/>
      </w:divBdr>
    </w:div>
    <w:div w:id="155148478">
      <w:bodyDiv w:val="1"/>
      <w:marLeft w:val="0"/>
      <w:marRight w:val="0"/>
      <w:marTop w:val="0"/>
      <w:marBottom w:val="0"/>
      <w:divBdr>
        <w:top w:val="none" w:sz="0" w:space="0" w:color="auto"/>
        <w:left w:val="none" w:sz="0" w:space="0" w:color="auto"/>
        <w:bottom w:val="none" w:sz="0" w:space="0" w:color="auto"/>
        <w:right w:val="none" w:sz="0" w:space="0" w:color="auto"/>
      </w:divBdr>
    </w:div>
    <w:div w:id="223029111">
      <w:bodyDiv w:val="1"/>
      <w:marLeft w:val="0"/>
      <w:marRight w:val="0"/>
      <w:marTop w:val="0"/>
      <w:marBottom w:val="0"/>
      <w:divBdr>
        <w:top w:val="none" w:sz="0" w:space="0" w:color="auto"/>
        <w:left w:val="none" w:sz="0" w:space="0" w:color="auto"/>
        <w:bottom w:val="none" w:sz="0" w:space="0" w:color="auto"/>
        <w:right w:val="none" w:sz="0" w:space="0" w:color="auto"/>
      </w:divBdr>
    </w:div>
    <w:div w:id="244265254">
      <w:bodyDiv w:val="1"/>
      <w:marLeft w:val="0"/>
      <w:marRight w:val="0"/>
      <w:marTop w:val="0"/>
      <w:marBottom w:val="0"/>
      <w:divBdr>
        <w:top w:val="none" w:sz="0" w:space="0" w:color="auto"/>
        <w:left w:val="none" w:sz="0" w:space="0" w:color="auto"/>
        <w:bottom w:val="none" w:sz="0" w:space="0" w:color="auto"/>
        <w:right w:val="none" w:sz="0" w:space="0" w:color="auto"/>
      </w:divBdr>
    </w:div>
    <w:div w:id="257255821">
      <w:bodyDiv w:val="1"/>
      <w:marLeft w:val="0"/>
      <w:marRight w:val="0"/>
      <w:marTop w:val="0"/>
      <w:marBottom w:val="0"/>
      <w:divBdr>
        <w:top w:val="none" w:sz="0" w:space="0" w:color="auto"/>
        <w:left w:val="none" w:sz="0" w:space="0" w:color="auto"/>
        <w:bottom w:val="none" w:sz="0" w:space="0" w:color="auto"/>
        <w:right w:val="none" w:sz="0" w:space="0" w:color="auto"/>
      </w:divBdr>
    </w:div>
    <w:div w:id="259609206">
      <w:bodyDiv w:val="1"/>
      <w:marLeft w:val="0"/>
      <w:marRight w:val="0"/>
      <w:marTop w:val="0"/>
      <w:marBottom w:val="0"/>
      <w:divBdr>
        <w:top w:val="none" w:sz="0" w:space="0" w:color="auto"/>
        <w:left w:val="none" w:sz="0" w:space="0" w:color="auto"/>
        <w:bottom w:val="none" w:sz="0" w:space="0" w:color="auto"/>
        <w:right w:val="none" w:sz="0" w:space="0" w:color="auto"/>
      </w:divBdr>
    </w:div>
    <w:div w:id="261766769">
      <w:bodyDiv w:val="1"/>
      <w:marLeft w:val="0"/>
      <w:marRight w:val="0"/>
      <w:marTop w:val="0"/>
      <w:marBottom w:val="0"/>
      <w:divBdr>
        <w:top w:val="none" w:sz="0" w:space="0" w:color="auto"/>
        <w:left w:val="none" w:sz="0" w:space="0" w:color="auto"/>
        <w:bottom w:val="none" w:sz="0" w:space="0" w:color="auto"/>
        <w:right w:val="none" w:sz="0" w:space="0" w:color="auto"/>
      </w:divBdr>
    </w:div>
    <w:div w:id="269317752">
      <w:bodyDiv w:val="1"/>
      <w:marLeft w:val="0"/>
      <w:marRight w:val="0"/>
      <w:marTop w:val="0"/>
      <w:marBottom w:val="0"/>
      <w:divBdr>
        <w:top w:val="none" w:sz="0" w:space="0" w:color="auto"/>
        <w:left w:val="none" w:sz="0" w:space="0" w:color="auto"/>
        <w:bottom w:val="none" w:sz="0" w:space="0" w:color="auto"/>
        <w:right w:val="none" w:sz="0" w:space="0" w:color="auto"/>
      </w:divBdr>
    </w:div>
    <w:div w:id="271399507">
      <w:bodyDiv w:val="1"/>
      <w:marLeft w:val="0"/>
      <w:marRight w:val="0"/>
      <w:marTop w:val="0"/>
      <w:marBottom w:val="0"/>
      <w:divBdr>
        <w:top w:val="none" w:sz="0" w:space="0" w:color="auto"/>
        <w:left w:val="none" w:sz="0" w:space="0" w:color="auto"/>
        <w:bottom w:val="none" w:sz="0" w:space="0" w:color="auto"/>
        <w:right w:val="none" w:sz="0" w:space="0" w:color="auto"/>
      </w:divBdr>
    </w:div>
    <w:div w:id="278880907">
      <w:bodyDiv w:val="1"/>
      <w:marLeft w:val="0"/>
      <w:marRight w:val="0"/>
      <w:marTop w:val="0"/>
      <w:marBottom w:val="0"/>
      <w:divBdr>
        <w:top w:val="none" w:sz="0" w:space="0" w:color="auto"/>
        <w:left w:val="none" w:sz="0" w:space="0" w:color="auto"/>
        <w:bottom w:val="none" w:sz="0" w:space="0" w:color="auto"/>
        <w:right w:val="none" w:sz="0" w:space="0" w:color="auto"/>
      </w:divBdr>
    </w:div>
    <w:div w:id="291714760">
      <w:bodyDiv w:val="1"/>
      <w:marLeft w:val="0"/>
      <w:marRight w:val="0"/>
      <w:marTop w:val="0"/>
      <w:marBottom w:val="0"/>
      <w:divBdr>
        <w:top w:val="none" w:sz="0" w:space="0" w:color="auto"/>
        <w:left w:val="none" w:sz="0" w:space="0" w:color="auto"/>
        <w:bottom w:val="none" w:sz="0" w:space="0" w:color="auto"/>
        <w:right w:val="none" w:sz="0" w:space="0" w:color="auto"/>
      </w:divBdr>
    </w:div>
    <w:div w:id="300774190">
      <w:bodyDiv w:val="1"/>
      <w:marLeft w:val="0"/>
      <w:marRight w:val="0"/>
      <w:marTop w:val="0"/>
      <w:marBottom w:val="0"/>
      <w:divBdr>
        <w:top w:val="none" w:sz="0" w:space="0" w:color="auto"/>
        <w:left w:val="none" w:sz="0" w:space="0" w:color="auto"/>
        <w:bottom w:val="none" w:sz="0" w:space="0" w:color="auto"/>
        <w:right w:val="none" w:sz="0" w:space="0" w:color="auto"/>
      </w:divBdr>
    </w:div>
    <w:div w:id="305622349">
      <w:bodyDiv w:val="1"/>
      <w:marLeft w:val="0"/>
      <w:marRight w:val="0"/>
      <w:marTop w:val="0"/>
      <w:marBottom w:val="0"/>
      <w:divBdr>
        <w:top w:val="none" w:sz="0" w:space="0" w:color="auto"/>
        <w:left w:val="none" w:sz="0" w:space="0" w:color="auto"/>
        <w:bottom w:val="none" w:sz="0" w:space="0" w:color="auto"/>
        <w:right w:val="none" w:sz="0" w:space="0" w:color="auto"/>
      </w:divBdr>
    </w:div>
    <w:div w:id="308022613">
      <w:bodyDiv w:val="1"/>
      <w:marLeft w:val="0"/>
      <w:marRight w:val="0"/>
      <w:marTop w:val="0"/>
      <w:marBottom w:val="0"/>
      <w:divBdr>
        <w:top w:val="none" w:sz="0" w:space="0" w:color="auto"/>
        <w:left w:val="none" w:sz="0" w:space="0" w:color="auto"/>
        <w:bottom w:val="none" w:sz="0" w:space="0" w:color="auto"/>
        <w:right w:val="none" w:sz="0" w:space="0" w:color="auto"/>
      </w:divBdr>
    </w:div>
    <w:div w:id="322703479">
      <w:bodyDiv w:val="1"/>
      <w:marLeft w:val="0"/>
      <w:marRight w:val="0"/>
      <w:marTop w:val="0"/>
      <w:marBottom w:val="0"/>
      <w:divBdr>
        <w:top w:val="none" w:sz="0" w:space="0" w:color="auto"/>
        <w:left w:val="none" w:sz="0" w:space="0" w:color="auto"/>
        <w:bottom w:val="none" w:sz="0" w:space="0" w:color="auto"/>
        <w:right w:val="none" w:sz="0" w:space="0" w:color="auto"/>
      </w:divBdr>
    </w:div>
    <w:div w:id="345834890">
      <w:bodyDiv w:val="1"/>
      <w:marLeft w:val="0"/>
      <w:marRight w:val="0"/>
      <w:marTop w:val="0"/>
      <w:marBottom w:val="0"/>
      <w:divBdr>
        <w:top w:val="none" w:sz="0" w:space="0" w:color="auto"/>
        <w:left w:val="none" w:sz="0" w:space="0" w:color="auto"/>
        <w:bottom w:val="none" w:sz="0" w:space="0" w:color="auto"/>
        <w:right w:val="none" w:sz="0" w:space="0" w:color="auto"/>
      </w:divBdr>
    </w:div>
    <w:div w:id="347604481">
      <w:bodyDiv w:val="1"/>
      <w:marLeft w:val="0"/>
      <w:marRight w:val="0"/>
      <w:marTop w:val="0"/>
      <w:marBottom w:val="0"/>
      <w:divBdr>
        <w:top w:val="none" w:sz="0" w:space="0" w:color="auto"/>
        <w:left w:val="none" w:sz="0" w:space="0" w:color="auto"/>
        <w:bottom w:val="none" w:sz="0" w:space="0" w:color="auto"/>
        <w:right w:val="none" w:sz="0" w:space="0" w:color="auto"/>
      </w:divBdr>
    </w:div>
    <w:div w:id="351994588">
      <w:bodyDiv w:val="1"/>
      <w:marLeft w:val="0"/>
      <w:marRight w:val="0"/>
      <w:marTop w:val="0"/>
      <w:marBottom w:val="0"/>
      <w:divBdr>
        <w:top w:val="none" w:sz="0" w:space="0" w:color="auto"/>
        <w:left w:val="none" w:sz="0" w:space="0" w:color="auto"/>
        <w:bottom w:val="none" w:sz="0" w:space="0" w:color="auto"/>
        <w:right w:val="none" w:sz="0" w:space="0" w:color="auto"/>
      </w:divBdr>
    </w:div>
    <w:div w:id="374358084">
      <w:bodyDiv w:val="1"/>
      <w:marLeft w:val="0"/>
      <w:marRight w:val="0"/>
      <w:marTop w:val="0"/>
      <w:marBottom w:val="0"/>
      <w:divBdr>
        <w:top w:val="none" w:sz="0" w:space="0" w:color="auto"/>
        <w:left w:val="none" w:sz="0" w:space="0" w:color="auto"/>
        <w:bottom w:val="none" w:sz="0" w:space="0" w:color="auto"/>
        <w:right w:val="none" w:sz="0" w:space="0" w:color="auto"/>
      </w:divBdr>
    </w:div>
    <w:div w:id="390075643">
      <w:bodyDiv w:val="1"/>
      <w:marLeft w:val="0"/>
      <w:marRight w:val="0"/>
      <w:marTop w:val="0"/>
      <w:marBottom w:val="0"/>
      <w:divBdr>
        <w:top w:val="none" w:sz="0" w:space="0" w:color="auto"/>
        <w:left w:val="none" w:sz="0" w:space="0" w:color="auto"/>
        <w:bottom w:val="none" w:sz="0" w:space="0" w:color="auto"/>
        <w:right w:val="none" w:sz="0" w:space="0" w:color="auto"/>
      </w:divBdr>
    </w:div>
    <w:div w:id="394163680">
      <w:bodyDiv w:val="1"/>
      <w:marLeft w:val="0"/>
      <w:marRight w:val="0"/>
      <w:marTop w:val="0"/>
      <w:marBottom w:val="0"/>
      <w:divBdr>
        <w:top w:val="none" w:sz="0" w:space="0" w:color="auto"/>
        <w:left w:val="none" w:sz="0" w:space="0" w:color="auto"/>
        <w:bottom w:val="none" w:sz="0" w:space="0" w:color="auto"/>
        <w:right w:val="none" w:sz="0" w:space="0" w:color="auto"/>
      </w:divBdr>
    </w:div>
    <w:div w:id="394285497">
      <w:bodyDiv w:val="1"/>
      <w:marLeft w:val="0"/>
      <w:marRight w:val="0"/>
      <w:marTop w:val="0"/>
      <w:marBottom w:val="0"/>
      <w:divBdr>
        <w:top w:val="none" w:sz="0" w:space="0" w:color="auto"/>
        <w:left w:val="none" w:sz="0" w:space="0" w:color="auto"/>
        <w:bottom w:val="none" w:sz="0" w:space="0" w:color="auto"/>
        <w:right w:val="none" w:sz="0" w:space="0" w:color="auto"/>
      </w:divBdr>
    </w:div>
    <w:div w:id="408159956">
      <w:bodyDiv w:val="1"/>
      <w:marLeft w:val="0"/>
      <w:marRight w:val="0"/>
      <w:marTop w:val="0"/>
      <w:marBottom w:val="0"/>
      <w:divBdr>
        <w:top w:val="none" w:sz="0" w:space="0" w:color="auto"/>
        <w:left w:val="none" w:sz="0" w:space="0" w:color="auto"/>
        <w:bottom w:val="none" w:sz="0" w:space="0" w:color="auto"/>
        <w:right w:val="none" w:sz="0" w:space="0" w:color="auto"/>
      </w:divBdr>
    </w:div>
    <w:div w:id="427428655">
      <w:bodyDiv w:val="1"/>
      <w:marLeft w:val="0"/>
      <w:marRight w:val="0"/>
      <w:marTop w:val="0"/>
      <w:marBottom w:val="0"/>
      <w:divBdr>
        <w:top w:val="none" w:sz="0" w:space="0" w:color="auto"/>
        <w:left w:val="none" w:sz="0" w:space="0" w:color="auto"/>
        <w:bottom w:val="none" w:sz="0" w:space="0" w:color="auto"/>
        <w:right w:val="none" w:sz="0" w:space="0" w:color="auto"/>
      </w:divBdr>
    </w:div>
    <w:div w:id="479661570">
      <w:bodyDiv w:val="1"/>
      <w:marLeft w:val="0"/>
      <w:marRight w:val="0"/>
      <w:marTop w:val="0"/>
      <w:marBottom w:val="0"/>
      <w:divBdr>
        <w:top w:val="none" w:sz="0" w:space="0" w:color="auto"/>
        <w:left w:val="none" w:sz="0" w:space="0" w:color="auto"/>
        <w:bottom w:val="none" w:sz="0" w:space="0" w:color="auto"/>
        <w:right w:val="none" w:sz="0" w:space="0" w:color="auto"/>
      </w:divBdr>
    </w:div>
    <w:div w:id="485588516">
      <w:bodyDiv w:val="1"/>
      <w:marLeft w:val="0"/>
      <w:marRight w:val="0"/>
      <w:marTop w:val="0"/>
      <w:marBottom w:val="0"/>
      <w:divBdr>
        <w:top w:val="none" w:sz="0" w:space="0" w:color="auto"/>
        <w:left w:val="none" w:sz="0" w:space="0" w:color="auto"/>
        <w:bottom w:val="none" w:sz="0" w:space="0" w:color="auto"/>
        <w:right w:val="none" w:sz="0" w:space="0" w:color="auto"/>
      </w:divBdr>
    </w:div>
    <w:div w:id="504324013">
      <w:bodyDiv w:val="1"/>
      <w:marLeft w:val="0"/>
      <w:marRight w:val="0"/>
      <w:marTop w:val="0"/>
      <w:marBottom w:val="0"/>
      <w:divBdr>
        <w:top w:val="none" w:sz="0" w:space="0" w:color="auto"/>
        <w:left w:val="none" w:sz="0" w:space="0" w:color="auto"/>
        <w:bottom w:val="none" w:sz="0" w:space="0" w:color="auto"/>
        <w:right w:val="none" w:sz="0" w:space="0" w:color="auto"/>
      </w:divBdr>
    </w:div>
    <w:div w:id="544369820">
      <w:bodyDiv w:val="1"/>
      <w:marLeft w:val="0"/>
      <w:marRight w:val="0"/>
      <w:marTop w:val="0"/>
      <w:marBottom w:val="0"/>
      <w:divBdr>
        <w:top w:val="none" w:sz="0" w:space="0" w:color="auto"/>
        <w:left w:val="none" w:sz="0" w:space="0" w:color="auto"/>
        <w:bottom w:val="none" w:sz="0" w:space="0" w:color="auto"/>
        <w:right w:val="none" w:sz="0" w:space="0" w:color="auto"/>
      </w:divBdr>
    </w:div>
    <w:div w:id="553933142">
      <w:bodyDiv w:val="1"/>
      <w:marLeft w:val="0"/>
      <w:marRight w:val="0"/>
      <w:marTop w:val="0"/>
      <w:marBottom w:val="0"/>
      <w:divBdr>
        <w:top w:val="none" w:sz="0" w:space="0" w:color="auto"/>
        <w:left w:val="none" w:sz="0" w:space="0" w:color="auto"/>
        <w:bottom w:val="none" w:sz="0" w:space="0" w:color="auto"/>
        <w:right w:val="none" w:sz="0" w:space="0" w:color="auto"/>
      </w:divBdr>
    </w:div>
    <w:div w:id="560671658">
      <w:bodyDiv w:val="1"/>
      <w:marLeft w:val="0"/>
      <w:marRight w:val="0"/>
      <w:marTop w:val="0"/>
      <w:marBottom w:val="0"/>
      <w:divBdr>
        <w:top w:val="none" w:sz="0" w:space="0" w:color="auto"/>
        <w:left w:val="none" w:sz="0" w:space="0" w:color="auto"/>
        <w:bottom w:val="none" w:sz="0" w:space="0" w:color="auto"/>
        <w:right w:val="none" w:sz="0" w:space="0" w:color="auto"/>
      </w:divBdr>
    </w:div>
    <w:div w:id="586159051">
      <w:bodyDiv w:val="1"/>
      <w:marLeft w:val="0"/>
      <w:marRight w:val="0"/>
      <w:marTop w:val="0"/>
      <w:marBottom w:val="0"/>
      <w:divBdr>
        <w:top w:val="none" w:sz="0" w:space="0" w:color="auto"/>
        <w:left w:val="none" w:sz="0" w:space="0" w:color="auto"/>
        <w:bottom w:val="none" w:sz="0" w:space="0" w:color="auto"/>
        <w:right w:val="none" w:sz="0" w:space="0" w:color="auto"/>
      </w:divBdr>
    </w:div>
    <w:div w:id="599073000">
      <w:bodyDiv w:val="1"/>
      <w:marLeft w:val="0"/>
      <w:marRight w:val="0"/>
      <w:marTop w:val="0"/>
      <w:marBottom w:val="0"/>
      <w:divBdr>
        <w:top w:val="none" w:sz="0" w:space="0" w:color="auto"/>
        <w:left w:val="none" w:sz="0" w:space="0" w:color="auto"/>
        <w:bottom w:val="none" w:sz="0" w:space="0" w:color="auto"/>
        <w:right w:val="none" w:sz="0" w:space="0" w:color="auto"/>
      </w:divBdr>
    </w:div>
    <w:div w:id="601182359">
      <w:bodyDiv w:val="1"/>
      <w:marLeft w:val="0"/>
      <w:marRight w:val="0"/>
      <w:marTop w:val="0"/>
      <w:marBottom w:val="0"/>
      <w:divBdr>
        <w:top w:val="none" w:sz="0" w:space="0" w:color="auto"/>
        <w:left w:val="none" w:sz="0" w:space="0" w:color="auto"/>
        <w:bottom w:val="none" w:sz="0" w:space="0" w:color="auto"/>
        <w:right w:val="none" w:sz="0" w:space="0" w:color="auto"/>
      </w:divBdr>
    </w:div>
    <w:div w:id="624970419">
      <w:bodyDiv w:val="1"/>
      <w:marLeft w:val="0"/>
      <w:marRight w:val="0"/>
      <w:marTop w:val="0"/>
      <w:marBottom w:val="0"/>
      <w:divBdr>
        <w:top w:val="none" w:sz="0" w:space="0" w:color="auto"/>
        <w:left w:val="none" w:sz="0" w:space="0" w:color="auto"/>
        <w:bottom w:val="none" w:sz="0" w:space="0" w:color="auto"/>
        <w:right w:val="none" w:sz="0" w:space="0" w:color="auto"/>
      </w:divBdr>
    </w:div>
    <w:div w:id="634532364">
      <w:bodyDiv w:val="1"/>
      <w:marLeft w:val="0"/>
      <w:marRight w:val="0"/>
      <w:marTop w:val="0"/>
      <w:marBottom w:val="0"/>
      <w:divBdr>
        <w:top w:val="none" w:sz="0" w:space="0" w:color="auto"/>
        <w:left w:val="none" w:sz="0" w:space="0" w:color="auto"/>
        <w:bottom w:val="none" w:sz="0" w:space="0" w:color="auto"/>
        <w:right w:val="none" w:sz="0" w:space="0" w:color="auto"/>
      </w:divBdr>
    </w:div>
    <w:div w:id="637103948">
      <w:bodyDiv w:val="1"/>
      <w:marLeft w:val="0"/>
      <w:marRight w:val="0"/>
      <w:marTop w:val="0"/>
      <w:marBottom w:val="0"/>
      <w:divBdr>
        <w:top w:val="none" w:sz="0" w:space="0" w:color="auto"/>
        <w:left w:val="none" w:sz="0" w:space="0" w:color="auto"/>
        <w:bottom w:val="none" w:sz="0" w:space="0" w:color="auto"/>
        <w:right w:val="none" w:sz="0" w:space="0" w:color="auto"/>
      </w:divBdr>
    </w:div>
    <w:div w:id="639308424">
      <w:bodyDiv w:val="1"/>
      <w:marLeft w:val="0"/>
      <w:marRight w:val="0"/>
      <w:marTop w:val="0"/>
      <w:marBottom w:val="0"/>
      <w:divBdr>
        <w:top w:val="none" w:sz="0" w:space="0" w:color="auto"/>
        <w:left w:val="none" w:sz="0" w:space="0" w:color="auto"/>
        <w:bottom w:val="none" w:sz="0" w:space="0" w:color="auto"/>
        <w:right w:val="none" w:sz="0" w:space="0" w:color="auto"/>
      </w:divBdr>
    </w:div>
    <w:div w:id="659652558">
      <w:bodyDiv w:val="1"/>
      <w:marLeft w:val="0"/>
      <w:marRight w:val="0"/>
      <w:marTop w:val="0"/>
      <w:marBottom w:val="0"/>
      <w:divBdr>
        <w:top w:val="none" w:sz="0" w:space="0" w:color="auto"/>
        <w:left w:val="none" w:sz="0" w:space="0" w:color="auto"/>
        <w:bottom w:val="none" w:sz="0" w:space="0" w:color="auto"/>
        <w:right w:val="none" w:sz="0" w:space="0" w:color="auto"/>
      </w:divBdr>
    </w:div>
    <w:div w:id="667051423">
      <w:bodyDiv w:val="1"/>
      <w:marLeft w:val="0"/>
      <w:marRight w:val="0"/>
      <w:marTop w:val="0"/>
      <w:marBottom w:val="0"/>
      <w:divBdr>
        <w:top w:val="none" w:sz="0" w:space="0" w:color="auto"/>
        <w:left w:val="none" w:sz="0" w:space="0" w:color="auto"/>
        <w:bottom w:val="none" w:sz="0" w:space="0" w:color="auto"/>
        <w:right w:val="none" w:sz="0" w:space="0" w:color="auto"/>
      </w:divBdr>
    </w:div>
    <w:div w:id="669254184">
      <w:bodyDiv w:val="1"/>
      <w:marLeft w:val="0"/>
      <w:marRight w:val="0"/>
      <w:marTop w:val="0"/>
      <w:marBottom w:val="0"/>
      <w:divBdr>
        <w:top w:val="none" w:sz="0" w:space="0" w:color="auto"/>
        <w:left w:val="none" w:sz="0" w:space="0" w:color="auto"/>
        <w:bottom w:val="none" w:sz="0" w:space="0" w:color="auto"/>
        <w:right w:val="none" w:sz="0" w:space="0" w:color="auto"/>
      </w:divBdr>
    </w:div>
    <w:div w:id="685715688">
      <w:bodyDiv w:val="1"/>
      <w:marLeft w:val="0"/>
      <w:marRight w:val="0"/>
      <w:marTop w:val="0"/>
      <w:marBottom w:val="0"/>
      <w:divBdr>
        <w:top w:val="none" w:sz="0" w:space="0" w:color="auto"/>
        <w:left w:val="none" w:sz="0" w:space="0" w:color="auto"/>
        <w:bottom w:val="none" w:sz="0" w:space="0" w:color="auto"/>
        <w:right w:val="none" w:sz="0" w:space="0" w:color="auto"/>
      </w:divBdr>
    </w:div>
    <w:div w:id="694426801">
      <w:bodyDiv w:val="1"/>
      <w:marLeft w:val="0"/>
      <w:marRight w:val="0"/>
      <w:marTop w:val="0"/>
      <w:marBottom w:val="0"/>
      <w:divBdr>
        <w:top w:val="none" w:sz="0" w:space="0" w:color="auto"/>
        <w:left w:val="none" w:sz="0" w:space="0" w:color="auto"/>
        <w:bottom w:val="none" w:sz="0" w:space="0" w:color="auto"/>
        <w:right w:val="none" w:sz="0" w:space="0" w:color="auto"/>
      </w:divBdr>
    </w:div>
    <w:div w:id="728385506">
      <w:bodyDiv w:val="1"/>
      <w:marLeft w:val="0"/>
      <w:marRight w:val="0"/>
      <w:marTop w:val="0"/>
      <w:marBottom w:val="0"/>
      <w:divBdr>
        <w:top w:val="none" w:sz="0" w:space="0" w:color="auto"/>
        <w:left w:val="none" w:sz="0" w:space="0" w:color="auto"/>
        <w:bottom w:val="none" w:sz="0" w:space="0" w:color="auto"/>
        <w:right w:val="none" w:sz="0" w:space="0" w:color="auto"/>
      </w:divBdr>
    </w:div>
    <w:div w:id="799618016">
      <w:bodyDiv w:val="1"/>
      <w:marLeft w:val="0"/>
      <w:marRight w:val="0"/>
      <w:marTop w:val="0"/>
      <w:marBottom w:val="0"/>
      <w:divBdr>
        <w:top w:val="none" w:sz="0" w:space="0" w:color="auto"/>
        <w:left w:val="none" w:sz="0" w:space="0" w:color="auto"/>
        <w:bottom w:val="none" w:sz="0" w:space="0" w:color="auto"/>
        <w:right w:val="none" w:sz="0" w:space="0" w:color="auto"/>
      </w:divBdr>
    </w:div>
    <w:div w:id="801389786">
      <w:bodyDiv w:val="1"/>
      <w:marLeft w:val="0"/>
      <w:marRight w:val="0"/>
      <w:marTop w:val="0"/>
      <w:marBottom w:val="0"/>
      <w:divBdr>
        <w:top w:val="none" w:sz="0" w:space="0" w:color="auto"/>
        <w:left w:val="none" w:sz="0" w:space="0" w:color="auto"/>
        <w:bottom w:val="none" w:sz="0" w:space="0" w:color="auto"/>
        <w:right w:val="none" w:sz="0" w:space="0" w:color="auto"/>
      </w:divBdr>
    </w:div>
    <w:div w:id="806317562">
      <w:bodyDiv w:val="1"/>
      <w:marLeft w:val="0"/>
      <w:marRight w:val="0"/>
      <w:marTop w:val="0"/>
      <w:marBottom w:val="0"/>
      <w:divBdr>
        <w:top w:val="none" w:sz="0" w:space="0" w:color="auto"/>
        <w:left w:val="none" w:sz="0" w:space="0" w:color="auto"/>
        <w:bottom w:val="none" w:sz="0" w:space="0" w:color="auto"/>
        <w:right w:val="none" w:sz="0" w:space="0" w:color="auto"/>
      </w:divBdr>
    </w:div>
    <w:div w:id="808864558">
      <w:bodyDiv w:val="1"/>
      <w:marLeft w:val="0"/>
      <w:marRight w:val="0"/>
      <w:marTop w:val="0"/>
      <w:marBottom w:val="0"/>
      <w:divBdr>
        <w:top w:val="none" w:sz="0" w:space="0" w:color="auto"/>
        <w:left w:val="none" w:sz="0" w:space="0" w:color="auto"/>
        <w:bottom w:val="none" w:sz="0" w:space="0" w:color="auto"/>
        <w:right w:val="none" w:sz="0" w:space="0" w:color="auto"/>
      </w:divBdr>
    </w:div>
    <w:div w:id="812143656">
      <w:bodyDiv w:val="1"/>
      <w:marLeft w:val="0"/>
      <w:marRight w:val="0"/>
      <w:marTop w:val="0"/>
      <w:marBottom w:val="0"/>
      <w:divBdr>
        <w:top w:val="none" w:sz="0" w:space="0" w:color="auto"/>
        <w:left w:val="none" w:sz="0" w:space="0" w:color="auto"/>
        <w:bottom w:val="none" w:sz="0" w:space="0" w:color="auto"/>
        <w:right w:val="none" w:sz="0" w:space="0" w:color="auto"/>
      </w:divBdr>
    </w:div>
    <w:div w:id="817842752">
      <w:bodyDiv w:val="1"/>
      <w:marLeft w:val="0"/>
      <w:marRight w:val="0"/>
      <w:marTop w:val="0"/>
      <w:marBottom w:val="0"/>
      <w:divBdr>
        <w:top w:val="none" w:sz="0" w:space="0" w:color="auto"/>
        <w:left w:val="none" w:sz="0" w:space="0" w:color="auto"/>
        <w:bottom w:val="none" w:sz="0" w:space="0" w:color="auto"/>
        <w:right w:val="none" w:sz="0" w:space="0" w:color="auto"/>
      </w:divBdr>
    </w:div>
    <w:div w:id="818808023">
      <w:bodyDiv w:val="1"/>
      <w:marLeft w:val="0"/>
      <w:marRight w:val="0"/>
      <w:marTop w:val="0"/>
      <w:marBottom w:val="0"/>
      <w:divBdr>
        <w:top w:val="none" w:sz="0" w:space="0" w:color="auto"/>
        <w:left w:val="none" w:sz="0" w:space="0" w:color="auto"/>
        <w:bottom w:val="none" w:sz="0" w:space="0" w:color="auto"/>
        <w:right w:val="none" w:sz="0" w:space="0" w:color="auto"/>
      </w:divBdr>
    </w:div>
    <w:div w:id="820586418">
      <w:bodyDiv w:val="1"/>
      <w:marLeft w:val="0"/>
      <w:marRight w:val="0"/>
      <w:marTop w:val="0"/>
      <w:marBottom w:val="0"/>
      <w:divBdr>
        <w:top w:val="none" w:sz="0" w:space="0" w:color="auto"/>
        <w:left w:val="none" w:sz="0" w:space="0" w:color="auto"/>
        <w:bottom w:val="none" w:sz="0" w:space="0" w:color="auto"/>
        <w:right w:val="none" w:sz="0" w:space="0" w:color="auto"/>
      </w:divBdr>
    </w:div>
    <w:div w:id="825243672">
      <w:bodyDiv w:val="1"/>
      <w:marLeft w:val="0"/>
      <w:marRight w:val="0"/>
      <w:marTop w:val="0"/>
      <w:marBottom w:val="0"/>
      <w:divBdr>
        <w:top w:val="none" w:sz="0" w:space="0" w:color="auto"/>
        <w:left w:val="none" w:sz="0" w:space="0" w:color="auto"/>
        <w:bottom w:val="none" w:sz="0" w:space="0" w:color="auto"/>
        <w:right w:val="none" w:sz="0" w:space="0" w:color="auto"/>
      </w:divBdr>
    </w:div>
    <w:div w:id="851068949">
      <w:bodyDiv w:val="1"/>
      <w:marLeft w:val="0"/>
      <w:marRight w:val="0"/>
      <w:marTop w:val="0"/>
      <w:marBottom w:val="0"/>
      <w:divBdr>
        <w:top w:val="none" w:sz="0" w:space="0" w:color="auto"/>
        <w:left w:val="none" w:sz="0" w:space="0" w:color="auto"/>
        <w:bottom w:val="none" w:sz="0" w:space="0" w:color="auto"/>
        <w:right w:val="none" w:sz="0" w:space="0" w:color="auto"/>
      </w:divBdr>
    </w:div>
    <w:div w:id="853955006">
      <w:bodyDiv w:val="1"/>
      <w:marLeft w:val="0"/>
      <w:marRight w:val="0"/>
      <w:marTop w:val="0"/>
      <w:marBottom w:val="0"/>
      <w:divBdr>
        <w:top w:val="none" w:sz="0" w:space="0" w:color="auto"/>
        <w:left w:val="none" w:sz="0" w:space="0" w:color="auto"/>
        <w:bottom w:val="none" w:sz="0" w:space="0" w:color="auto"/>
        <w:right w:val="none" w:sz="0" w:space="0" w:color="auto"/>
      </w:divBdr>
    </w:div>
    <w:div w:id="861357653">
      <w:bodyDiv w:val="1"/>
      <w:marLeft w:val="0"/>
      <w:marRight w:val="0"/>
      <w:marTop w:val="0"/>
      <w:marBottom w:val="0"/>
      <w:divBdr>
        <w:top w:val="none" w:sz="0" w:space="0" w:color="auto"/>
        <w:left w:val="none" w:sz="0" w:space="0" w:color="auto"/>
        <w:bottom w:val="none" w:sz="0" w:space="0" w:color="auto"/>
        <w:right w:val="none" w:sz="0" w:space="0" w:color="auto"/>
      </w:divBdr>
    </w:div>
    <w:div w:id="866798977">
      <w:bodyDiv w:val="1"/>
      <w:marLeft w:val="0"/>
      <w:marRight w:val="0"/>
      <w:marTop w:val="0"/>
      <w:marBottom w:val="0"/>
      <w:divBdr>
        <w:top w:val="none" w:sz="0" w:space="0" w:color="auto"/>
        <w:left w:val="none" w:sz="0" w:space="0" w:color="auto"/>
        <w:bottom w:val="none" w:sz="0" w:space="0" w:color="auto"/>
        <w:right w:val="none" w:sz="0" w:space="0" w:color="auto"/>
      </w:divBdr>
    </w:div>
    <w:div w:id="868294175">
      <w:bodyDiv w:val="1"/>
      <w:marLeft w:val="0"/>
      <w:marRight w:val="0"/>
      <w:marTop w:val="0"/>
      <w:marBottom w:val="0"/>
      <w:divBdr>
        <w:top w:val="none" w:sz="0" w:space="0" w:color="auto"/>
        <w:left w:val="none" w:sz="0" w:space="0" w:color="auto"/>
        <w:bottom w:val="none" w:sz="0" w:space="0" w:color="auto"/>
        <w:right w:val="none" w:sz="0" w:space="0" w:color="auto"/>
      </w:divBdr>
    </w:div>
    <w:div w:id="873270522">
      <w:bodyDiv w:val="1"/>
      <w:marLeft w:val="0"/>
      <w:marRight w:val="0"/>
      <w:marTop w:val="0"/>
      <w:marBottom w:val="0"/>
      <w:divBdr>
        <w:top w:val="none" w:sz="0" w:space="0" w:color="auto"/>
        <w:left w:val="none" w:sz="0" w:space="0" w:color="auto"/>
        <w:bottom w:val="none" w:sz="0" w:space="0" w:color="auto"/>
        <w:right w:val="none" w:sz="0" w:space="0" w:color="auto"/>
      </w:divBdr>
    </w:div>
    <w:div w:id="878008076">
      <w:bodyDiv w:val="1"/>
      <w:marLeft w:val="0"/>
      <w:marRight w:val="0"/>
      <w:marTop w:val="0"/>
      <w:marBottom w:val="0"/>
      <w:divBdr>
        <w:top w:val="none" w:sz="0" w:space="0" w:color="auto"/>
        <w:left w:val="none" w:sz="0" w:space="0" w:color="auto"/>
        <w:bottom w:val="none" w:sz="0" w:space="0" w:color="auto"/>
        <w:right w:val="none" w:sz="0" w:space="0" w:color="auto"/>
      </w:divBdr>
    </w:div>
    <w:div w:id="882718537">
      <w:bodyDiv w:val="1"/>
      <w:marLeft w:val="0"/>
      <w:marRight w:val="0"/>
      <w:marTop w:val="0"/>
      <w:marBottom w:val="0"/>
      <w:divBdr>
        <w:top w:val="none" w:sz="0" w:space="0" w:color="auto"/>
        <w:left w:val="none" w:sz="0" w:space="0" w:color="auto"/>
        <w:bottom w:val="none" w:sz="0" w:space="0" w:color="auto"/>
        <w:right w:val="none" w:sz="0" w:space="0" w:color="auto"/>
      </w:divBdr>
    </w:div>
    <w:div w:id="893538847">
      <w:bodyDiv w:val="1"/>
      <w:marLeft w:val="0"/>
      <w:marRight w:val="0"/>
      <w:marTop w:val="0"/>
      <w:marBottom w:val="0"/>
      <w:divBdr>
        <w:top w:val="none" w:sz="0" w:space="0" w:color="auto"/>
        <w:left w:val="none" w:sz="0" w:space="0" w:color="auto"/>
        <w:bottom w:val="none" w:sz="0" w:space="0" w:color="auto"/>
        <w:right w:val="none" w:sz="0" w:space="0" w:color="auto"/>
      </w:divBdr>
    </w:div>
    <w:div w:id="895235720">
      <w:bodyDiv w:val="1"/>
      <w:marLeft w:val="0"/>
      <w:marRight w:val="0"/>
      <w:marTop w:val="0"/>
      <w:marBottom w:val="0"/>
      <w:divBdr>
        <w:top w:val="none" w:sz="0" w:space="0" w:color="auto"/>
        <w:left w:val="none" w:sz="0" w:space="0" w:color="auto"/>
        <w:bottom w:val="none" w:sz="0" w:space="0" w:color="auto"/>
        <w:right w:val="none" w:sz="0" w:space="0" w:color="auto"/>
      </w:divBdr>
    </w:div>
    <w:div w:id="925961939">
      <w:bodyDiv w:val="1"/>
      <w:marLeft w:val="0"/>
      <w:marRight w:val="0"/>
      <w:marTop w:val="0"/>
      <w:marBottom w:val="0"/>
      <w:divBdr>
        <w:top w:val="none" w:sz="0" w:space="0" w:color="auto"/>
        <w:left w:val="none" w:sz="0" w:space="0" w:color="auto"/>
        <w:bottom w:val="none" w:sz="0" w:space="0" w:color="auto"/>
        <w:right w:val="none" w:sz="0" w:space="0" w:color="auto"/>
      </w:divBdr>
    </w:div>
    <w:div w:id="928730430">
      <w:bodyDiv w:val="1"/>
      <w:marLeft w:val="0"/>
      <w:marRight w:val="0"/>
      <w:marTop w:val="0"/>
      <w:marBottom w:val="0"/>
      <w:divBdr>
        <w:top w:val="none" w:sz="0" w:space="0" w:color="auto"/>
        <w:left w:val="none" w:sz="0" w:space="0" w:color="auto"/>
        <w:bottom w:val="none" w:sz="0" w:space="0" w:color="auto"/>
        <w:right w:val="none" w:sz="0" w:space="0" w:color="auto"/>
      </w:divBdr>
    </w:div>
    <w:div w:id="939605178">
      <w:bodyDiv w:val="1"/>
      <w:marLeft w:val="0"/>
      <w:marRight w:val="0"/>
      <w:marTop w:val="0"/>
      <w:marBottom w:val="0"/>
      <w:divBdr>
        <w:top w:val="none" w:sz="0" w:space="0" w:color="auto"/>
        <w:left w:val="none" w:sz="0" w:space="0" w:color="auto"/>
        <w:bottom w:val="none" w:sz="0" w:space="0" w:color="auto"/>
        <w:right w:val="none" w:sz="0" w:space="0" w:color="auto"/>
      </w:divBdr>
    </w:div>
    <w:div w:id="961106863">
      <w:bodyDiv w:val="1"/>
      <w:marLeft w:val="0"/>
      <w:marRight w:val="0"/>
      <w:marTop w:val="0"/>
      <w:marBottom w:val="0"/>
      <w:divBdr>
        <w:top w:val="none" w:sz="0" w:space="0" w:color="auto"/>
        <w:left w:val="none" w:sz="0" w:space="0" w:color="auto"/>
        <w:bottom w:val="none" w:sz="0" w:space="0" w:color="auto"/>
        <w:right w:val="none" w:sz="0" w:space="0" w:color="auto"/>
      </w:divBdr>
    </w:div>
    <w:div w:id="962224947">
      <w:bodyDiv w:val="1"/>
      <w:marLeft w:val="0"/>
      <w:marRight w:val="0"/>
      <w:marTop w:val="0"/>
      <w:marBottom w:val="0"/>
      <w:divBdr>
        <w:top w:val="none" w:sz="0" w:space="0" w:color="auto"/>
        <w:left w:val="none" w:sz="0" w:space="0" w:color="auto"/>
        <w:bottom w:val="none" w:sz="0" w:space="0" w:color="auto"/>
        <w:right w:val="none" w:sz="0" w:space="0" w:color="auto"/>
      </w:divBdr>
    </w:div>
    <w:div w:id="964776247">
      <w:bodyDiv w:val="1"/>
      <w:marLeft w:val="0"/>
      <w:marRight w:val="0"/>
      <w:marTop w:val="0"/>
      <w:marBottom w:val="0"/>
      <w:divBdr>
        <w:top w:val="none" w:sz="0" w:space="0" w:color="auto"/>
        <w:left w:val="none" w:sz="0" w:space="0" w:color="auto"/>
        <w:bottom w:val="none" w:sz="0" w:space="0" w:color="auto"/>
        <w:right w:val="none" w:sz="0" w:space="0" w:color="auto"/>
      </w:divBdr>
    </w:div>
    <w:div w:id="975842363">
      <w:bodyDiv w:val="1"/>
      <w:marLeft w:val="0"/>
      <w:marRight w:val="0"/>
      <w:marTop w:val="0"/>
      <w:marBottom w:val="0"/>
      <w:divBdr>
        <w:top w:val="none" w:sz="0" w:space="0" w:color="auto"/>
        <w:left w:val="none" w:sz="0" w:space="0" w:color="auto"/>
        <w:bottom w:val="none" w:sz="0" w:space="0" w:color="auto"/>
        <w:right w:val="none" w:sz="0" w:space="0" w:color="auto"/>
      </w:divBdr>
    </w:div>
    <w:div w:id="982194863">
      <w:bodyDiv w:val="1"/>
      <w:marLeft w:val="0"/>
      <w:marRight w:val="0"/>
      <w:marTop w:val="0"/>
      <w:marBottom w:val="0"/>
      <w:divBdr>
        <w:top w:val="none" w:sz="0" w:space="0" w:color="auto"/>
        <w:left w:val="none" w:sz="0" w:space="0" w:color="auto"/>
        <w:bottom w:val="none" w:sz="0" w:space="0" w:color="auto"/>
        <w:right w:val="none" w:sz="0" w:space="0" w:color="auto"/>
      </w:divBdr>
    </w:div>
    <w:div w:id="1001586752">
      <w:bodyDiv w:val="1"/>
      <w:marLeft w:val="0"/>
      <w:marRight w:val="0"/>
      <w:marTop w:val="0"/>
      <w:marBottom w:val="0"/>
      <w:divBdr>
        <w:top w:val="none" w:sz="0" w:space="0" w:color="auto"/>
        <w:left w:val="none" w:sz="0" w:space="0" w:color="auto"/>
        <w:bottom w:val="none" w:sz="0" w:space="0" w:color="auto"/>
        <w:right w:val="none" w:sz="0" w:space="0" w:color="auto"/>
      </w:divBdr>
    </w:div>
    <w:div w:id="1015035849">
      <w:bodyDiv w:val="1"/>
      <w:marLeft w:val="0"/>
      <w:marRight w:val="0"/>
      <w:marTop w:val="0"/>
      <w:marBottom w:val="0"/>
      <w:divBdr>
        <w:top w:val="none" w:sz="0" w:space="0" w:color="auto"/>
        <w:left w:val="none" w:sz="0" w:space="0" w:color="auto"/>
        <w:bottom w:val="none" w:sz="0" w:space="0" w:color="auto"/>
        <w:right w:val="none" w:sz="0" w:space="0" w:color="auto"/>
      </w:divBdr>
    </w:div>
    <w:div w:id="1018240659">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28021003">
      <w:bodyDiv w:val="1"/>
      <w:marLeft w:val="0"/>
      <w:marRight w:val="0"/>
      <w:marTop w:val="0"/>
      <w:marBottom w:val="0"/>
      <w:divBdr>
        <w:top w:val="none" w:sz="0" w:space="0" w:color="auto"/>
        <w:left w:val="none" w:sz="0" w:space="0" w:color="auto"/>
        <w:bottom w:val="none" w:sz="0" w:space="0" w:color="auto"/>
        <w:right w:val="none" w:sz="0" w:space="0" w:color="auto"/>
      </w:divBdr>
    </w:div>
    <w:div w:id="1032263687">
      <w:bodyDiv w:val="1"/>
      <w:marLeft w:val="0"/>
      <w:marRight w:val="0"/>
      <w:marTop w:val="0"/>
      <w:marBottom w:val="0"/>
      <w:divBdr>
        <w:top w:val="none" w:sz="0" w:space="0" w:color="auto"/>
        <w:left w:val="none" w:sz="0" w:space="0" w:color="auto"/>
        <w:bottom w:val="none" w:sz="0" w:space="0" w:color="auto"/>
        <w:right w:val="none" w:sz="0" w:space="0" w:color="auto"/>
      </w:divBdr>
    </w:div>
    <w:div w:id="1041369523">
      <w:bodyDiv w:val="1"/>
      <w:marLeft w:val="0"/>
      <w:marRight w:val="0"/>
      <w:marTop w:val="0"/>
      <w:marBottom w:val="0"/>
      <w:divBdr>
        <w:top w:val="none" w:sz="0" w:space="0" w:color="auto"/>
        <w:left w:val="none" w:sz="0" w:space="0" w:color="auto"/>
        <w:bottom w:val="none" w:sz="0" w:space="0" w:color="auto"/>
        <w:right w:val="none" w:sz="0" w:space="0" w:color="auto"/>
      </w:divBdr>
    </w:div>
    <w:div w:id="1086876873">
      <w:bodyDiv w:val="1"/>
      <w:marLeft w:val="0"/>
      <w:marRight w:val="0"/>
      <w:marTop w:val="0"/>
      <w:marBottom w:val="0"/>
      <w:divBdr>
        <w:top w:val="none" w:sz="0" w:space="0" w:color="auto"/>
        <w:left w:val="none" w:sz="0" w:space="0" w:color="auto"/>
        <w:bottom w:val="none" w:sz="0" w:space="0" w:color="auto"/>
        <w:right w:val="none" w:sz="0" w:space="0" w:color="auto"/>
      </w:divBdr>
    </w:div>
    <w:div w:id="1087574199">
      <w:bodyDiv w:val="1"/>
      <w:marLeft w:val="0"/>
      <w:marRight w:val="0"/>
      <w:marTop w:val="0"/>
      <w:marBottom w:val="0"/>
      <w:divBdr>
        <w:top w:val="none" w:sz="0" w:space="0" w:color="auto"/>
        <w:left w:val="none" w:sz="0" w:space="0" w:color="auto"/>
        <w:bottom w:val="none" w:sz="0" w:space="0" w:color="auto"/>
        <w:right w:val="none" w:sz="0" w:space="0" w:color="auto"/>
      </w:divBdr>
    </w:div>
    <w:div w:id="1091773831">
      <w:bodyDiv w:val="1"/>
      <w:marLeft w:val="0"/>
      <w:marRight w:val="0"/>
      <w:marTop w:val="0"/>
      <w:marBottom w:val="0"/>
      <w:divBdr>
        <w:top w:val="none" w:sz="0" w:space="0" w:color="auto"/>
        <w:left w:val="none" w:sz="0" w:space="0" w:color="auto"/>
        <w:bottom w:val="none" w:sz="0" w:space="0" w:color="auto"/>
        <w:right w:val="none" w:sz="0" w:space="0" w:color="auto"/>
      </w:divBdr>
    </w:div>
    <w:div w:id="1119835599">
      <w:bodyDiv w:val="1"/>
      <w:marLeft w:val="0"/>
      <w:marRight w:val="0"/>
      <w:marTop w:val="0"/>
      <w:marBottom w:val="0"/>
      <w:divBdr>
        <w:top w:val="none" w:sz="0" w:space="0" w:color="auto"/>
        <w:left w:val="none" w:sz="0" w:space="0" w:color="auto"/>
        <w:bottom w:val="none" w:sz="0" w:space="0" w:color="auto"/>
        <w:right w:val="none" w:sz="0" w:space="0" w:color="auto"/>
      </w:divBdr>
    </w:div>
    <w:div w:id="1131483721">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45313133">
      <w:bodyDiv w:val="1"/>
      <w:marLeft w:val="0"/>
      <w:marRight w:val="0"/>
      <w:marTop w:val="0"/>
      <w:marBottom w:val="0"/>
      <w:divBdr>
        <w:top w:val="none" w:sz="0" w:space="0" w:color="auto"/>
        <w:left w:val="none" w:sz="0" w:space="0" w:color="auto"/>
        <w:bottom w:val="none" w:sz="0" w:space="0" w:color="auto"/>
        <w:right w:val="none" w:sz="0" w:space="0" w:color="auto"/>
      </w:divBdr>
    </w:div>
    <w:div w:id="1162625275">
      <w:bodyDiv w:val="1"/>
      <w:marLeft w:val="0"/>
      <w:marRight w:val="0"/>
      <w:marTop w:val="0"/>
      <w:marBottom w:val="0"/>
      <w:divBdr>
        <w:top w:val="none" w:sz="0" w:space="0" w:color="auto"/>
        <w:left w:val="none" w:sz="0" w:space="0" w:color="auto"/>
        <w:bottom w:val="none" w:sz="0" w:space="0" w:color="auto"/>
        <w:right w:val="none" w:sz="0" w:space="0" w:color="auto"/>
      </w:divBdr>
    </w:div>
    <w:div w:id="1181703073">
      <w:bodyDiv w:val="1"/>
      <w:marLeft w:val="0"/>
      <w:marRight w:val="0"/>
      <w:marTop w:val="0"/>
      <w:marBottom w:val="0"/>
      <w:divBdr>
        <w:top w:val="none" w:sz="0" w:space="0" w:color="auto"/>
        <w:left w:val="none" w:sz="0" w:space="0" w:color="auto"/>
        <w:bottom w:val="none" w:sz="0" w:space="0" w:color="auto"/>
        <w:right w:val="none" w:sz="0" w:space="0" w:color="auto"/>
      </w:divBdr>
    </w:div>
    <w:div w:id="1182205564">
      <w:bodyDiv w:val="1"/>
      <w:marLeft w:val="0"/>
      <w:marRight w:val="0"/>
      <w:marTop w:val="0"/>
      <w:marBottom w:val="0"/>
      <w:divBdr>
        <w:top w:val="none" w:sz="0" w:space="0" w:color="auto"/>
        <w:left w:val="none" w:sz="0" w:space="0" w:color="auto"/>
        <w:bottom w:val="none" w:sz="0" w:space="0" w:color="auto"/>
        <w:right w:val="none" w:sz="0" w:space="0" w:color="auto"/>
      </w:divBdr>
    </w:div>
    <w:div w:id="1223640665">
      <w:bodyDiv w:val="1"/>
      <w:marLeft w:val="0"/>
      <w:marRight w:val="0"/>
      <w:marTop w:val="0"/>
      <w:marBottom w:val="0"/>
      <w:divBdr>
        <w:top w:val="none" w:sz="0" w:space="0" w:color="auto"/>
        <w:left w:val="none" w:sz="0" w:space="0" w:color="auto"/>
        <w:bottom w:val="none" w:sz="0" w:space="0" w:color="auto"/>
        <w:right w:val="none" w:sz="0" w:space="0" w:color="auto"/>
      </w:divBdr>
    </w:div>
    <w:div w:id="1237932868">
      <w:bodyDiv w:val="1"/>
      <w:marLeft w:val="0"/>
      <w:marRight w:val="0"/>
      <w:marTop w:val="0"/>
      <w:marBottom w:val="0"/>
      <w:divBdr>
        <w:top w:val="none" w:sz="0" w:space="0" w:color="auto"/>
        <w:left w:val="none" w:sz="0" w:space="0" w:color="auto"/>
        <w:bottom w:val="none" w:sz="0" w:space="0" w:color="auto"/>
        <w:right w:val="none" w:sz="0" w:space="0" w:color="auto"/>
      </w:divBdr>
    </w:div>
    <w:div w:id="1241911787">
      <w:bodyDiv w:val="1"/>
      <w:marLeft w:val="0"/>
      <w:marRight w:val="0"/>
      <w:marTop w:val="0"/>
      <w:marBottom w:val="0"/>
      <w:divBdr>
        <w:top w:val="none" w:sz="0" w:space="0" w:color="auto"/>
        <w:left w:val="none" w:sz="0" w:space="0" w:color="auto"/>
        <w:bottom w:val="none" w:sz="0" w:space="0" w:color="auto"/>
        <w:right w:val="none" w:sz="0" w:space="0" w:color="auto"/>
      </w:divBdr>
    </w:div>
    <w:div w:id="1245140899">
      <w:bodyDiv w:val="1"/>
      <w:marLeft w:val="0"/>
      <w:marRight w:val="0"/>
      <w:marTop w:val="0"/>
      <w:marBottom w:val="0"/>
      <w:divBdr>
        <w:top w:val="none" w:sz="0" w:space="0" w:color="auto"/>
        <w:left w:val="none" w:sz="0" w:space="0" w:color="auto"/>
        <w:bottom w:val="none" w:sz="0" w:space="0" w:color="auto"/>
        <w:right w:val="none" w:sz="0" w:space="0" w:color="auto"/>
      </w:divBdr>
    </w:div>
    <w:div w:id="1253853942">
      <w:bodyDiv w:val="1"/>
      <w:marLeft w:val="0"/>
      <w:marRight w:val="0"/>
      <w:marTop w:val="0"/>
      <w:marBottom w:val="0"/>
      <w:divBdr>
        <w:top w:val="none" w:sz="0" w:space="0" w:color="auto"/>
        <w:left w:val="none" w:sz="0" w:space="0" w:color="auto"/>
        <w:bottom w:val="none" w:sz="0" w:space="0" w:color="auto"/>
        <w:right w:val="none" w:sz="0" w:space="0" w:color="auto"/>
      </w:divBdr>
    </w:div>
    <w:div w:id="1256548914">
      <w:bodyDiv w:val="1"/>
      <w:marLeft w:val="0"/>
      <w:marRight w:val="0"/>
      <w:marTop w:val="0"/>
      <w:marBottom w:val="0"/>
      <w:divBdr>
        <w:top w:val="none" w:sz="0" w:space="0" w:color="auto"/>
        <w:left w:val="none" w:sz="0" w:space="0" w:color="auto"/>
        <w:bottom w:val="none" w:sz="0" w:space="0" w:color="auto"/>
        <w:right w:val="none" w:sz="0" w:space="0" w:color="auto"/>
      </w:divBdr>
    </w:div>
    <w:div w:id="1274089464">
      <w:bodyDiv w:val="1"/>
      <w:marLeft w:val="0"/>
      <w:marRight w:val="0"/>
      <w:marTop w:val="0"/>
      <w:marBottom w:val="0"/>
      <w:divBdr>
        <w:top w:val="none" w:sz="0" w:space="0" w:color="auto"/>
        <w:left w:val="none" w:sz="0" w:space="0" w:color="auto"/>
        <w:bottom w:val="none" w:sz="0" w:space="0" w:color="auto"/>
        <w:right w:val="none" w:sz="0" w:space="0" w:color="auto"/>
      </w:divBdr>
    </w:div>
    <w:div w:id="1275594372">
      <w:bodyDiv w:val="1"/>
      <w:marLeft w:val="0"/>
      <w:marRight w:val="0"/>
      <w:marTop w:val="0"/>
      <w:marBottom w:val="0"/>
      <w:divBdr>
        <w:top w:val="none" w:sz="0" w:space="0" w:color="auto"/>
        <w:left w:val="none" w:sz="0" w:space="0" w:color="auto"/>
        <w:bottom w:val="none" w:sz="0" w:space="0" w:color="auto"/>
        <w:right w:val="none" w:sz="0" w:space="0" w:color="auto"/>
      </w:divBdr>
    </w:div>
    <w:div w:id="1290549286">
      <w:bodyDiv w:val="1"/>
      <w:marLeft w:val="0"/>
      <w:marRight w:val="0"/>
      <w:marTop w:val="0"/>
      <w:marBottom w:val="0"/>
      <w:divBdr>
        <w:top w:val="none" w:sz="0" w:space="0" w:color="auto"/>
        <w:left w:val="none" w:sz="0" w:space="0" w:color="auto"/>
        <w:bottom w:val="none" w:sz="0" w:space="0" w:color="auto"/>
        <w:right w:val="none" w:sz="0" w:space="0" w:color="auto"/>
      </w:divBdr>
    </w:div>
    <w:div w:id="1320496794">
      <w:bodyDiv w:val="1"/>
      <w:marLeft w:val="0"/>
      <w:marRight w:val="0"/>
      <w:marTop w:val="0"/>
      <w:marBottom w:val="0"/>
      <w:divBdr>
        <w:top w:val="none" w:sz="0" w:space="0" w:color="auto"/>
        <w:left w:val="none" w:sz="0" w:space="0" w:color="auto"/>
        <w:bottom w:val="none" w:sz="0" w:space="0" w:color="auto"/>
        <w:right w:val="none" w:sz="0" w:space="0" w:color="auto"/>
      </w:divBdr>
    </w:div>
    <w:div w:id="1323898560">
      <w:bodyDiv w:val="1"/>
      <w:marLeft w:val="0"/>
      <w:marRight w:val="0"/>
      <w:marTop w:val="0"/>
      <w:marBottom w:val="0"/>
      <w:divBdr>
        <w:top w:val="none" w:sz="0" w:space="0" w:color="auto"/>
        <w:left w:val="none" w:sz="0" w:space="0" w:color="auto"/>
        <w:bottom w:val="none" w:sz="0" w:space="0" w:color="auto"/>
        <w:right w:val="none" w:sz="0" w:space="0" w:color="auto"/>
      </w:divBdr>
    </w:div>
    <w:div w:id="1330671052">
      <w:bodyDiv w:val="1"/>
      <w:marLeft w:val="0"/>
      <w:marRight w:val="0"/>
      <w:marTop w:val="0"/>
      <w:marBottom w:val="0"/>
      <w:divBdr>
        <w:top w:val="none" w:sz="0" w:space="0" w:color="auto"/>
        <w:left w:val="none" w:sz="0" w:space="0" w:color="auto"/>
        <w:bottom w:val="none" w:sz="0" w:space="0" w:color="auto"/>
        <w:right w:val="none" w:sz="0" w:space="0" w:color="auto"/>
      </w:divBdr>
    </w:div>
    <w:div w:id="1358115293">
      <w:bodyDiv w:val="1"/>
      <w:marLeft w:val="0"/>
      <w:marRight w:val="0"/>
      <w:marTop w:val="0"/>
      <w:marBottom w:val="0"/>
      <w:divBdr>
        <w:top w:val="none" w:sz="0" w:space="0" w:color="auto"/>
        <w:left w:val="none" w:sz="0" w:space="0" w:color="auto"/>
        <w:bottom w:val="none" w:sz="0" w:space="0" w:color="auto"/>
        <w:right w:val="none" w:sz="0" w:space="0" w:color="auto"/>
      </w:divBdr>
    </w:div>
    <w:div w:id="1366566787">
      <w:bodyDiv w:val="1"/>
      <w:marLeft w:val="0"/>
      <w:marRight w:val="0"/>
      <w:marTop w:val="0"/>
      <w:marBottom w:val="0"/>
      <w:divBdr>
        <w:top w:val="none" w:sz="0" w:space="0" w:color="auto"/>
        <w:left w:val="none" w:sz="0" w:space="0" w:color="auto"/>
        <w:bottom w:val="none" w:sz="0" w:space="0" w:color="auto"/>
        <w:right w:val="none" w:sz="0" w:space="0" w:color="auto"/>
      </w:divBdr>
    </w:div>
    <w:div w:id="1382703684">
      <w:bodyDiv w:val="1"/>
      <w:marLeft w:val="0"/>
      <w:marRight w:val="0"/>
      <w:marTop w:val="0"/>
      <w:marBottom w:val="0"/>
      <w:divBdr>
        <w:top w:val="none" w:sz="0" w:space="0" w:color="auto"/>
        <w:left w:val="none" w:sz="0" w:space="0" w:color="auto"/>
        <w:bottom w:val="none" w:sz="0" w:space="0" w:color="auto"/>
        <w:right w:val="none" w:sz="0" w:space="0" w:color="auto"/>
      </w:divBdr>
    </w:div>
    <w:div w:id="1405033862">
      <w:bodyDiv w:val="1"/>
      <w:marLeft w:val="0"/>
      <w:marRight w:val="0"/>
      <w:marTop w:val="0"/>
      <w:marBottom w:val="0"/>
      <w:divBdr>
        <w:top w:val="none" w:sz="0" w:space="0" w:color="auto"/>
        <w:left w:val="none" w:sz="0" w:space="0" w:color="auto"/>
        <w:bottom w:val="none" w:sz="0" w:space="0" w:color="auto"/>
        <w:right w:val="none" w:sz="0" w:space="0" w:color="auto"/>
      </w:divBdr>
    </w:div>
    <w:div w:id="1409419333">
      <w:bodyDiv w:val="1"/>
      <w:marLeft w:val="0"/>
      <w:marRight w:val="0"/>
      <w:marTop w:val="0"/>
      <w:marBottom w:val="0"/>
      <w:divBdr>
        <w:top w:val="none" w:sz="0" w:space="0" w:color="auto"/>
        <w:left w:val="none" w:sz="0" w:space="0" w:color="auto"/>
        <w:bottom w:val="none" w:sz="0" w:space="0" w:color="auto"/>
        <w:right w:val="none" w:sz="0" w:space="0" w:color="auto"/>
      </w:divBdr>
    </w:div>
    <w:div w:id="1414620349">
      <w:bodyDiv w:val="1"/>
      <w:marLeft w:val="0"/>
      <w:marRight w:val="0"/>
      <w:marTop w:val="0"/>
      <w:marBottom w:val="0"/>
      <w:divBdr>
        <w:top w:val="none" w:sz="0" w:space="0" w:color="auto"/>
        <w:left w:val="none" w:sz="0" w:space="0" w:color="auto"/>
        <w:bottom w:val="none" w:sz="0" w:space="0" w:color="auto"/>
        <w:right w:val="none" w:sz="0" w:space="0" w:color="auto"/>
      </w:divBdr>
    </w:div>
    <w:div w:id="1427578041">
      <w:bodyDiv w:val="1"/>
      <w:marLeft w:val="0"/>
      <w:marRight w:val="0"/>
      <w:marTop w:val="0"/>
      <w:marBottom w:val="0"/>
      <w:divBdr>
        <w:top w:val="none" w:sz="0" w:space="0" w:color="auto"/>
        <w:left w:val="none" w:sz="0" w:space="0" w:color="auto"/>
        <w:bottom w:val="none" w:sz="0" w:space="0" w:color="auto"/>
        <w:right w:val="none" w:sz="0" w:space="0" w:color="auto"/>
      </w:divBdr>
    </w:div>
    <w:div w:id="1438065585">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8814079">
      <w:bodyDiv w:val="1"/>
      <w:marLeft w:val="0"/>
      <w:marRight w:val="0"/>
      <w:marTop w:val="0"/>
      <w:marBottom w:val="0"/>
      <w:divBdr>
        <w:top w:val="none" w:sz="0" w:space="0" w:color="auto"/>
        <w:left w:val="none" w:sz="0" w:space="0" w:color="auto"/>
        <w:bottom w:val="none" w:sz="0" w:space="0" w:color="auto"/>
        <w:right w:val="none" w:sz="0" w:space="0" w:color="auto"/>
      </w:divBdr>
    </w:div>
    <w:div w:id="1449395336">
      <w:bodyDiv w:val="1"/>
      <w:marLeft w:val="0"/>
      <w:marRight w:val="0"/>
      <w:marTop w:val="0"/>
      <w:marBottom w:val="0"/>
      <w:divBdr>
        <w:top w:val="none" w:sz="0" w:space="0" w:color="auto"/>
        <w:left w:val="none" w:sz="0" w:space="0" w:color="auto"/>
        <w:bottom w:val="none" w:sz="0" w:space="0" w:color="auto"/>
        <w:right w:val="none" w:sz="0" w:space="0" w:color="auto"/>
      </w:divBdr>
    </w:div>
    <w:div w:id="1519351655">
      <w:bodyDiv w:val="1"/>
      <w:marLeft w:val="0"/>
      <w:marRight w:val="0"/>
      <w:marTop w:val="0"/>
      <w:marBottom w:val="0"/>
      <w:divBdr>
        <w:top w:val="none" w:sz="0" w:space="0" w:color="auto"/>
        <w:left w:val="none" w:sz="0" w:space="0" w:color="auto"/>
        <w:bottom w:val="none" w:sz="0" w:space="0" w:color="auto"/>
        <w:right w:val="none" w:sz="0" w:space="0" w:color="auto"/>
      </w:divBdr>
    </w:div>
    <w:div w:id="1519544628">
      <w:bodyDiv w:val="1"/>
      <w:marLeft w:val="0"/>
      <w:marRight w:val="0"/>
      <w:marTop w:val="0"/>
      <w:marBottom w:val="0"/>
      <w:divBdr>
        <w:top w:val="none" w:sz="0" w:space="0" w:color="auto"/>
        <w:left w:val="none" w:sz="0" w:space="0" w:color="auto"/>
        <w:bottom w:val="none" w:sz="0" w:space="0" w:color="auto"/>
        <w:right w:val="none" w:sz="0" w:space="0" w:color="auto"/>
      </w:divBdr>
    </w:div>
    <w:div w:id="1539202657">
      <w:bodyDiv w:val="1"/>
      <w:marLeft w:val="0"/>
      <w:marRight w:val="0"/>
      <w:marTop w:val="0"/>
      <w:marBottom w:val="0"/>
      <w:divBdr>
        <w:top w:val="none" w:sz="0" w:space="0" w:color="auto"/>
        <w:left w:val="none" w:sz="0" w:space="0" w:color="auto"/>
        <w:bottom w:val="none" w:sz="0" w:space="0" w:color="auto"/>
        <w:right w:val="none" w:sz="0" w:space="0" w:color="auto"/>
      </w:divBdr>
    </w:div>
    <w:div w:id="1558660905">
      <w:bodyDiv w:val="1"/>
      <w:marLeft w:val="0"/>
      <w:marRight w:val="0"/>
      <w:marTop w:val="0"/>
      <w:marBottom w:val="0"/>
      <w:divBdr>
        <w:top w:val="none" w:sz="0" w:space="0" w:color="auto"/>
        <w:left w:val="none" w:sz="0" w:space="0" w:color="auto"/>
        <w:bottom w:val="none" w:sz="0" w:space="0" w:color="auto"/>
        <w:right w:val="none" w:sz="0" w:space="0" w:color="auto"/>
      </w:divBdr>
    </w:div>
    <w:div w:id="1577326650">
      <w:bodyDiv w:val="1"/>
      <w:marLeft w:val="0"/>
      <w:marRight w:val="0"/>
      <w:marTop w:val="0"/>
      <w:marBottom w:val="0"/>
      <w:divBdr>
        <w:top w:val="none" w:sz="0" w:space="0" w:color="auto"/>
        <w:left w:val="none" w:sz="0" w:space="0" w:color="auto"/>
        <w:bottom w:val="none" w:sz="0" w:space="0" w:color="auto"/>
        <w:right w:val="none" w:sz="0" w:space="0" w:color="auto"/>
      </w:divBdr>
    </w:div>
    <w:div w:id="1607535979">
      <w:bodyDiv w:val="1"/>
      <w:marLeft w:val="0"/>
      <w:marRight w:val="0"/>
      <w:marTop w:val="0"/>
      <w:marBottom w:val="0"/>
      <w:divBdr>
        <w:top w:val="none" w:sz="0" w:space="0" w:color="auto"/>
        <w:left w:val="none" w:sz="0" w:space="0" w:color="auto"/>
        <w:bottom w:val="none" w:sz="0" w:space="0" w:color="auto"/>
        <w:right w:val="none" w:sz="0" w:space="0" w:color="auto"/>
      </w:divBdr>
    </w:div>
    <w:div w:id="1618176952">
      <w:bodyDiv w:val="1"/>
      <w:marLeft w:val="0"/>
      <w:marRight w:val="0"/>
      <w:marTop w:val="0"/>
      <w:marBottom w:val="0"/>
      <w:divBdr>
        <w:top w:val="none" w:sz="0" w:space="0" w:color="auto"/>
        <w:left w:val="none" w:sz="0" w:space="0" w:color="auto"/>
        <w:bottom w:val="none" w:sz="0" w:space="0" w:color="auto"/>
        <w:right w:val="none" w:sz="0" w:space="0" w:color="auto"/>
      </w:divBdr>
    </w:div>
    <w:div w:id="1660233669">
      <w:bodyDiv w:val="1"/>
      <w:marLeft w:val="0"/>
      <w:marRight w:val="0"/>
      <w:marTop w:val="0"/>
      <w:marBottom w:val="0"/>
      <w:divBdr>
        <w:top w:val="none" w:sz="0" w:space="0" w:color="auto"/>
        <w:left w:val="none" w:sz="0" w:space="0" w:color="auto"/>
        <w:bottom w:val="none" w:sz="0" w:space="0" w:color="auto"/>
        <w:right w:val="none" w:sz="0" w:space="0" w:color="auto"/>
      </w:divBdr>
    </w:div>
    <w:div w:id="1666205262">
      <w:bodyDiv w:val="1"/>
      <w:marLeft w:val="0"/>
      <w:marRight w:val="0"/>
      <w:marTop w:val="0"/>
      <w:marBottom w:val="0"/>
      <w:divBdr>
        <w:top w:val="none" w:sz="0" w:space="0" w:color="auto"/>
        <w:left w:val="none" w:sz="0" w:space="0" w:color="auto"/>
        <w:bottom w:val="none" w:sz="0" w:space="0" w:color="auto"/>
        <w:right w:val="none" w:sz="0" w:space="0" w:color="auto"/>
      </w:divBdr>
    </w:div>
    <w:div w:id="1707371767">
      <w:bodyDiv w:val="1"/>
      <w:marLeft w:val="0"/>
      <w:marRight w:val="0"/>
      <w:marTop w:val="0"/>
      <w:marBottom w:val="0"/>
      <w:divBdr>
        <w:top w:val="none" w:sz="0" w:space="0" w:color="auto"/>
        <w:left w:val="none" w:sz="0" w:space="0" w:color="auto"/>
        <w:bottom w:val="none" w:sz="0" w:space="0" w:color="auto"/>
        <w:right w:val="none" w:sz="0" w:space="0" w:color="auto"/>
      </w:divBdr>
    </w:div>
    <w:div w:id="1726837295">
      <w:bodyDiv w:val="1"/>
      <w:marLeft w:val="0"/>
      <w:marRight w:val="0"/>
      <w:marTop w:val="0"/>
      <w:marBottom w:val="0"/>
      <w:divBdr>
        <w:top w:val="none" w:sz="0" w:space="0" w:color="auto"/>
        <w:left w:val="none" w:sz="0" w:space="0" w:color="auto"/>
        <w:bottom w:val="none" w:sz="0" w:space="0" w:color="auto"/>
        <w:right w:val="none" w:sz="0" w:space="0" w:color="auto"/>
      </w:divBdr>
    </w:div>
    <w:div w:id="1741638900">
      <w:bodyDiv w:val="1"/>
      <w:marLeft w:val="0"/>
      <w:marRight w:val="0"/>
      <w:marTop w:val="0"/>
      <w:marBottom w:val="0"/>
      <w:divBdr>
        <w:top w:val="none" w:sz="0" w:space="0" w:color="auto"/>
        <w:left w:val="none" w:sz="0" w:space="0" w:color="auto"/>
        <w:bottom w:val="none" w:sz="0" w:space="0" w:color="auto"/>
        <w:right w:val="none" w:sz="0" w:space="0" w:color="auto"/>
      </w:divBdr>
    </w:div>
    <w:div w:id="1747875453">
      <w:bodyDiv w:val="1"/>
      <w:marLeft w:val="0"/>
      <w:marRight w:val="0"/>
      <w:marTop w:val="0"/>
      <w:marBottom w:val="0"/>
      <w:divBdr>
        <w:top w:val="none" w:sz="0" w:space="0" w:color="auto"/>
        <w:left w:val="none" w:sz="0" w:space="0" w:color="auto"/>
        <w:bottom w:val="none" w:sz="0" w:space="0" w:color="auto"/>
        <w:right w:val="none" w:sz="0" w:space="0" w:color="auto"/>
      </w:divBdr>
    </w:div>
    <w:div w:id="1778408548">
      <w:bodyDiv w:val="1"/>
      <w:marLeft w:val="0"/>
      <w:marRight w:val="0"/>
      <w:marTop w:val="0"/>
      <w:marBottom w:val="0"/>
      <w:divBdr>
        <w:top w:val="none" w:sz="0" w:space="0" w:color="auto"/>
        <w:left w:val="none" w:sz="0" w:space="0" w:color="auto"/>
        <w:bottom w:val="none" w:sz="0" w:space="0" w:color="auto"/>
        <w:right w:val="none" w:sz="0" w:space="0" w:color="auto"/>
      </w:divBdr>
    </w:div>
    <w:div w:id="1778521265">
      <w:bodyDiv w:val="1"/>
      <w:marLeft w:val="0"/>
      <w:marRight w:val="0"/>
      <w:marTop w:val="0"/>
      <w:marBottom w:val="0"/>
      <w:divBdr>
        <w:top w:val="none" w:sz="0" w:space="0" w:color="auto"/>
        <w:left w:val="none" w:sz="0" w:space="0" w:color="auto"/>
        <w:bottom w:val="none" w:sz="0" w:space="0" w:color="auto"/>
        <w:right w:val="none" w:sz="0" w:space="0" w:color="auto"/>
      </w:divBdr>
    </w:div>
    <w:div w:id="1780639913">
      <w:bodyDiv w:val="1"/>
      <w:marLeft w:val="0"/>
      <w:marRight w:val="0"/>
      <w:marTop w:val="0"/>
      <w:marBottom w:val="0"/>
      <w:divBdr>
        <w:top w:val="none" w:sz="0" w:space="0" w:color="auto"/>
        <w:left w:val="none" w:sz="0" w:space="0" w:color="auto"/>
        <w:bottom w:val="none" w:sz="0" w:space="0" w:color="auto"/>
        <w:right w:val="none" w:sz="0" w:space="0" w:color="auto"/>
      </w:divBdr>
    </w:div>
    <w:div w:id="1790053855">
      <w:bodyDiv w:val="1"/>
      <w:marLeft w:val="0"/>
      <w:marRight w:val="0"/>
      <w:marTop w:val="0"/>
      <w:marBottom w:val="0"/>
      <w:divBdr>
        <w:top w:val="none" w:sz="0" w:space="0" w:color="auto"/>
        <w:left w:val="none" w:sz="0" w:space="0" w:color="auto"/>
        <w:bottom w:val="none" w:sz="0" w:space="0" w:color="auto"/>
        <w:right w:val="none" w:sz="0" w:space="0" w:color="auto"/>
      </w:divBdr>
    </w:div>
    <w:div w:id="1791703791">
      <w:bodyDiv w:val="1"/>
      <w:marLeft w:val="0"/>
      <w:marRight w:val="0"/>
      <w:marTop w:val="0"/>
      <w:marBottom w:val="0"/>
      <w:divBdr>
        <w:top w:val="none" w:sz="0" w:space="0" w:color="auto"/>
        <w:left w:val="none" w:sz="0" w:space="0" w:color="auto"/>
        <w:bottom w:val="none" w:sz="0" w:space="0" w:color="auto"/>
        <w:right w:val="none" w:sz="0" w:space="0" w:color="auto"/>
      </w:divBdr>
    </w:div>
    <w:div w:id="1848057232">
      <w:bodyDiv w:val="1"/>
      <w:marLeft w:val="0"/>
      <w:marRight w:val="0"/>
      <w:marTop w:val="0"/>
      <w:marBottom w:val="0"/>
      <w:divBdr>
        <w:top w:val="none" w:sz="0" w:space="0" w:color="auto"/>
        <w:left w:val="none" w:sz="0" w:space="0" w:color="auto"/>
        <w:bottom w:val="none" w:sz="0" w:space="0" w:color="auto"/>
        <w:right w:val="none" w:sz="0" w:space="0" w:color="auto"/>
      </w:divBdr>
    </w:div>
    <w:div w:id="1854808051">
      <w:bodyDiv w:val="1"/>
      <w:marLeft w:val="0"/>
      <w:marRight w:val="0"/>
      <w:marTop w:val="0"/>
      <w:marBottom w:val="0"/>
      <w:divBdr>
        <w:top w:val="none" w:sz="0" w:space="0" w:color="auto"/>
        <w:left w:val="none" w:sz="0" w:space="0" w:color="auto"/>
        <w:bottom w:val="none" w:sz="0" w:space="0" w:color="auto"/>
        <w:right w:val="none" w:sz="0" w:space="0" w:color="auto"/>
      </w:divBdr>
    </w:div>
    <w:div w:id="1862087048">
      <w:bodyDiv w:val="1"/>
      <w:marLeft w:val="0"/>
      <w:marRight w:val="0"/>
      <w:marTop w:val="0"/>
      <w:marBottom w:val="0"/>
      <w:divBdr>
        <w:top w:val="none" w:sz="0" w:space="0" w:color="auto"/>
        <w:left w:val="none" w:sz="0" w:space="0" w:color="auto"/>
        <w:bottom w:val="none" w:sz="0" w:space="0" w:color="auto"/>
        <w:right w:val="none" w:sz="0" w:space="0" w:color="auto"/>
      </w:divBdr>
    </w:div>
    <w:div w:id="1868248640">
      <w:bodyDiv w:val="1"/>
      <w:marLeft w:val="0"/>
      <w:marRight w:val="0"/>
      <w:marTop w:val="0"/>
      <w:marBottom w:val="0"/>
      <w:divBdr>
        <w:top w:val="none" w:sz="0" w:space="0" w:color="auto"/>
        <w:left w:val="none" w:sz="0" w:space="0" w:color="auto"/>
        <w:bottom w:val="none" w:sz="0" w:space="0" w:color="auto"/>
        <w:right w:val="none" w:sz="0" w:space="0" w:color="auto"/>
      </w:divBdr>
    </w:div>
    <w:div w:id="1881897225">
      <w:bodyDiv w:val="1"/>
      <w:marLeft w:val="0"/>
      <w:marRight w:val="0"/>
      <w:marTop w:val="0"/>
      <w:marBottom w:val="0"/>
      <w:divBdr>
        <w:top w:val="none" w:sz="0" w:space="0" w:color="auto"/>
        <w:left w:val="none" w:sz="0" w:space="0" w:color="auto"/>
        <w:bottom w:val="none" w:sz="0" w:space="0" w:color="auto"/>
        <w:right w:val="none" w:sz="0" w:space="0" w:color="auto"/>
      </w:divBdr>
    </w:div>
    <w:div w:id="1885170293">
      <w:bodyDiv w:val="1"/>
      <w:marLeft w:val="0"/>
      <w:marRight w:val="0"/>
      <w:marTop w:val="0"/>
      <w:marBottom w:val="0"/>
      <w:divBdr>
        <w:top w:val="none" w:sz="0" w:space="0" w:color="auto"/>
        <w:left w:val="none" w:sz="0" w:space="0" w:color="auto"/>
        <w:bottom w:val="none" w:sz="0" w:space="0" w:color="auto"/>
        <w:right w:val="none" w:sz="0" w:space="0" w:color="auto"/>
      </w:divBdr>
    </w:div>
    <w:div w:id="1906991026">
      <w:bodyDiv w:val="1"/>
      <w:marLeft w:val="0"/>
      <w:marRight w:val="0"/>
      <w:marTop w:val="0"/>
      <w:marBottom w:val="0"/>
      <w:divBdr>
        <w:top w:val="none" w:sz="0" w:space="0" w:color="auto"/>
        <w:left w:val="none" w:sz="0" w:space="0" w:color="auto"/>
        <w:bottom w:val="none" w:sz="0" w:space="0" w:color="auto"/>
        <w:right w:val="none" w:sz="0" w:space="0" w:color="auto"/>
      </w:divBdr>
    </w:div>
    <w:div w:id="1939410195">
      <w:bodyDiv w:val="1"/>
      <w:marLeft w:val="0"/>
      <w:marRight w:val="0"/>
      <w:marTop w:val="0"/>
      <w:marBottom w:val="0"/>
      <w:divBdr>
        <w:top w:val="none" w:sz="0" w:space="0" w:color="auto"/>
        <w:left w:val="none" w:sz="0" w:space="0" w:color="auto"/>
        <w:bottom w:val="none" w:sz="0" w:space="0" w:color="auto"/>
        <w:right w:val="none" w:sz="0" w:space="0" w:color="auto"/>
      </w:divBdr>
    </w:div>
    <w:div w:id="1940259784">
      <w:bodyDiv w:val="1"/>
      <w:marLeft w:val="0"/>
      <w:marRight w:val="0"/>
      <w:marTop w:val="0"/>
      <w:marBottom w:val="0"/>
      <w:divBdr>
        <w:top w:val="none" w:sz="0" w:space="0" w:color="auto"/>
        <w:left w:val="none" w:sz="0" w:space="0" w:color="auto"/>
        <w:bottom w:val="none" w:sz="0" w:space="0" w:color="auto"/>
        <w:right w:val="none" w:sz="0" w:space="0" w:color="auto"/>
      </w:divBdr>
    </w:div>
    <w:div w:id="1983074989">
      <w:bodyDiv w:val="1"/>
      <w:marLeft w:val="0"/>
      <w:marRight w:val="0"/>
      <w:marTop w:val="0"/>
      <w:marBottom w:val="0"/>
      <w:divBdr>
        <w:top w:val="none" w:sz="0" w:space="0" w:color="auto"/>
        <w:left w:val="none" w:sz="0" w:space="0" w:color="auto"/>
        <w:bottom w:val="none" w:sz="0" w:space="0" w:color="auto"/>
        <w:right w:val="none" w:sz="0" w:space="0" w:color="auto"/>
      </w:divBdr>
    </w:div>
    <w:div w:id="1983540761">
      <w:bodyDiv w:val="1"/>
      <w:marLeft w:val="0"/>
      <w:marRight w:val="0"/>
      <w:marTop w:val="0"/>
      <w:marBottom w:val="0"/>
      <w:divBdr>
        <w:top w:val="none" w:sz="0" w:space="0" w:color="auto"/>
        <w:left w:val="none" w:sz="0" w:space="0" w:color="auto"/>
        <w:bottom w:val="none" w:sz="0" w:space="0" w:color="auto"/>
        <w:right w:val="none" w:sz="0" w:space="0" w:color="auto"/>
      </w:divBdr>
    </w:div>
    <w:div w:id="1996687464">
      <w:bodyDiv w:val="1"/>
      <w:marLeft w:val="0"/>
      <w:marRight w:val="0"/>
      <w:marTop w:val="0"/>
      <w:marBottom w:val="0"/>
      <w:divBdr>
        <w:top w:val="none" w:sz="0" w:space="0" w:color="auto"/>
        <w:left w:val="none" w:sz="0" w:space="0" w:color="auto"/>
        <w:bottom w:val="none" w:sz="0" w:space="0" w:color="auto"/>
        <w:right w:val="none" w:sz="0" w:space="0" w:color="auto"/>
      </w:divBdr>
    </w:div>
    <w:div w:id="2014411544">
      <w:bodyDiv w:val="1"/>
      <w:marLeft w:val="0"/>
      <w:marRight w:val="0"/>
      <w:marTop w:val="0"/>
      <w:marBottom w:val="0"/>
      <w:divBdr>
        <w:top w:val="none" w:sz="0" w:space="0" w:color="auto"/>
        <w:left w:val="none" w:sz="0" w:space="0" w:color="auto"/>
        <w:bottom w:val="none" w:sz="0" w:space="0" w:color="auto"/>
        <w:right w:val="none" w:sz="0" w:space="0" w:color="auto"/>
      </w:divBdr>
    </w:div>
    <w:div w:id="2034761788">
      <w:bodyDiv w:val="1"/>
      <w:marLeft w:val="0"/>
      <w:marRight w:val="0"/>
      <w:marTop w:val="0"/>
      <w:marBottom w:val="0"/>
      <w:divBdr>
        <w:top w:val="none" w:sz="0" w:space="0" w:color="auto"/>
        <w:left w:val="none" w:sz="0" w:space="0" w:color="auto"/>
        <w:bottom w:val="none" w:sz="0" w:space="0" w:color="auto"/>
        <w:right w:val="none" w:sz="0" w:space="0" w:color="auto"/>
      </w:divBdr>
    </w:div>
    <w:div w:id="2107382766">
      <w:bodyDiv w:val="1"/>
      <w:marLeft w:val="0"/>
      <w:marRight w:val="0"/>
      <w:marTop w:val="0"/>
      <w:marBottom w:val="0"/>
      <w:divBdr>
        <w:top w:val="none" w:sz="0" w:space="0" w:color="auto"/>
        <w:left w:val="none" w:sz="0" w:space="0" w:color="auto"/>
        <w:bottom w:val="none" w:sz="0" w:space="0" w:color="auto"/>
        <w:right w:val="none" w:sz="0" w:space="0" w:color="auto"/>
      </w:divBdr>
    </w:div>
    <w:div w:id="2108306826">
      <w:bodyDiv w:val="1"/>
      <w:marLeft w:val="0"/>
      <w:marRight w:val="0"/>
      <w:marTop w:val="0"/>
      <w:marBottom w:val="0"/>
      <w:divBdr>
        <w:top w:val="none" w:sz="0" w:space="0" w:color="auto"/>
        <w:left w:val="none" w:sz="0" w:space="0" w:color="auto"/>
        <w:bottom w:val="none" w:sz="0" w:space="0" w:color="auto"/>
        <w:right w:val="none" w:sz="0" w:space="0" w:color="auto"/>
      </w:divBdr>
    </w:div>
    <w:div w:id="2115635652">
      <w:bodyDiv w:val="1"/>
      <w:marLeft w:val="0"/>
      <w:marRight w:val="0"/>
      <w:marTop w:val="0"/>
      <w:marBottom w:val="0"/>
      <w:divBdr>
        <w:top w:val="none" w:sz="0" w:space="0" w:color="auto"/>
        <w:left w:val="none" w:sz="0" w:space="0" w:color="auto"/>
        <w:bottom w:val="none" w:sz="0" w:space="0" w:color="auto"/>
        <w:right w:val="none" w:sz="0" w:space="0" w:color="auto"/>
      </w:divBdr>
    </w:div>
    <w:div w:id="2127849801">
      <w:bodyDiv w:val="1"/>
      <w:marLeft w:val="0"/>
      <w:marRight w:val="0"/>
      <w:marTop w:val="0"/>
      <w:marBottom w:val="0"/>
      <w:divBdr>
        <w:top w:val="none" w:sz="0" w:space="0" w:color="auto"/>
        <w:left w:val="none" w:sz="0" w:space="0" w:color="auto"/>
        <w:bottom w:val="none" w:sz="0" w:space="0" w:color="auto"/>
        <w:right w:val="none" w:sz="0" w:space="0" w:color="auto"/>
      </w:divBdr>
    </w:div>
    <w:div w:id="21325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uria.europa.eu/juris/document/document.jsf?text=&amp;docid=72270&amp;pageIndex=0&amp;doclang=EN&amp;mode=lst&amp;dir=&amp;occ=first&amp;part=1&amp;cid=9945922" TargetMode="External"/><Relationship Id="rId117" Type="http://schemas.openxmlformats.org/officeDocument/2006/relationships/header" Target="header3.xml"/><Relationship Id="rId21" Type="http://schemas.openxmlformats.org/officeDocument/2006/relationships/hyperlink" Target="https://curia.europa.eu/juris/document/document.jsf?text=&amp;docid=45721&amp;pageIndex=0&amp;doclang=EN&amp;mode=lst&amp;dir=&amp;occ=first&amp;part=1&amp;cid=10763343" TargetMode="External"/><Relationship Id="rId42" Type="http://schemas.openxmlformats.org/officeDocument/2006/relationships/hyperlink" Target="https://curia.europa.eu/juris/document/document.jsf?text=&amp;docid=184891&amp;pageIndex=0&amp;doclang=EN&amp;mode=lst&amp;dir=&amp;occ=first&amp;part=1&amp;cid=9777324" TargetMode="External"/><Relationship Id="rId47" Type="http://schemas.openxmlformats.org/officeDocument/2006/relationships/hyperlink" Target="https://curia.europa.eu/juris/document/document.jsf?text=&amp;docid=60336&amp;pageIndex=0&amp;doclang=EN&amp;mode=lst&amp;dir=&amp;occ=first&amp;part=1&amp;cid=1728241" TargetMode="External"/><Relationship Id="rId63" Type="http://schemas.openxmlformats.org/officeDocument/2006/relationships/hyperlink" Target="https://curia.europa.eu/juris/document/document.jsf?text=&amp;docid=125226&amp;pageIndex=0&amp;doclang=EN&amp;mode=lst&amp;dir=&amp;occ=first&amp;part=1&amp;cid=9889670" TargetMode="External"/><Relationship Id="rId68" Type="http://schemas.openxmlformats.org/officeDocument/2006/relationships/hyperlink" Target="https://curia.europa.eu/juris/document/document.jsf?text=C-98%252F14&amp;docid=164955&amp;pageIndex=0&amp;doclang=EN&amp;mode=req&amp;dir=&amp;occ=first&amp;part=1&amp;cid=9889670" TargetMode="External"/><Relationship Id="rId84" Type="http://schemas.openxmlformats.org/officeDocument/2006/relationships/hyperlink" Target="https://curia.europa.eu/juris/document/document.jsf?text=&amp;docid=81369&amp;pageIndex=0&amp;doclang=en&amp;mode=lst&amp;dir=&amp;occ=first&amp;part=1&amp;cid=10904675" TargetMode="External"/><Relationship Id="rId89" Type="http://schemas.openxmlformats.org/officeDocument/2006/relationships/hyperlink" Target="https://curia.europa.eu/juris/document/document.jsf?text=&amp;docid=47026&amp;pageIndex=0&amp;doclang=EN&amp;mode=lst&amp;dir=&amp;occ=first&amp;part=1&amp;cid=8919687" TargetMode="External"/><Relationship Id="rId112" Type="http://schemas.openxmlformats.org/officeDocument/2006/relationships/hyperlink" Target="https://curia.europa.eu/juris/document/document.jsf?text=&amp;docid=74815&amp;pageIndex=0&amp;doclang=EN&amp;mode=lst&amp;dir=&amp;occ=first&amp;part=1&amp;cid=12991943" TargetMode="External"/><Relationship Id="rId16" Type="http://schemas.openxmlformats.org/officeDocument/2006/relationships/hyperlink" Target="https://curia.europa.eu/juris/showPdf.jsf?text=&amp;docid=100042&amp;pageIndex=0&amp;doclang=EN&amp;mode=lst&amp;dir=&amp;occ=first&amp;part=1&amp;cid=10811412" TargetMode="External"/><Relationship Id="rId107" Type="http://schemas.openxmlformats.org/officeDocument/2006/relationships/hyperlink" Target="https://curia.europa.eu/juris/document/document.jsf?text=&amp;docid=217670&amp;pageIndex=0&amp;doclang=EN&amp;mode=lst&amp;dir=&amp;occ=first&amp;part=1&amp;cid=10880021" TargetMode="External"/><Relationship Id="rId11" Type="http://schemas.openxmlformats.org/officeDocument/2006/relationships/hyperlink" Target="https://curia.europa.eu/juris/document/document.jsf?text=&amp;docid=174105&amp;pageIndex=0&amp;doclang=EN&amp;mode=lst&amp;dir=&amp;occ=first&amp;part=1&amp;cid=10904675" TargetMode="External"/><Relationship Id="rId32" Type="http://schemas.openxmlformats.org/officeDocument/2006/relationships/hyperlink" Target="https://curia.europa.eu/juris/document/document.jsf?text=&amp;docid=187343&amp;pageIndex=0&amp;doclang=EN&amp;mode=lst&amp;dir=&amp;occ=first&amp;part=1&amp;cid=9777324" TargetMode="External"/><Relationship Id="rId37" Type="http://schemas.openxmlformats.org/officeDocument/2006/relationships/hyperlink" Target="https://curia.europa.eu/juris/document/document.jsf?text=&amp;docid=85136&amp;pageIndex=0&amp;doclang=EN&amp;mode=lst&amp;dir=&amp;occ=first&amp;part=1&amp;cid=15388659" TargetMode="External"/><Relationship Id="rId53" Type="http://schemas.openxmlformats.org/officeDocument/2006/relationships/hyperlink" Target="https://curia.europa.eu/juris/document/document.jsf?text=&amp;docid=217670&amp;pageIndex=0&amp;doclang=EN&amp;mode=lst&amp;dir=&amp;occ=first&amp;part=1&amp;cid=10880021" TargetMode="External"/><Relationship Id="rId58" Type="http://schemas.openxmlformats.org/officeDocument/2006/relationships/hyperlink" Target="https://curia.europa.eu/juris/document/document.jsf?text=&amp;docid=296555&amp;pageIndex=0&amp;doclang=EN&amp;mode=lst&amp;dir=&amp;occ=first&amp;part=1&amp;cid=14002600" TargetMode="External"/><Relationship Id="rId74" Type="http://schemas.openxmlformats.org/officeDocument/2006/relationships/hyperlink" Target="https://curia.europa.eu/juris/showPdf.jsf?text=&amp;docid=98918&amp;pageIndex=0&amp;doclang=EN&amp;mode=lst&amp;dir=&amp;occ=first&amp;part=1&amp;cid=12994086" TargetMode="External"/><Relationship Id="rId79" Type="http://schemas.openxmlformats.org/officeDocument/2006/relationships/hyperlink" Target="https://curia.europa.eu/juris/showPdf.jsf?text=&amp;docid=44625&amp;pageIndex=0&amp;doclang=en&amp;mode=lst&amp;dir=&amp;occ=first&amp;part=1&amp;cid=7836692" TargetMode="External"/><Relationship Id="rId102" Type="http://schemas.openxmlformats.org/officeDocument/2006/relationships/hyperlink" Target="https://curia.europa.eu/juris/document/document.jsf?docid=59571&amp;mode=req&amp;pageIndex=1&amp;dir=&amp;occ=first&amp;part=1&amp;text=&amp;doclang=EN&amp;cid=8886921" TargetMode="External"/><Relationship Id="rId5" Type="http://schemas.openxmlformats.org/officeDocument/2006/relationships/webSettings" Target="webSettings.xml"/><Relationship Id="rId90" Type="http://schemas.openxmlformats.org/officeDocument/2006/relationships/hyperlink" Target="https://curia.europa.eu/juris/document/document.jsf?text=&amp;docid=59577&amp;pageIndex=0&amp;doclang=FR&amp;mode=lst&amp;dir=&amp;occ=first&amp;part=1&amp;cid=12994086" TargetMode="External"/><Relationship Id="rId95" Type="http://schemas.openxmlformats.org/officeDocument/2006/relationships/hyperlink" Target="https://curia.europa.eu/juris/document/document.jsf?text=&amp;docid=133244&amp;pageIndex=0&amp;doclang=EN&amp;mode=lst&amp;dir=&amp;occ=first&amp;part=1&amp;cid=10904675" TargetMode="External"/><Relationship Id="rId22" Type="http://schemas.openxmlformats.org/officeDocument/2006/relationships/hyperlink" Target="https://curia.europa.eu/juris/document/document.jsf?text=&amp;docid=45811&amp;pageIndex=0&amp;doclang=EN&amp;mode=lst&amp;dir=&amp;occ=first&amp;part=1&amp;cid=8919687" TargetMode="External"/><Relationship Id="rId27" Type="http://schemas.openxmlformats.org/officeDocument/2006/relationships/hyperlink" Target="https://curia.europa.eu/juris/document/document.jsf?text=&amp;docid=81451&amp;pageIndex=0&amp;doclang=EN&amp;mode=lst&amp;dir=&amp;occ=first&amp;part=1&amp;cid=9945922" TargetMode="External"/><Relationship Id="rId43" Type="http://schemas.openxmlformats.org/officeDocument/2006/relationships/hyperlink" Target="https://curia.europa.eu/juris/document/document.jsf?text=&amp;docid=187343&amp;pageIndex=0&amp;doclang=EN&amp;mode=lst&amp;dir=&amp;occ=first&amp;part=1&amp;cid=9777324" TargetMode="External"/><Relationship Id="rId48" Type="http://schemas.openxmlformats.org/officeDocument/2006/relationships/hyperlink" Target="https://curia.europa.eu/juris/document/document.jsf?text=&amp;docid=174105&amp;pageIndex=0&amp;doclang=EN&amp;mode=lst&amp;dir=&amp;occ=first&amp;part=1&amp;cid=10904675" TargetMode="External"/><Relationship Id="rId64" Type="http://schemas.openxmlformats.org/officeDocument/2006/relationships/hyperlink" Target="https://curia.europa.eu/juris/document/document.jsf?text=&amp;docid=184891&amp;pageIndex=0&amp;doclang=EN&amp;mode=lst&amp;dir=&amp;occ=first&amp;part=1&amp;cid=9777324" TargetMode="External"/><Relationship Id="rId69" Type="http://schemas.openxmlformats.org/officeDocument/2006/relationships/hyperlink" Target="https://curia.europa.eu/juris/document/document.jsf?text=&amp;docid=232154&amp;pageIndex=0&amp;doclang=EN&amp;mode=lst&amp;dir=&amp;occ=first&amp;part=1&amp;cid=10904675"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curia.europa.eu/juris/document/document.jsf?text=&amp;docid=58142&amp;pageIndex=0&amp;doclang=EN&amp;mode=lst&amp;dir=&amp;occ=first&amp;part=1&amp;cid=8886921" TargetMode="External"/><Relationship Id="rId85" Type="http://schemas.openxmlformats.org/officeDocument/2006/relationships/hyperlink" Target="https://curia.europa.eu/juris/document/document.jsf?text=&amp;docid=133244&amp;pageIndex=0&amp;doclang=en&amp;mode=lst&amp;dir=&amp;occ=first&amp;part=1&amp;cid=10904675" TargetMode="External"/><Relationship Id="rId12" Type="http://schemas.openxmlformats.org/officeDocument/2006/relationships/hyperlink" Target="https://eur-lex.europa.eu/legal-content/EN/TXT/PDF/?uri=CELEX:61994CJ0194" TargetMode="External"/><Relationship Id="rId17" Type="http://schemas.openxmlformats.org/officeDocument/2006/relationships/hyperlink" Target="https://curia.europa.eu/juris/showPdf.jsf?text=&amp;docid=99992&amp;pageIndex=0&amp;doclang=EN&amp;mode=lst&amp;dir=&amp;occ=first&amp;part=1&amp;cid=10811412" TargetMode="External"/><Relationship Id="rId33" Type="http://schemas.openxmlformats.org/officeDocument/2006/relationships/hyperlink" Target="https://curia.europa.eu/juris/document/document.jsf?text=&amp;docid=206117&amp;pageIndex=0&amp;doclang=EN&amp;mode=lst&amp;dir=&amp;occ=first&amp;part=1&amp;cid=9777324" TargetMode="External"/><Relationship Id="rId38" Type="http://schemas.openxmlformats.org/officeDocument/2006/relationships/hyperlink" Target="https://curia.europa.eu/juris/document/document.jsf?text=&amp;docid=125226&amp;pageIndex=0&amp;doclang=EN&amp;mode=lst&amp;dir=&amp;occ=first&amp;part=1&amp;cid=9889670" TargetMode="External"/><Relationship Id="rId59" Type="http://schemas.openxmlformats.org/officeDocument/2006/relationships/hyperlink" Target="https://curia.europa.eu/juris/showPdf.jsf?text=&amp;docid=43725&amp;pageIndex=0&amp;doclang=EN&amp;mode=lst&amp;dir=&amp;occ=first&amp;part=1&amp;cid=10811412" TargetMode="External"/><Relationship Id="rId103" Type="http://schemas.openxmlformats.org/officeDocument/2006/relationships/hyperlink" Target="https://curia.europa.eu/juris/document/document.jsf?text=&amp;docid=133244&amp;pageIndex=0&amp;doclang=EN&amp;mode=lst&amp;dir=&amp;occ=first&amp;part=1&amp;cid=10904675" TargetMode="External"/><Relationship Id="rId108" Type="http://schemas.openxmlformats.org/officeDocument/2006/relationships/hyperlink" Target="https://curia.europa.eu/juris/document/document.jsf?text=&amp;docid=45692&amp;pageIndex=0&amp;doclang=EN&amp;mode=lst&amp;dir=&amp;occ=first&amp;part=1&amp;cid=10763343" TargetMode="External"/><Relationship Id="rId54" Type="http://schemas.openxmlformats.org/officeDocument/2006/relationships/hyperlink" Target="https://curia.europa.eu/juris/document/document.jsf?text=&amp;docid=221791&amp;pageIndex=0&amp;doclang=EN&amp;mode=lst&amp;dir=&amp;occ=first&amp;part=1&amp;cid=10861227" TargetMode="External"/><Relationship Id="rId70" Type="http://schemas.openxmlformats.org/officeDocument/2006/relationships/hyperlink" Target="https://curia.europa.eu/juris/document/document.jsf?text=&amp;docid=268786&amp;pageIndex=0&amp;doclang=EN&amp;mode=lst&amp;dir=&amp;occ=first&amp;part=1&amp;cid=14061944" TargetMode="External"/><Relationship Id="rId75" Type="http://schemas.openxmlformats.org/officeDocument/2006/relationships/hyperlink" Target="https://curia.europa.eu/juris/showPdf.jsf?text=&amp;docid=98889&amp;pageIndex=0&amp;doclang=EN&amp;mode=lst&amp;dir=&amp;occ=first&amp;part=1&amp;cid=12994086" TargetMode="External"/><Relationship Id="rId91" Type="http://schemas.openxmlformats.org/officeDocument/2006/relationships/hyperlink" Target="https://curia.europa.eu/juris/document/document.jsf?text=&amp;docid=59577&amp;pageIndex=0&amp;doclang=FR&amp;mode=lst&amp;dir=&amp;occ=first&amp;part=1&amp;cid=12994086" TargetMode="External"/><Relationship Id="rId96" Type="http://schemas.openxmlformats.org/officeDocument/2006/relationships/hyperlink" Target="https://curia.europa.eu/juris/showPdf.jsf?text=&amp;docid=100042&amp;pageIndex=0&amp;doclang=EN&amp;mode=lst&amp;dir=&amp;occ=first&amp;part=1&amp;cid=108114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uria.europa.eu/juris/document/document.jsf?text=&amp;docid=45877&amp;pageIndex=0&amp;doclang=EN&amp;mode=lst&amp;dir=&amp;occ=first&amp;part=1&amp;cid=8919687" TargetMode="External"/><Relationship Id="rId28" Type="http://schemas.openxmlformats.org/officeDocument/2006/relationships/hyperlink" Target="https://curia.europa.eu/juris/document/document.jsf?text=&amp;docid=85136&amp;pageIndex=0&amp;doclang=EN&amp;mode=lst&amp;dir=&amp;occ=first&amp;part=1&amp;cid=15388659" TargetMode="External"/><Relationship Id="rId49" Type="http://schemas.openxmlformats.org/officeDocument/2006/relationships/hyperlink" Target="https://curia.europa.eu/juris/document/document.jsf?text=&amp;docid=184507&amp;pageIndex=0&amp;doclang=EN&amp;mode=lst&amp;dir=&amp;occ=first&amp;part=1&amp;cid=9889670"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eur-lex.europa.eu/eli/dir/1983/189/oj/eng" TargetMode="External"/><Relationship Id="rId31" Type="http://schemas.openxmlformats.org/officeDocument/2006/relationships/hyperlink" Target="https://curia.europa.eu/juris/document/document.jsf?text=&amp;docid=184891&amp;pageIndex=0&amp;doclang=EN&amp;mode=lst&amp;dir=&amp;occ=first&amp;part=1&amp;cid=9777324" TargetMode="External"/><Relationship Id="rId44" Type="http://schemas.openxmlformats.org/officeDocument/2006/relationships/hyperlink" Target="https://curia.europa.eu/juris/document/document.jsf?text=C-727%252F17&amp;docid=226861&amp;pageIndex=0&amp;doclang=EN&amp;mode=req&amp;dir=&amp;occ=first&amp;part=1&amp;cid=9761408" TargetMode="External"/><Relationship Id="rId52" Type="http://schemas.openxmlformats.org/officeDocument/2006/relationships/hyperlink" Target="https://curia.europa.eu/juris/document/document.jsf?text=&amp;docid=206117&amp;pageIndex=0&amp;doclang=EN&amp;mode=lst&amp;dir=&amp;occ=first&amp;part=1&amp;cid=9777324" TargetMode="External"/><Relationship Id="rId60" Type="http://schemas.openxmlformats.org/officeDocument/2006/relationships/hyperlink" Target="https://curia.europa.eu/juris/document/document.jsf?text=&amp;docid=58142&amp;pageIndex=0&amp;doclang=EN&amp;mode=lst&amp;dir=&amp;occ=first&amp;part=1&amp;cid=8886921" TargetMode="External"/><Relationship Id="rId65" Type="http://schemas.openxmlformats.org/officeDocument/2006/relationships/hyperlink" Target="https://curia.europa.eu/juris/document/document.jsf?text=C-727%252F17&amp;docid=226861&amp;pageIndex=0&amp;doclang=EN&amp;mode=req&amp;dir=&amp;occ=first&amp;part=1&amp;cid=9761408" TargetMode="External"/><Relationship Id="rId73" Type="http://schemas.openxmlformats.org/officeDocument/2006/relationships/hyperlink" Target="https://curia.europa.eu/juris/showPdf.jsf?text=&amp;docid=98488&amp;pageIndex=0&amp;doclang=EN&amp;mode=lst&amp;dir=&amp;occ=first&amp;part=1&amp;cid=12994086" TargetMode="External"/><Relationship Id="rId78" Type="http://schemas.openxmlformats.org/officeDocument/2006/relationships/hyperlink" Target="https://curia.europa.eu/juris/showPdf.jsf?text=&amp;docid=98765&amp;pageIndex=0&amp;doclang=EN&amp;mode=lst&amp;dir=&amp;occ=first&amp;part=1&amp;cid=10811412" TargetMode="External"/><Relationship Id="rId81" Type="http://schemas.openxmlformats.org/officeDocument/2006/relationships/hyperlink" Target="https://curia.europa.eu/juris/document/document.jsf?text=&amp;docid=296555&amp;pageIndex=0&amp;doclang=en&amp;mode=lst&amp;dir=&amp;occ=first&amp;part=1&amp;cid=14002600" TargetMode="External"/><Relationship Id="rId86" Type="http://schemas.openxmlformats.org/officeDocument/2006/relationships/hyperlink" Target="https://curia.europa.eu/juris/document/document.jsf?text=&amp;docid=154825&amp;pageIndex=0&amp;doclang=EN&amp;mode=lst&amp;dir=&amp;occ=first&amp;part=1&amp;cid=9889670" TargetMode="External"/><Relationship Id="rId94" Type="http://schemas.openxmlformats.org/officeDocument/2006/relationships/hyperlink" Target="https://curia.europa.eu/juris/document/document.jsf?text=&amp;docid=271072&amp;pageIndex=0&amp;doclang=EN&amp;mode=lst&amp;dir=&amp;occ=first&amp;part=1&amp;cid=14061944" TargetMode="External"/><Relationship Id="rId99" Type="http://schemas.openxmlformats.org/officeDocument/2006/relationships/hyperlink" Target="https://curia.europa.eu/juris/showPdf.jsf?text=&amp;docid=99809&amp;pageIndex=0&amp;doclang=en&amp;mode=lst&amp;dir=&amp;occ=first&amp;part=1&amp;cid=10904675" TargetMode="External"/><Relationship Id="rId101" Type="http://schemas.openxmlformats.org/officeDocument/2006/relationships/hyperlink" Target="https://curia.europa.eu/juris/document/document.jsf?text=&amp;docid=47386&amp;pageIndex=0&amp;doclang=EN&amp;mode=lst&amp;dir=&amp;occ=first&amp;part=1&amp;cid=8919687" TargetMode="External"/><Relationship Id="rId4" Type="http://schemas.openxmlformats.org/officeDocument/2006/relationships/settings" Target="settings.xml"/><Relationship Id="rId9" Type="http://schemas.openxmlformats.org/officeDocument/2006/relationships/hyperlink" Target="https://eur-lex.europa.eu/legal-content/EN/TXT/PDF/?uri=CELEX:01998L0034-19980805" TargetMode="External"/><Relationship Id="rId13" Type="http://schemas.openxmlformats.org/officeDocument/2006/relationships/hyperlink" Target="https://curia.europa.eu/juris/showPdf.jsf?text=&amp;docid=100864&amp;pageIndex=0&amp;doclang=EN&amp;mode=lst&amp;dir=&amp;occ=first&amp;part=1&amp;cid=10811412" TargetMode="External"/><Relationship Id="rId18" Type="http://schemas.openxmlformats.org/officeDocument/2006/relationships/hyperlink" Target="https://curia.europa.eu/juris/document/document.jsf?text=&amp;docid=44578&amp;pageIndex=0&amp;doclang=EN&amp;mode=lst&amp;dir=&amp;occ=first&amp;part=1&amp;cid=10779034" TargetMode="External"/><Relationship Id="rId39" Type="http://schemas.openxmlformats.org/officeDocument/2006/relationships/hyperlink" Target="https://curia.europa.eu/juris/document/document.jsf?text=&amp;docid=154825&amp;pageIndex=0&amp;doclang=EN&amp;mode=lst&amp;dir=&amp;occ=first&amp;part=1&amp;cid=9889670" TargetMode="External"/><Relationship Id="rId109" Type="http://schemas.openxmlformats.org/officeDocument/2006/relationships/hyperlink" Target="https://curia.europa.eu/juris/document/document.jsf?text=&amp;docid=165924&amp;pageIndex=0&amp;doclang=EN&amp;mode=lst&amp;dir=&amp;occ=first&amp;part=1&amp;cid=12979947" TargetMode="External"/><Relationship Id="rId34" Type="http://schemas.openxmlformats.org/officeDocument/2006/relationships/hyperlink" Target="https://curia.europa.eu/juris/document/document.jsf?text=C-727%252F17&amp;docid=226861&amp;pageIndex=0&amp;doclang=EN&amp;mode=req&amp;dir=&amp;occ=first&amp;part=1&amp;cid=9761408" TargetMode="External"/><Relationship Id="rId50" Type="http://schemas.openxmlformats.org/officeDocument/2006/relationships/hyperlink" Target="https://curia.europa.eu/juris/document/document.jsf?text=&amp;docid=198047&amp;pageIndex=0&amp;doclang=EN&amp;mode=lst&amp;dir=&amp;occ=first&amp;part=1&amp;cid=10880021" TargetMode="External"/><Relationship Id="rId55" Type="http://schemas.openxmlformats.org/officeDocument/2006/relationships/hyperlink" Target="https://curia.europa.eu/juris/document/document.jsf?text=&amp;docid=232725&amp;pageIndex=0&amp;doclang=EN&amp;mode=lst&amp;dir=&amp;occ=first&amp;part=1&amp;cid=7847310" TargetMode="External"/><Relationship Id="rId76" Type="http://schemas.openxmlformats.org/officeDocument/2006/relationships/hyperlink" Target="https://curia.europa.eu/juris/document/document.jsf?text=&amp;docid=59577&amp;pageIndex=0&amp;doclang=FR&amp;mode=lst&amp;dir=&amp;occ=first&amp;part=1&amp;cid=12994086" TargetMode="External"/><Relationship Id="rId97" Type="http://schemas.openxmlformats.org/officeDocument/2006/relationships/hyperlink" Target="https://curia.europa.eu/juris/document/document.jsf?text=&amp;docid=43935&amp;pageIndex=0&amp;doclang=EN&amp;mode=lst&amp;dir=&amp;occ=first&amp;part=1&amp;cid=10779034" TargetMode="External"/><Relationship Id="rId104" Type="http://schemas.openxmlformats.org/officeDocument/2006/relationships/hyperlink" Target="https://curia.europa.eu/juris/document/document.jsf?text=&amp;docid=174105&amp;pageIndex=0&amp;doclang=EN&amp;mode=lst&amp;dir=&amp;occ=first&amp;part=1&amp;cid=10904675"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uria.europa.eu/juris/document/document.jsf?text=&amp;docid=60336&amp;pageIndex=0&amp;doclang=EN&amp;mode=lst&amp;dir=&amp;occ=first&amp;part=1&amp;cid=1728241" TargetMode="External"/><Relationship Id="rId92" Type="http://schemas.openxmlformats.org/officeDocument/2006/relationships/hyperlink" Target="https://curia.europa.eu/juris/document/document.jsf?text=&amp;docid=232150&amp;pageIndex=0&amp;doclang=EN&amp;mode=lst&amp;dir=&amp;occ=first&amp;part=1&amp;cid=12985433" TargetMode="External"/><Relationship Id="rId2" Type="http://schemas.openxmlformats.org/officeDocument/2006/relationships/numbering" Target="numbering.xml"/><Relationship Id="rId29" Type="http://schemas.openxmlformats.org/officeDocument/2006/relationships/hyperlink" Target="https://curia.europa.eu/juris/document/document.jsf?text=&amp;docid=125226&amp;pageIndex=0&amp;doclang=EN&amp;mode=lst&amp;dir=&amp;occ=first&amp;part=1&amp;cid=9889670" TargetMode="External"/><Relationship Id="rId24" Type="http://schemas.openxmlformats.org/officeDocument/2006/relationships/hyperlink" Target="https://curia.europa.eu/juris/document/document.jsf?text=&amp;docid=47386&amp;pageIndex=0&amp;doclang=EN&amp;mode=lst&amp;dir=&amp;occ=first&amp;part=1&amp;cid=8919687" TargetMode="External"/><Relationship Id="rId40" Type="http://schemas.openxmlformats.org/officeDocument/2006/relationships/hyperlink" Target="https://curia.europa.eu/juris/document/document.jsf?text=C-98%252F14&amp;docid=164955&amp;pageIndex=0&amp;doclang=EN&amp;mode=req&amp;dir=&amp;occ=first&amp;part=1&amp;cid=9889670" TargetMode="External"/><Relationship Id="rId45" Type="http://schemas.openxmlformats.org/officeDocument/2006/relationships/hyperlink" Target="https://curia.europa.eu/juris/document/document.jsf?text=&amp;docid=267738&amp;pageIndex=0&amp;doclang=EN&amp;mode=lst&amp;dir=&amp;occ=first&amp;part=1&amp;cid=14061944" TargetMode="External"/><Relationship Id="rId66" Type="http://schemas.openxmlformats.org/officeDocument/2006/relationships/hyperlink" Target="https://curia.europa.eu/juris/showPdf.jsf?text=&amp;docid=100864&amp;pageIndex=0&amp;doclang=EN&amp;mode=lst&amp;dir=&amp;occ=first&amp;part=1&amp;cid=10811412" TargetMode="External"/><Relationship Id="rId87" Type="http://schemas.openxmlformats.org/officeDocument/2006/relationships/hyperlink" Target="https://curia.europa.eu/juris/showPdf.jsf?text=&amp;docid=99992&amp;pageIndex=0&amp;doclang=EN&amp;mode=lst&amp;dir=&amp;occ=first&amp;part=1&amp;cid=10811412" TargetMode="External"/><Relationship Id="rId110" Type="http://schemas.openxmlformats.org/officeDocument/2006/relationships/hyperlink" Target="https://curia.europa.eu/juris/document/document.jsf?text=&amp;docid=280771&amp;pageIndex=0&amp;doclang=EN&amp;mode=lst&amp;dir=&amp;occ=first&amp;part=1&amp;cid=14061944" TargetMode="External"/><Relationship Id="rId115" Type="http://schemas.openxmlformats.org/officeDocument/2006/relationships/footer" Target="footer1.xml"/><Relationship Id="rId61" Type="http://schemas.openxmlformats.org/officeDocument/2006/relationships/hyperlink" Target="https://curia.europa.eu/juris/document/document.jsf?docid=59571&amp;mode=req&amp;pageIndex=1&amp;dir=&amp;occ=first&amp;part=1&amp;text=&amp;doclang=EN&amp;cid=8886921" TargetMode="External"/><Relationship Id="rId82" Type="http://schemas.openxmlformats.org/officeDocument/2006/relationships/hyperlink" Target="https://curia.europa.eu/juris/showPdf.jsf?text=&amp;docid=43725&amp;pageIndex=0&amp;doclang=en&amp;mode=lst&amp;dir=&amp;occ=first&amp;part=1&amp;cid=10904675" TargetMode="External"/><Relationship Id="rId19" Type="http://schemas.openxmlformats.org/officeDocument/2006/relationships/hyperlink" Target="https://curia.europa.eu/juris/document/document.jsf?text=&amp;docid=47026&amp;pageIndex=0&amp;doclang=EN&amp;mode=lst&amp;dir=&amp;occ=first&amp;part=1&amp;cid=8919687" TargetMode="External"/><Relationship Id="rId14" Type="http://schemas.openxmlformats.org/officeDocument/2006/relationships/hyperlink" Target="https://curia.europa.eu/juris/document/document.jsf?text=&amp;docid=45811&amp;pageIndex=0&amp;doclang=EN&amp;mode=lst&amp;dir=&amp;occ=first&amp;part=1&amp;cid=8919687" TargetMode="External"/><Relationship Id="rId30" Type="http://schemas.openxmlformats.org/officeDocument/2006/relationships/hyperlink" Target="https://curia.europa.eu/juris/document/document.jsf?text=&amp;docid=154825&amp;pageIndex=0&amp;doclang=EN&amp;mode=lst&amp;dir=&amp;occ=first&amp;part=1&amp;cid=9889670" TargetMode="External"/><Relationship Id="rId35" Type="http://schemas.openxmlformats.org/officeDocument/2006/relationships/hyperlink" Target="https://curia.europa.eu/juris/document/document.jsf?text=&amp;docid=232725&amp;pageIndex=0&amp;doclang=EN&amp;mode=lst&amp;dir=&amp;occ=first&amp;part=1&amp;cid=7847310" TargetMode="External"/><Relationship Id="rId56" Type="http://schemas.openxmlformats.org/officeDocument/2006/relationships/hyperlink" Target="https://curia.europa.eu/juris/document/document.jsf?text=&amp;docid=234921&amp;pageIndex=0&amp;doclang=EN&amp;mode=lst&amp;dir=&amp;occ=first&amp;part=1&amp;cid=10811412" TargetMode="External"/><Relationship Id="rId77" Type="http://schemas.openxmlformats.org/officeDocument/2006/relationships/hyperlink" Target="https://curia.europa.eu/juris/document/document.jsf?text=&amp;docid=185545&amp;pageIndex=0&amp;doclang=EN&amp;mode=lst&amp;dir=&amp;occ=first&amp;part=1&amp;cid=13138882" TargetMode="External"/><Relationship Id="rId100" Type="http://schemas.openxmlformats.org/officeDocument/2006/relationships/hyperlink" Target="https://curia.europa.eu/juris/document/document.jsf?text=&amp;docid=43935&amp;pageIndex=0&amp;doclang=EN&amp;mode=lst&amp;dir=&amp;occ=first&amp;part=1&amp;cid=10779034" TargetMode="External"/><Relationship Id="rId105" Type="http://schemas.openxmlformats.org/officeDocument/2006/relationships/hyperlink" Target="https://curia.europa.eu/juris/document/document.jsf?text=&amp;docid=177362&amp;pageIndex=0&amp;doclang=FR&amp;mode=lst&amp;dir=&amp;occ=first&amp;part=1&amp;cid=12982840" TargetMode="External"/><Relationship Id="rId8" Type="http://schemas.openxmlformats.org/officeDocument/2006/relationships/hyperlink" Target="https://eur-lex.europa.eu/eli/dir/2015/1535/oj/eng" TargetMode="External"/><Relationship Id="rId51" Type="http://schemas.openxmlformats.org/officeDocument/2006/relationships/hyperlink" Target="https://curia.europa.eu/juris/document/document.jsf?text=&amp;docid=200882&amp;pageIndex=0&amp;doclang=EN&amp;mode=lst&amp;dir=&amp;occ=first&amp;part=1&amp;cid=10880021" TargetMode="External"/><Relationship Id="rId72" Type="http://schemas.openxmlformats.org/officeDocument/2006/relationships/hyperlink" Target="https://curia.europa.eu/juris/document/document.jsf?text=&amp;docid=217670&amp;pageIndex=0&amp;doclang=EN&amp;mode=lst&amp;dir=&amp;occ=first&amp;part=1&amp;cid=10880021" TargetMode="External"/><Relationship Id="rId93" Type="http://schemas.openxmlformats.org/officeDocument/2006/relationships/hyperlink" Target="https://curia.europa.eu/juris/document/document.jsf?text=&amp;docid=226981&amp;pageIndex=0&amp;doclang=EN&amp;mode=lst&amp;dir=&amp;occ=first&amp;part=1&amp;cid=5973987" TargetMode="External"/><Relationship Id="rId98" Type="http://schemas.openxmlformats.org/officeDocument/2006/relationships/hyperlink" Target="https://curia.europa.eu/juris/document/document.jsf?text=&amp;docid=58142&amp;pageIndex=0&amp;doclang=EN&amp;mode=lst&amp;dir=&amp;occ=first&amp;part=1&amp;cid=8886921" TargetMode="External"/><Relationship Id="rId3" Type="http://schemas.openxmlformats.org/officeDocument/2006/relationships/styles" Target="styles.xml"/><Relationship Id="rId25" Type="http://schemas.openxmlformats.org/officeDocument/2006/relationships/hyperlink" Target="https://curia.europa.eu/juris/document/document.jsf?text=&amp;docid=59577&amp;pageIndex=0&amp;doclang=FR&amp;mode=lst&amp;dir=&amp;occ=first&amp;part=1&amp;cid=12994086" TargetMode="External"/><Relationship Id="rId46" Type="http://schemas.openxmlformats.org/officeDocument/2006/relationships/hyperlink" Target="https://curia.europa.eu/juris/document/document.jsf?text=&amp;docid=271072&amp;pageIndex=0&amp;doclang=EN&amp;mode=lst&amp;dir=&amp;occ=first&amp;part=1&amp;cid=14061944" TargetMode="External"/><Relationship Id="rId67" Type="http://schemas.openxmlformats.org/officeDocument/2006/relationships/hyperlink" Target="https://curia.europa.eu/juris/document/document.jsf?text=&amp;docid=154825&amp;pageIndex=0&amp;doclang=EN&amp;mode=lst&amp;dir=&amp;occ=first&amp;part=1&amp;cid=9889670" TargetMode="External"/><Relationship Id="rId116" Type="http://schemas.openxmlformats.org/officeDocument/2006/relationships/footer" Target="footer2.xml"/><Relationship Id="rId20" Type="http://schemas.openxmlformats.org/officeDocument/2006/relationships/hyperlink" Target="https://curia.europa.eu/juris/document/document.jsf?text=&amp;docid=45692&amp;pageIndex=0&amp;doclang=EN&amp;mode=lst&amp;dir=&amp;occ=first&amp;part=1&amp;cid=10763343" TargetMode="External"/><Relationship Id="rId41" Type="http://schemas.openxmlformats.org/officeDocument/2006/relationships/hyperlink" Target="https://curia.europa.eu/juris/document/document.jsf?text=&amp;docid=184507&amp;pageIndex=0&amp;doclang=EN&amp;mode=lst&amp;dir=&amp;occ=first&amp;part=1&amp;cid=9889670" TargetMode="External"/><Relationship Id="rId62" Type="http://schemas.openxmlformats.org/officeDocument/2006/relationships/hyperlink" Target="https://curia.europa.eu/juris/document/document.jsf?text=&amp;docid=63941&amp;pageIndex=0&amp;doclang=EN&amp;mode=lst&amp;dir=&amp;occ=first&amp;part=1&amp;cid=8886921" TargetMode="External"/><Relationship Id="rId83" Type="http://schemas.openxmlformats.org/officeDocument/2006/relationships/hyperlink" Target="https://curia.europa.eu/juris/document/document.jsf?text=&amp;docid=43839&amp;pageIndex=0&amp;doclang=EN&amp;mode=lst&amp;dir=&amp;occ=first&amp;part=1&amp;cid=10811412" TargetMode="External"/><Relationship Id="rId88" Type="http://schemas.openxmlformats.org/officeDocument/2006/relationships/hyperlink" Target="https://curia.europa.eu/juris/document/document.jsf?text=&amp;docid=45692&amp;pageIndex=0&amp;doclang=EN&amp;mode=lst&amp;dir=&amp;occ=first&amp;part=1&amp;cid=10763343" TargetMode="External"/><Relationship Id="rId111" Type="http://schemas.openxmlformats.org/officeDocument/2006/relationships/hyperlink" Target="https://curia.europa.eu/juris/document/document.jsf?text=C-98%252F14&amp;docid=164955&amp;pageIndex=0&amp;doclang=EN&amp;mode=req&amp;dir=&amp;occ=first&amp;part=1&amp;cid=9889670" TargetMode="External"/><Relationship Id="rId15" Type="http://schemas.openxmlformats.org/officeDocument/2006/relationships/hyperlink" Target="https://curia.europa.eu/juris/document/document.jsf?text=&amp;docid=234921&amp;pageIndex=0&amp;doclang=EN&amp;mode=lst&amp;dir=&amp;occ=first&amp;part=1&amp;cid=7739074" TargetMode="External"/><Relationship Id="rId36" Type="http://schemas.openxmlformats.org/officeDocument/2006/relationships/hyperlink" Target="https://curia.europa.eu/juris/document/document.jsf?text=&amp;docid=58142&amp;pageIndex=0&amp;doclang=EN&amp;mode=lst&amp;dir=&amp;occ=first&amp;part=1&amp;cid=8886921" TargetMode="External"/><Relationship Id="rId57" Type="http://schemas.openxmlformats.org/officeDocument/2006/relationships/hyperlink" Target="https://curia.europa.eu/juris/document/document.jsf?text=&amp;docid=283281&amp;pageIndex=0&amp;doclang=EN&amp;mode=lst&amp;dir=&amp;occ=first&amp;part=1&amp;cid=14054161" TargetMode="External"/><Relationship Id="rId106" Type="http://schemas.openxmlformats.org/officeDocument/2006/relationships/hyperlink" Target="https://curia.europa.eu/juris/document/document.jsf?text=&amp;docid=187343&amp;pageIndex=0&amp;doclang=EN&amp;mode=lst&amp;dir=&amp;occ=first&amp;part=1&amp;cid=9777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775D-4CE0-4D03-B06F-D0E02752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32170</Words>
  <Characters>174042</Characters>
  <Application>Microsoft Office Word</Application>
  <DocSecurity>0</DocSecurity>
  <Lines>3053</Lines>
  <Paragraphs>900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 Brice (GROW)</dc:creator>
  <cp:keywords/>
  <dc:description/>
  <cp:lastModifiedBy>ANTOSOVA Sarka (GROW)</cp:lastModifiedBy>
  <cp:revision>2</cp:revision>
  <cp:lastPrinted>2025-05-13T14:46:00Z</cp:lastPrinted>
  <dcterms:created xsi:type="dcterms:W3CDTF">2025-09-23T15:13:00Z</dcterms:created>
  <dcterms:modified xsi:type="dcterms:W3CDTF">2025-09-23T15:13:00Z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2025-04-02T09:32:03Z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b0298679-eda4-43ad-8f56-7a14780fa596</vt:lpwstr>
  </property>
  <property fmtid="{D5CDD505-2E9C-101B-9397-08002B2CF9AE}" pid="8" name="MSIP_Label_6bd9ddd1-4d20-43f6-abfa-fc3c07406f94_ContentBits">
    <vt:lpwstr>0</vt:lpwstr>
  </property>
</Properties>
</file>