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CC" w:rsidRPr="006A7DD8" w:rsidRDefault="006966CC" w:rsidP="006966CC">
      <w:pPr>
        <w:jc w:val="center"/>
        <w:rPr>
          <w:rFonts w:ascii="Courier New" w:hAnsi="Courier New"/>
          <w:sz w:val="20"/>
        </w:rPr>
      </w:pPr>
      <w:bookmarkStart w:id="0" w:name="_GoBack"/>
      <w:bookmarkEnd w:id="0"/>
      <w:r>
        <w:rPr>
          <w:rFonts w:ascii="Courier New" w:hAnsi="Courier New"/>
          <w:sz w:val="20"/>
        </w:rPr>
        <w:t>1. ------IND- 2018 0086 F-- ES-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sz w:val="24"/>
              </w:rPr>
              <w:t>REPÚBLICA FRANCESA</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Ministerio de Solidaridad </w:t>
            </w:r>
          </w:p>
          <w:p w:rsidR="00E3244E" w:rsidRPr="001A1E04" w:rsidRDefault="00E3244E" w:rsidP="00C401FA">
            <w:pPr>
              <w:jc w:val="center"/>
            </w:pPr>
            <w:r>
              <w:rPr>
                <w:rFonts w:ascii="Times New Roman" w:hAnsi="Times New Roman"/>
                <w:sz w:val="24"/>
              </w:rPr>
              <w:t>y Sanidad</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 xml:space="preserve">Decreto n.° </w:t>
      </w:r>
      <w:r>
        <w:tab/>
      </w:r>
      <w:r>
        <w:tab/>
      </w:r>
      <w:r>
        <w:rPr>
          <w:rFonts w:ascii="Times New Roman" w:hAnsi="Times New Roman"/>
          <w:b/>
          <w:sz w:val="24"/>
        </w:rPr>
        <w:t>de</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por el que se modifica el Decreto n.º 2010-1207, de 12 de octubre de 2010, relativo a la indicación de la tasa de absorción específica de los equipos terminales radioeléctricos</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NOR: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 xml:space="preserve">Personas a las que afecta: </w:t>
      </w:r>
      <w:r>
        <w:rPr>
          <w:rFonts w:ascii="Times New Roman" w:hAnsi="Times New Roman"/>
          <w:i/>
          <w:sz w:val="24"/>
        </w:rPr>
        <w:t>fabricantes (o sus representantes), importadores, distribuidores de equipos radioeléctricos.</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Objeto:</w:t>
      </w:r>
      <w:r>
        <w:rPr>
          <w:rFonts w:ascii="Times New Roman" w:hAnsi="Times New Roman"/>
          <w:i/>
          <w:sz w:val="24"/>
        </w:rPr>
        <w:t xml:space="preserve"> disposición relativa a la información ofrecida al consumidor sobre el valor de la tasa de absorción específica de los equipos radioeléctricos sujetos a una obligación de medición (teléfonos móviles, tablets, juguetes radiocontrolados...).</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Entrada en vigor:</w:t>
      </w:r>
      <w:r>
        <w:t xml:space="preserve"> </w:t>
      </w:r>
      <w:r>
        <w:rPr>
          <w:rFonts w:ascii="Times New Roman" w:hAnsi="Times New Roman"/>
          <w:i/>
          <w:sz w:val="24"/>
        </w:rPr>
        <w:t>el presente Decreto entrará en vigor el 1 de julio de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Nota explicativa:</w:t>
      </w:r>
      <w:r>
        <w:rPr>
          <w:rFonts w:ascii="Times New Roman" w:hAnsi="Times New Roman"/>
          <w:i/>
          <w:sz w:val="24"/>
        </w:rPr>
        <w:t xml:space="preserve"> El artículo 4 de la Ley n.º 2015-136, de 9 de febrero de 2015, sobre sobriedad, transparencia, información y consulta en materia de exposición a las ondas electromagnéticas ha modificado el artículo 184 de la Ley n.º 2010-788, de 12 de julio de 2010, sobre compromiso nacional con el medioambiente. Este artículo establecía la obligación de mostrar la tasa de absorción específica para los dispositivos de telefonía móvil únicamente. La Ley n.º 2015-136, de 9 de febrero de 2015, amplía la obligación de mostrar la tasa de absorción específica a los equipos radioeléctricos sujetos a una obligación de medición. El presente texto ajusta las disposiciones reglamentarias existentes a la que prevé la Ley, al ampliar las disposiciones del Decreto n.º 2010-1207, de 12 de octubre de 2010, relativo a la obligación de mostrar la tasa de absorción específica, al conjunto de equipos radioeléctricos sometidos a una obligación de medición.</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Referencias</w:t>
      </w:r>
      <w:r>
        <w:t xml:space="preserve">: </w:t>
      </w:r>
      <w:r>
        <w:rPr>
          <w:rFonts w:ascii="Times New Roman" w:hAnsi="Times New Roman"/>
          <w:i/>
          <w:sz w:val="24"/>
        </w:rPr>
        <w:t>el presente Decreto podrá consultarse en el sitio web de Légifrance (http://www.legifrance.gouv.fr/).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El Primer Ministro,</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el informe de la Ministra de Solidaridad y Sanidad;</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rPr>
        <w:t>Visto en particular el artículo 7 de la Directiva (UE) 2014/53 del Parlamento Europeo y del Consejo, de 16 de abril de 2014, relativa a la armonización de las legislaciones de los Estados miembros sobre la comercialización de equipos radioeléctricos, y por la que se deroga la Directiva 1999/5/CE;</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rPr>
        <w:lastRenderedPageBreak/>
        <w:t>Vista la Directiva (UE) 2015/1535 del Parlamento Europeo y del Consejo, de 9 de septiembre de 2015, por la que se establece un procedimiento de información en materia de reglamentaciones técnicas y de reglas relativas a los servicios de la sociedad de la información;</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el Código de consumo y en particular el artículo L. 412-1;</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Vistos los artículos L. 32, L. 36-5, R. 9 y R. 20-11 del Código de Correos y Comunicaciones Electrónicas;</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en particular el artículo 184 de la Ley n.º 2010-788, de 12 de julio de 2010, sobre compromiso nacional con el medioambiente, en su redacción derivada de la Ley n.º 2015-136, de 9 de febrero de 2015, sobre sobriedad, transparencia, información y consulta en materia de exposición a las ondas electromagnéticas;</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Visto el Decreto n.º 2010-1207, de 12 de octubre de 2010, relativo a la indicación de la tasa de absorción específica de los equipos terminales radioeléctricos;</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Vista la notificación n.º […] dirigida a la Comisión Europea en aplicación de la Directiva (UE) 2015/1535;</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el dictamen de la Autoridad de Regulación de las Comunicaciones Electrónicas y Correos de […];</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Previa consulta al Consejo de Estado (sección social),</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DECRETA</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Artículo 1</w:t>
      </w:r>
    </w:p>
    <w:p w:rsidR="005F63EE" w:rsidRPr="001A1E04" w:rsidRDefault="005F63EE" w:rsidP="005F63EE">
      <w:pPr>
        <w:pStyle w:val="BodyText"/>
        <w:spacing w:after="0"/>
      </w:pPr>
    </w:p>
    <w:p w:rsidR="00156A3A" w:rsidRPr="001A1E04" w:rsidRDefault="00156A3A" w:rsidP="005F63EE">
      <w:pPr>
        <w:pStyle w:val="BodyText"/>
        <w:spacing w:after="0"/>
        <w:rPr>
          <w:bCs/>
        </w:rPr>
      </w:pPr>
      <w:r>
        <w:t>En el título del Decreto, de 12 de octubre de 2010, anteriormente mencionado, la palabra «terminales» queda suprimida;</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Artículo 2</w:t>
      </w:r>
    </w:p>
    <w:p w:rsidR="00017BB0" w:rsidRPr="001A1E04"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 xml:space="preserve">En el artículo 1 del Decreto, de 12 de octubre de 2010, anteriormente mencionado, las palabras «equipos terminales radioeléctricos mencionados en los puntos 10 y 11 del artículo 32 de dicho Código» se sustituyen por las palabras «equipos radioeléctricos de potencia superior a los 20 mW y susceptibles de ser usados de manera razonablemente previsible cerca de la cabeza, o a una distancia inferior o igual a 20 cm del cuerpo humano,» </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Artículo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El presente Decreto entrará en vigor el 1 de julio de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Artículo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La Ministra de Solidaridad y Sanidad y el Ministro de Economía y Finanzas serán los responsables, dentro de sus respectivas competencias, de la ejecución del presente Decreto, que se publicará en el Boletín Oficial de la República Francesa.</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Hecho el</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Por el Primer Ministro: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La Ministra de Solidaridad </w:t>
            </w:r>
          </w:p>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y Sanidad,</w:t>
            </w:r>
          </w:p>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p>
          <w:p w:rsidR="00B77E79" w:rsidRPr="001A1E04" w:rsidRDefault="00B77E79" w:rsidP="00862B6C">
            <w:pPr>
              <w:widowControl w:val="0"/>
              <w:autoSpaceDE w:val="0"/>
              <w:autoSpaceDN w:val="0"/>
              <w:adjustRightInd w:val="0"/>
              <w:rPr>
                <w:rFonts w:ascii="Times New Roman" w:eastAsiaTheme="minorEastAsia" w:hAnsi="Times New Roman" w:cs="Times New Roman"/>
                <w:sz w:val="24"/>
                <w:szCs w:val="24"/>
              </w:rPr>
            </w:pPr>
          </w:p>
        </w:tc>
        <w:tc>
          <w:tcPr>
            <w:tcW w:w="4890" w:type="dxa"/>
          </w:tcPr>
          <w:p w:rsidR="00830851"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El Ministro de Economía, </w:t>
            </w:r>
          </w:p>
          <w:p w:rsidR="00221FA6" w:rsidRPr="001A1E04" w:rsidRDefault="00862B6C" w:rsidP="00862B6C">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y Finanzas,</w:t>
            </w:r>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9"/>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1E" w:rsidRDefault="00445D1E" w:rsidP="006028FC">
      <w:pPr>
        <w:spacing w:after="0" w:line="240" w:lineRule="auto"/>
      </w:pPr>
      <w:r>
        <w:separator/>
      </w:r>
    </w:p>
  </w:endnote>
  <w:endnote w:type="continuationSeparator" w:id="0">
    <w:p w:rsidR="00445D1E" w:rsidRDefault="00445D1E"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1E" w:rsidRDefault="00445D1E" w:rsidP="006028FC">
      <w:pPr>
        <w:spacing w:after="0" w:line="240" w:lineRule="auto"/>
      </w:pPr>
      <w:r>
        <w:separator/>
      </w:r>
    </w:p>
  </w:footnote>
  <w:footnote w:type="continuationSeparator" w:id="0">
    <w:p w:rsidR="00445D1E" w:rsidRDefault="00445D1E"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830"/>
      <w:docPartObj>
        <w:docPartGallery w:val="Watermarks"/>
        <w:docPartUnique/>
      </w:docPartObj>
    </w:sdtPr>
    <w:sdtEndPr/>
    <w:sdtContent>
      <w:p w:rsidR="006028FC" w:rsidRDefault="00C04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4C9"/>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D2ED-4D2D-4F73-A572-EC5634F4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702</Words>
  <Characters>3747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FERNANDEZ, Paula</cp:lastModifiedBy>
  <cp:revision>4</cp:revision>
  <cp:lastPrinted>2018-02-05T16:38:00Z</cp:lastPrinted>
  <dcterms:created xsi:type="dcterms:W3CDTF">2018-02-05T16:37:00Z</dcterms:created>
  <dcterms:modified xsi:type="dcterms:W3CDTF">2018-03-06T10:08:00Z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