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 xml:space="preserve">LAKI nro </w:t>
      </w:r>
      <w:proofErr w:type="gramStart"/>
      <w:r>
        <w:rPr>
          <w:rFonts w:ascii="Times New Roman" w:hAnsi="Times New Roman"/>
          <w:b/>
          <w:sz w:val="36"/>
        </w:rPr>
        <w:t>2021-1109</w:t>
      </w:r>
      <w:proofErr w:type="gramEnd"/>
      <w:r>
        <w:rPr>
          <w:rFonts w:ascii="Times New Roman" w:hAnsi="Times New Roman"/>
          <w:b/>
          <w:sz w:val="36"/>
        </w:rPr>
        <w:t>, annettu 24 päivänä elokuuta 2021, tasavallan periaatteiden noudattamisen vahvistamisesta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 osasto: TASAVALLAN PERIAATTEIDEN JA YHTEISKUNNAN TOIMINNAN VÄHIMMÄISVAATIMUSTEN NOUDATTAMISEN VARMISTAMINEN (1–67 §)</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 osasto: USKONNON HARJOITTAMISEN VAPAUDEN VARMISTAMINEN (68–88 §)</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III osasto: ERINÄISET SÄÄNNÖKSET (89–90 §)</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IV osasto: MERENTAKAISIA ALUEITA KOSKEVAT SÄÄNNÖKSET (91–103§)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I osasto: TASAVALLAN PERIAATTEIDEN JA YHTEISKUNNAN TOIMINNAN VÄHIMMÄISVAATIMUSTEN NOUDATTAMISEN VARMISTAMINEN (1–67 §)</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IV luku: Verkossa esiintyvät vihapuheen ja laittoman verkkosisällön torjuntaa koskevat säännökset (36–48 §)</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39 §</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Muutetaan luottamuksesta digitaaliseen talouteen 21 päivänä kesäkuuta 2004 annetun lain nro 2004-575 I luvun II jakso seuraavasti:</w:t>
      </w:r>
      <w:r>
        <w:rPr>
          <w:rFonts w:ascii="Times New Roman" w:hAnsi="Times New Roman"/>
          <w:sz w:val="24"/>
        </w:rPr>
        <w:br/>
        <w:t>1. Muutetaan 6 §:n I momentin 8 kohta seuraavasti:</w:t>
      </w:r>
      <w:r>
        <w:rPr>
          <w:rFonts w:ascii="Times New Roman" w:hAnsi="Times New Roman"/>
          <w:sz w:val="24"/>
        </w:rPr>
        <w:br/>
        <w:t>a) Laaditaan alku seuraavasti: ”8. Tuomioistuimen puheenjohtaja voi pääasiaa koskevaa nopeutettua menettelyä noudattaen määrätä kenelle tahansa henkilölle, joka todennäköisesti osallistuu siihen, kaikkia toimenpiteitä... (loppu säilyy muuttumattomana).”;</w:t>
      </w:r>
      <w:r>
        <w:rPr>
          <w:rFonts w:ascii="Times New Roman" w:hAnsi="Times New Roman"/>
          <w:sz w:val="24"/>
        </w:rPr>
        <w:br/>
        <w:t>b) Lisätään alakohta seuraavasti:</w:t>
      </w:r>
      <w:r>
        <w:rPr>
          <w:rFonts w:ascii="Times New Roman" w:hAnsi="Times New Roman"/>
          <w:sz w:val="24"/>
        </w:rPr>
        <w:br/>
      </w:r>
      <w:bookmarkStart w:id="0" w:name="_Hlk95733043"/>
      <w:r>
        <w:rPr>
          <w:rFonts w:ascii="Times New Roman" w:hAnsi="Times New Roman"/>
          <w:sz w:val="24"/>
        </w:rPr>
        <w:t>”</w:t>
      </w:r>
      <w:bookmarkEnd w:id="0"/>
      <w:r>
        <w:rPr>
          <w:rFonts w:ascii="Times New Roman" w:hAnsi="Times New Roman"/>
          <w:sz w:val="24"/>
        </w:rPr>
        <w:t>Hän määrittää henkilöt tai henkilöryhmät, joille hallintoviranomainen voi tehdä pyynnön 6-3 §:ssä säädetyin edellytyksin.”;</w:t>
      </w:r>
      <w:r>
        <w:rPr>
          <w:rFonts w:ascii="Times New Roman" w:hAnsi="Times New Roman"/>
          <w:sz w:val="24"/>
        </w:rPr>
        <w:br/>
        <w:t>2. Lisätään 6-2 §:n jälkeen 6-3 § seuraavasti:</w:t>
      </w:r>
    </w:p>
    <w:p w14:paraId="6D881305" w14:textId="7BEF231E"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122D8" w:rsidRPr="00E122D8">
        <w:rPr>
          <w:rFonts w:ascii="Times New Roman" w:hAnsi="Times New Roman"/>
          <w:sz w:val="24"/>
        </w:rPr>
        <w:t>”</w:t>
      </w:r>
      <w:proofErr w:type="gramStart"/>
      <w:r>
        <w:rPr>
          <w:rFonts w:ascii="Times New Roman" w:hAnsi="Times New Roman"/>
          <w:sz w:val="24"/>
        </w:rPr>
        <w:t>6</w:t>
      </w:r>
      <w:r w:rsidR="00E122D8">
        <w:rPr>
          <w:rFonts w:ascii="Times New Roman" w:hAnsi="Times New Roman"/>
          <w:sz w:val="24"/>
        </w:rPr>
        <w:t>-</w:t>
      </w:r>
      <w:r>
        <w:rPr>
          <w:rFonts w:ascii="Times New Roman" w:hAnsi="Times New Roman"/>
          <w:sz w:val="24"/>
        </w:rPr>
        <w:t>3</w:t>
      </w:r>
      <w:proofErr w:type="gramEnd"/>
      <w:r>
        <w:rPr>
          <w:rFonts w:ascii="Times New Roman" w:hAnsi="Times New Roman"/>
          <w:sz w:val="24"/>
        </w:rPr>
        <w:t xml:space="preserve"> §. </w:t>
      </w:r>
      <w:r w:rsidR="00E122D8">
        <w:rPr>
          <w:rFonts w:ascii="Times New Roman" w:hAnsi="Times New Roman"/>
          <w:sz w:val="24"/>
        </w:rPr>
        <w:t>-</w:t>
      </w:r>
      <w:r>
        <w:rPr>
          <w:rFonts w:ascii="Times New Roman" w:hAnsi="Times New Roman"/>
          <w:sz w:val="24"/>
        </w:rPr>
        <w:t xml:space="preserve"> Kun täytäntöönpanokelpoisessa tuomioistuimen päätöksessä on määrätty toimenpiteistä, joilla estetään pääsy sellaiseen verkossa toimivaan julkiseen viestintäpalveluun, jonka sisältö on 6 §:n I momentin 7 kohdassa tarkoitettu rikos, hallintoviranomainen voi kenen tahansa, jota asia koskee, pyynnöstä pyytää 6 §:n I momentin 1 tai 2 kohdassa tarkoitettuja henkilöitä tai ketä tahansa kyseissä tuomioistuimen päätöksessä tarkoitettua henkilöä tai henkilöryhmää ja enintään kyseisessä tuomioistuimen päätöksessä määrättyjä toimenpiteitä varten jäljellä olevan ajan, estämään pääsyn kaikkiin julkisiin verkkoviestintäpalveluihin, joiden se on aiemmin todennut toistavan kyseisessä päätöksessä mainitun palvelun sisällön kokonaan tai merkittävässä määrin.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xml:space="preserve">Samoin edellytyksin ja saman ajanjakson ajan hallintoviranomainen voi myös pyytää sellaisen palvelun operaattoria, joka perustuu luokitteluun tai indeksointiin tietokonealgoritmien avulla ja joka sisältää kolmannen osapuolen tarjoamaa tai verkkoon laittamaa sisältöä, lopettamaan viittauksen web-osoitteisiin, jotka antavat </w:t>
      </w:r>
      <w:r>
        <w:rPr>
          <w:rFonts w:ascii="Times New Roman" w:hAnsi="Times New Roman"/>
          <w:sz w:val="24"/>
        </w:rPr>
        <w:lastRenderedPageBreak/>
        <w:t>yleisölle pääsyn tällaisiin tämän pykälän ensimmäisessä momentissa verkkoviestintäpalveluihin.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Hallintoviranomaisen on pidettävä ajan tasalla olevaa luetteloa tämän pykälän samassa ensimmäisessä momentissa tarkoitetuista verkkoviestintäpalveluista, joiden osalta on pyydetty pääsyn estämistä kyseisen ensimmäisen momentin mukaisesti, sekä verkko-osoitteista, jotka antavat pääsyn tällaisiin palveluihin, ja asetettava luettelo mainostajien, niiden edustajien ja yleisen verolain 299 artiklan II momentin 2 kohdassa tarkoitettujen palvelujen saataville. Nämä palvelut on sisällytettävä tähän luetteloon oikeusviranomaisen määräämien toimenpiteiden jäljellä olevan ajan. Mainostajien, niiden edustajien ja samassa 2 kohdassa tarkoitettujen palvelujen, jotka ovat liikesuhteessa kyseisessä luettelossa olevien verkkoviestintäpalvelujen kanssa erityisesti mainosten julkaisemista varten, on koko kyseiseen luetteloon rekisteröinnin ajan julkistettava verkkosivustollaan vähintään kerran vuodessa kyseisen suhteen olemassaolo ja mainittava ne vuosikertomuksessa, jos niiden on tehtävä sellainen.</w:t>
      </w:r>
      <w:r>
        <w:rPr>
          <w:rFonts w:ascii="Times New Roman" w:hAnsi="Times New Roman"/>
          <w:sz w:val="24"/>
        </w:rPr>
        <w:br/>
        <w:t>”Jos näitä palveluja ei ole estetty tai lykätty tämän artiklan mukaisesti, tuomioistuimen puheenjohtaja voi pääasiaa koskevan nopeutetun menettelyn mukaisesti määrätä kaikista toimenpiteistä, joiden tarkoituksena on lopettaa pääsy näiden palvelujen sisältöön.”</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42 §</w:t>
      </w:r>
    </w:p>
    <w:p w14:paraId="67CC2320" w14:textId="7E7B3C3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E122D8">
        <w:rPr>
          <w:rFonts w:ascii="Times New Roman" w:hAnsi="Times New Roman"/>
          <w:sz w:val="24"/>
        </w:rPr>
        <w:t>-</w:t>
      </w:r>
      <w:r>
        <w:rPr>
          <w:rFonts w:ascii="Times New Roman" w:hAnsi="Times New Roman"/>
          <w:sz w:val="24"/>
        </w:rPr>
        <w:t xml:space="preserve"> Muutetaan luottamuksesta digitaaliseen talouteen 21 päivänä kesäkuuta 2004 annetun lain nro 2004-575 I luvun II jakso seuraavasti:</w:t>
      </w:r>
      <w:r>
        <w:rPr>
          <w:rFonts w:ascii="Times New Roman" w:hAnsi="Times New Roman"/>
          <w:sz w:val="24"/>
        </w:rPr>
        <w:br/>
        <w:t>1. Muutetaan 6 §:n I momentin 7 kohdan 4 alakohta seuraavasti:</w:t>
      </w:r>
      <w:r>
        <w:rPr>
          <w:rFonts w:ascii="Times New Roman" w:hAnsi="Times New Roman"/>
          <w:sz w:val="24"/>
        </w:rPr>
        <w:br/>
        <w:t>a) Ensimmäistä virkettä täydennetään seuraavasti: ”ja julkistettava keinot, joita ne käyttävät tämän 7 kohdan kolmannessa alakohdassa tarkoitetun laittoman toiminnan torjuntaan”;</w:t>
      </w:r>
      <w:r>
        <w:rPr>
          <w:rFonts w:ascii="Times New Roman" w:hAnsi="Times New Roman"/>
          <w:sz w:val="24"/>
        </w:rPr>
        <w:br/>
        <w:t>b) Lisätään saman ensimmäisen virkkeen jälkeen virke seuraavasti: ”Näitä velvoitteita ei sovelleta 6-4 §:n I momentissa tarkoitettuihin toimijoihin samassa I momentissa tarkoitetun sisällön levittämisen estämiseksi.”;</w:t>
      </w:r>
      <w:r>
        <w:rPr>
          <w:rFonts w:ascii="Times New Roman" w:hAnsi="Times New Roman"/>
          <w:sz w:val="24"/>
        </w:rPr>
        <w:br/>
        <w:t>c) Muutetaan toinen virke seuraavasti:</w:t>
      </w:r>
    </w:p>
    <w:p w14:paraId="1D6C7618" w14:textId="34B197B1"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122D8">
        <w:rPr>
          <w:rFonts w:ascii="Times New Roman" w:hAnsi="Times New Roman"/>
          <w:sz w:val="24"/>
        </w:rPr>
        <w:t>-</w:t>
      </w:r>
      <w:r>
        <w:rPr>
          <w:rFonts w:ascii="Times New Roman" w:hAnsi="Times New Roman"/>
          <w:sz w:val="24"/>
        </w:rPr>
        <w:t xml:space="preserve"> korvataan alussa ilmaisu ”He” ilmaisulla ”Edellä I momentin 1 ja 2 kohdassa tarkoitetut henkilöt”;</w:t>
      </w:r>
      <w:r>
        <w:rPr>
          <w:rFonts w:ascii="Times New Roman" w:hAnsi="Times New Roman"/>
          <w:sz w:val="24"/>
        </w:rPr>
        <w:br/>
      </w:r>
      <w:r w:rsidR="00E122D8">
        <w:rPr>
          <w:rFonts w:ascii="Times New Roman" w:hAnsi="Times New Roman"/>
          <w:sz w:val="24"/>
        </w:rPr>
        <w:t>-</w:t>
      </w:r>
      <w:r>
        <w:rPr>
          <w:rFonts w:ascii="Times New Roman" w:hAnsi="Times New Roman"/>
          <w:sz w:val="24"/>
        </w:rPr>
        <w:t xml:space="preserve"> poistetaan ilmaisu ”toisaalta”;</w:t>
      </w:r>
      <w:r>
        <w:rPr>
          <w:rFonts w:ascii="Times New Roman" w:hAnsi="Times New Roman"/>
          <w:sz w:val="24"/>
        </w:rPr>
        <w:br/>
      </w:r>
      <w:r w:rsidR="00E122D8">
        <w:rPr>
          <w:rFonts w:ascii="Times New Roman" w:hAnsi="Times New Roman"/>
          <w:sz w:val="24"/>
        </w:rPr>
        <w:t>-</w:t>
      </w:r>
      <w:r>
        <w:rPr>
          <w:rFonts w:ascii="Times New Roman" w:hAnsi="Times New Roman"/>
          <w:sz w:val="24"/>
        </w:rPr>
        <w:t xml:space="preserve"> korvataan ilmaisu ”edellisessä alakohdassa” ilmaisulla ”tämän 7 kohdan kolmannessa alakohdassa”;</w:t>
      </w:r>
      <w:r>
        <w:rPr>
          <w:rFonts w:ascii="Times New Roman" w:hAnsi="Times New Roman"/>
          <w:sz w:val="24"/>
        </w:rPr>
        <w:br/>
      </w:r>
      <w:r w:rsidR="00E122D8">
        <w:rPr>
          <w:rFonts w:ascii="Times New Roman" w:hAnsi="Times New Roman"/>
          <w:sz w:val="24"/>
        </w:rPr>
        <w:t>-</w:t>
      </w:r>
      <w:r>
        <w:rPr>
          <w:rFonts w:ascii="Times New Roman" w:hAnsi="Times New Roman"/>
          <w:sz w:val="24"/>
        </w:rPr>
        <w:t xml:space="preserve"> poistetaan loppu ilmaisun ”palvelut” jälkeen;</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2. Lisätään </w:t>
      </w:r>
      <w:proofErr w:type="gramStart"/>
      <w:r>
        <w:rPr>
          <w:rFonts w:ascii="Times New Roman" w:hAnsi="Times New Roman"/>
          <w:sz w:val="24"/>
        </w:rPr>
        <w:t>6-2</w:t>
      </w:r>
      <w:proofErr w:type="gramEnd"/>
      <w:r>
        <w:rPr>
          <w:rFonts w:ascii="Times New Roman" w:hAnsi="Times New Roman"/>
          <w:sz w:val="24"/>
        </w:rPr>
        <w:t xml:space="preserve"> §:n jälkeen 6-4 § seuraavasti:</w:t>
      </w:r>
    </w:p>
    <w:p w14:paraId="120777EB" w14:textId="2ACAD6C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w:t>
      </w:r>
      <w:proofErr w:type="gramStart"/>
      <w:r>
        <w:rPr>
          <w:rFonts w:ascii="Times New Roman" w:hAnsi="Times New Roman"/>
          <w:sz w:val="24"/>
        </w:rPr>
        <w:t>6-4</w:t>
      </w:r>
      <w:proofErr w:type="gramEnd"/>
      <w:r>
        <w:rPr>
          <w:rFonts w:ascii="Times New Roman" w:hAnsi="Times New Roman"/>
          <w:sz w:val="24"/>
        </w:rPr>
        <w:t xml:space="preserve"> §. </w:t>
      </w:r>
      <w:r w:rsidR="00E122D8">
        <w:rPr>
          <w:rFonts w:ascii="Times New Roman" w:hAnsi="Times New Roman"/>
          <w:sz w:val="24"/>
        </w:rPr>
        <w:t>-</w:t>
      </w:r>
      <w:r>
        <w:rPr>
          <w:rFonts w:ascii="Times New Roman" w:hAnsi="Times New Roman"/>
          <w:sz w:val="24"/>
        </w:rPr>
        <w:t xml:space="preserve"> I. </w:t>
      </w:r>
      <w:r w:rsidR="00E122D8">
        <w:rPr>
          <w:rFonts w:ascii="Times New Roman" w:hAnsi="Times New Roman"/>
          <w:sz w:val="24"/>
        </w:rPr>
        <w:t>-</w:t>
      </w:r>
      <w:r>
        <w:rPr>
          <w:rFonts w:ascii="Times New Roman" w:hAnsi="Times New Roman"/>
          <w:sz w:val="24"/>
        </w:rPr>
        <w:t xml:space="preserve"> Kuluttajalain L111-7 §:ssä määriteltyjen verkkoalustojen ylläpitäjät, jotka tarjoavat yleisölle verkkoviestintäpalvelua, joka perustuu kolmansien </w:t>
      </w:r>
      <w:r>
        <w:rPr>
          <w:rFonts w:ascii="Times New Roman" w:hAnsi="Times New Roman"/>
          <w:sz w:val="24"/>
        </w:rPr>
        <w:lastRenderedPageBreak/>
        <w:t>osapuolten verkkoon saattaman sisällön luokitteluun, indeksointiin tai jakamiseen ja joiden toiminnassa Ranskan alueella ylittyy asetuksella määritetty raja-arvo yhteyksien määrälle, riippumatta siitä, ovatko ne sijoittautuneet Ranskan alueelle, osallistuvat tämän lain 6 §:n I momentin 7 kohdan kolmannen alakohdan sekä lehdistönvapaudesta 29 päivänä heinäkuuta 1881 annetun lain 33 §:n kolmannen ja neljännen momentin säännösten vastaisen sisällön julkisen levittämisen estämiseen. Tältä osin: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1. Niiden on sovellettava oikeasuhteisia inhimillisiä ja teknologisia menettelyjä ja keinoja, joiden avulla ne voivat:</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a) ilmoittaa mahdollisimman pian oikeus- tai hallintoviranomaisille toimista, joita ne ovat toteuttaneet näiden viranomaisten antamien kieltotuomioiden johdosta, jotka koskevat tämän I momentin ensimmäisessä kohdassa tarkoitettua sisältöä;</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b) vahvistaa viipymättä oikeus- tai hallintoviranomaisten pyyntöjen turvallinen vastaanottaminen käytettävissään olevien tietojen toimittamista varten, jotta voidaan tunnistaa käyttäjät, jotka ovat ladanneet sivustolle tai palveluun samassa 1 momentissa tarkoitettua sisältöä, ja ilmoittaa kyseisille viranomaisille mahdollisimman pian tällaisten pyyntöjen jatkotoimista;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c) jos ne harjoittavat sisällön säilyttämistoimintaa, säilyttää väliaikaisesti sisältöä, joka on ilmoitettu niille ensimmäisessä alakohdassa tarkoitettujen säännösten vastaiseksi ja jotka ne ovat poistaneet levityksestä tai estäneet, jotta sisältö voidaan antaa oikeusviranomaisten käyttöön rikosten tutkintaa, tunnistamista ja syytteeseenpanoa varten; tämän sisällön säilyttämisen kesto ja edellytykset määritellään korkeimman hallinto-oikeuden asetuksella sen jälkeen, kun tietotekniikkaa ja vapauksia käsittelevä kansallinen toimikunta on antanut lausuntonsa;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2. Niiden on nimettävä keskitetty asiointipiste, luonnollinen henkilö, jonka tehtävänä on kommunikoida viranomaisten kanssa tämän pykälän täytäntöönpanosta ja jolle erityisesti kaikki viestintävapaudesta 30 päivänä syyskuuta 1986 annetun lain nro 86-1067 62 §:n nojalla esittämät pyynnöt voidaan lähettää sähköisesti. Tämä keskitetty asiointipiste vastaa erityisesti siitä, että oikeusviranomainen vastaanottaa toimijalle tämän lain 6 §:n II momentissa säädetyn menettelyn mukaisesti hakemukset, joiden tarkoituksena on varmistaa niiden nopea käsittely;</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3. Niiden on asetettava helposti yleisön saataville tarjoamansa palvelun yleiset käyttöehdot; niihin on sisällytettävä säännöksiä, joilla kielletään tämän I momentin ensimmäisessä kohdassa tarkoitetun laittoman sisällön julkaiseminen verkossa; niiden on kuvailtava siinä selkeästi ja täsmällisesti sisällönvalvontajärjestelyt, joiden tarkoituksena on tarvittaessa tunnistaa ja käsitellä tällaista sisältöä, ja esitettävä yksityiskohtaiset tiedot tähän tarkoitukseen käytetyistä menettelyistä ja inhimillisistä tai automatisoiduista keinoista sekä niiden toteuttamista toimenpiteistä, jotka vaikuttavat tällaisen sisällön saatavuuteen, näkyvyyteen ja saavutettavuuteen; niiden on ilmoitettava siinä toimenpiteet, joita ne toteuttavat niiden käyttäjien osalta, jotka ovat asettaneet tämän sisällön saataville verkossa, sekä näiden käyttäjien käytettävissä olevat kansalliset ja muut oikeussuojakeinot;</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xml:space="preserve">4. Niiden on tiedotettava Ranskan alueella sijaitseville käyttäjille tämän I momentin ensimmäisessä kohdassa tarkoitetun laittoman sisällön levittämisen estämiseen käytetyistä keinoista ja toimenpiteistä audiovisuaalisen alan korkean neuvoston vahvistamien menettelyjen ja määräaikojen mukaisesti, ja annettava audiovisuaalisen alan korkean neuvoston määräämät tiedot ja määrälliset indikaattorit, jotka liittyvät erityisesti oikeus- tai hallintoviranomaisten esittämien </w:t>
      </w:r>
      <w:r>
        <w:rPr>
          <w:rFonts w:ascii="Times New Roman" w:hAnsi="Times New Roman"/>
          <w:sz w:val="24"/>
        </w:rPr>
        <w:lastRenderedPageBreak/>
        <w:t>kieltojen tai tietopyyntöjen käsittelyyn sekä tiedot vastaanotetuista ilmoituksista ja sisäisten oikeussuojakeinojen valinnasta sekä tarvittaessa tiedot siitä, millä perusteilla sellaisia luotettavia kolmannen osapuolen kumppaneita valitaan, joiden ilmoitukset katsotaan ensisijaisiksi, sekä näiden kumppaneiden kanssa tehtyyn yhteistyöhön sovellettavat ehdot;</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5. Niiden on pantava täytäntöön helposti saatavilla oleva ja helppokäyttöinen menettely, jonka avulla kuka tahansa voi sähköisesti ilmoittaa 6 §:n I momentin 5 kohdassa tarkoitetut tiedot täsmentäen tämän I momentin ensimmäisessä kohdassa mainittujen säännösten vastaiseksi katsotusta sisällöstä;</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6. Niiden on varmistettava, että tahojen, jotka ne tunnustavat luotetuiksi kolmansiksi osapuoliksi, tekemät ilmoitukset tämän I momentin ensimmäisessä kohdassa tarkoitetusta laittomasta sisällöstä käsitellään ensisijaisesti.</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Luotetun kolmannen osapuolen asema myönnetään audiovisuaalisen alan korkean neuvoston vahvistamien järjestelyjen mukaisesti avoimin ja syrjimättömin ehdoin ja näiden pyynnöstä sellaisille tahoille, joilla on erityistä asiantuntemusta ja osaamista samassa ensimmäisessä kohdassa tarkoitetun laittoman sisällön havaitsemiseksi, tunnistamiseksi ja ilmoittamiseksi, jotka edustavat yhteisiä etuja ja jotka tarjoavat takeet huolellisuudesta ja objektiivisuudesta;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7. Niiden on toteutettava oikeasuhteisia inhimillisiä ja teknologisia menettelyjä ja keinoja, joiden avulla ne voivat:</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a) vahvistaa viipymättä, että tämän I momentin ensimmäisessä kohdassa tarkoitettuun laittomaan sisältöön liittyvät ilmoitukset vastaanotetaan turvallisesti edellyttäen, että on tarpeen ottaa yhteyttä tekijään;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b) varmistaa näiden ilmoitusten asianmukainen analysointi hyvissä ajoin;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c) tiedottaa tekijälle toimista, joihin ne ovat ryhtyneet, sekä käytettävissä olevista kotimaisista ja oikeussuojakeinoista edellyttäen, että heillä on tarvittavat tiedot yhteyden saamiseksi;</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d) jos samassa ensimmäisessä kohdassa tarkoitettujen säännösten noudattamatta jättämisen perusteella päätetään poistaa sisältö tai ottaa se pois saatavilta, ilmoittaa käyttäjälle julkaisun lähteessä edellyttäen, että sillä on tarvittavat tiedot yhteydenottoon, seuraavaa:</w:t>
      </w:r>
    </w:p>
    <w:p w14:paraId="43902745" w14:textId="4471B3EE"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päätöksen perustelut;</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täsmennys siitä, tehtiinkö päätös automatisoidulla välineellä;</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tiedot hänen käytettävissään olevista kansallisista oikeussuojakeinoista ja muista oikeussuojakeinoista;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ja ilmoitus siitä, että laittoman sisällön julkaisemisesta aiheutuu siviili- ja rikosoikeudellisia seuraamuksia.</w:t>
      </w:r>
    </w:p>
    <w:p w14:paraId="0C3F650D" w14:textId="39A19F0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122D8" w:rsidRPr="00E122D8">
        <w:rPr>
          <w:rFonts w:ascii="Times New Roman" w:hAnsi="Times New Roman"/>
          <w:sz w:val="24"/>
        </w:rPr>
        <w:t>”</w:t>
      </w:r>
      <w:r>
        <w:rPr>
          <w:rFonts w:ascii="Times New Roman" w:hAnsi="Times New Roman"/>
          <w:sz w:val="24"/>
        </w:rPr>
        <w:t>Tätä d alakohtaa ei sovelleta, jos viranomainen sitä pyytää yleiseen järjestykseen liittyvistä syistä tai rikosten torjumista, tutkimista, selvittämistä ja syytteeseenpanoa varten;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8. Niiden on käytettävä sisäisiä korjaavia keinoja, joiden avulla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a) tämän I momentin ensimmäisessä alakohdassa tarkoitettua laitonta sisältöä koskevan ilmoituksen tekijä voi riitauttaa toimijan kyseisen ilmoituksen johdosta tekemän päätöksen;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b) käyttäjä, joka on sellaisen sisällön julkaisemisen alullepanija, josta on tehty 7 kohdan d alakohdassa tarkoitettu päätös, voi riitauttaa kyseisen päätöksen;</w:t>
      </w:r>
      <w:r>
        <w:rPr>
          <w:rFonts w:ascii="Times New Roman" w:hAnsi="Times New Roman"/>
          <w:sz w:val="24"/>
        </w:rPr>
        <w:br/>
      </w:r>
      <w:r w:rsidR="00E122D8" w:rsidRPr="00E122D8">
        <w:rPr>
          <w:rFonts w:ascii="Times New Roman" w:hAnsi="Times New Roman"/>
          <w:sz w:val="24"/>
        </w:rPr>
        <w:lastRenderedPageBreak/>
        <w:t>”</w:t>
      </w:r>
      <w:r>
        <w:rPr>
          <w:rFonts w:ascii="Times New Roman" w:hAnsi="Times New Roman"/>
          <w:sz w:val="24"/>
        </w:rPr>
        <w:t>c) käyttäjä, josta on tehty 9 kohdan a tai b alakohdassa tarkoitettu päätös, voi riitauttaa kyseisen päätöksen.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Niiden on varmistettava, että nämä järjestelmät ovat helposti saatavilla ja helppokäyttöisiä ja että ne mahdollistavat muutoksenhaun asianmukaisen ja nopean käsittelyn, joka ei perustu pelkästään automaattisten keinojen käyttöön, ilmoittamalla käyttäjälle viipymättä tehdystä päätöksestä ja peruuttamalla viipymättä kyseiseen sisältöön tai käyttäjään liittyvät toimenpiteet, kun se muutoksenhaun perusteella katsoo, että riidanalainen päätös ei ollut perusteltu;</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9. Päättäessään tällaisten menettelyjen täytäntöönpanosta niiden on esitettävä käyttöehdoissaan selkeät ja täsmälliset menettelyt, jotka johtavat</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a) sellaisten käyttäjien tilin keskeyttämiseen tai lopettamiseen, jotka ovat toistuvasti ladanneet sisältöä tämän I momentin ensimmäisessä kohdassa tarkoitettujen säännösten vastaisesti;</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b) sellaisten käyttäjien ilmoitusmekanismiin pääsyn keskeyttämiseen, jotka ovat toistuvasti tehneet selvästi perusteettomia ilmoituksia samassa ensimmäisessä alakohdassa tarkoitetusta sisällöstä.</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Kun tällaisia menettelyjä pannaan täytäntöön, on toteutettava tapauskohtainen analyysi, jolla pyritään objektiivisesti luonnehtimaan tämän 9 kohdan a tai b alakohdassa tarkoitetun käyttäytymisen olemassaoloa, ja siinä otetaan huomioon erityisesti:</w:t>
      </w:r>
    </w:p>
    <w:p w14:paraId="7714552C" w14:textId="26F5915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122D8" w:rsidRPr="00E122D8">
        <w:rPr>
          <w:rFonts w:ascii="Times New Roman" w:hAnsi="Times New Roman"/>
          <w:sz w:val="24"/>
        </w:rPr>
        <w:t>”</w:t>
      </w:r>
      <w:r w:rsidR="00E122D8">
        <w:rPr>
          <w:rFonts w:ascii="Times New Roman" w:hAnsi="Times New Roman"/>
          <w:sz w:val="24"/>
        </w:rPr>
        <w:t>-</w:t>
      </w:r>
      <w:r>
        <w:rPr>
          <w:rFonts w:ascii="Times New Roman" w:hAnsi="Times New Roman"/>
          <w:sz w:val="24"/>
        </w:rPr>
        <w:t xml:space="preserve"> tämän I momentin ensimmäisessä kohdassa tarkoitetun laittoman sisällön määrä tai käyttäjältä kuluneen vuoden aikana tehtyjen ilmeisen perusteettomien ilmoitusten määrä sekä absoluuttisesti että suhteessa niiden ilmoitusten kokonaismäärään, joista käyttäjä oli vastuussa;</w:t>
      </w:r>
      <w:r>
        <w:rPr>
          <w:rFonts w:ascii="Times New Roman" w:hAnsi="Times New Roman"/>
          <w:sz w:val="24"/>
        </w:rPr>
        <w:br/>
      </w:r>
      <w:r w:rsidR="00E122D8" w:rsidRPr="00E122D8">
        <w:rPr>
          <w:rFonts w:ascii="Times New Roman" w:hAnsi="Times New Roman"/>
          <w:sz w:val="24"/>
        </w:rPr>
        <w:t>”</w:t>
      </w:r>
      <w:r w:rsidR="00E122D8">
        <w:rPr>
          <w:rFonts w:ascii="Times New Roman" w:hAnsi="Times New Roman"/>
          <w:sz w:val="24"/>
        </w:rPr>
        <w:t>-</w:t>
      </w:r>
      <w:r>
        <w:rPr>
          <w:rFonts w:ascii="Times New Roman" w:hAnsi="Times New Roman"/>
          <w:sz w:val="24"/>
        </w:rPr>
        <w:t xml:space="preserve"> ja näiden väärinkäytösten vakavuus ja seuraukset.</w:t>
      </w:r>
    </w:p>
    <w:p w14:paraId="621474B0" w14:textId="3968AEC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122D8" w:rsidRPr="00E122D8">
        <w:rPr>
          <w:rFonts w:ascii="Times New Roman" w:hAnsi="Times New Roman"/>
          <w:sz w:val="24"/>
        </w:rPr>
        <w:t>”</w:t>
      </w:r>
      <w:r>
        <w:rPr>
          <w:rFonts w:ascii="Times New Roman" w:hAnsi="Times New Roman"/>
          <w:sz w:val="24"/>
        </w:rPr>
        <w:t>Näissä menettelyissä säädetään, että 9 kohdan a ja b alakohdassa tarkoitettujen toimenpiteiden on oltava luonteeltaan oikeassa suhteessa kyseisen menettelyn vakavuuteen ja, jos kyseessä on keskeyttäminen, että se määrätään kohtuulliseksi ajaksi. Käyttäjälle on annettava varoitus ja tiedot käytettävissä olevista kansallisista ja muista oikeussuojakeinoista.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xml:space="preserve">II. </w:t>
      </w:r>
      <w:r w:rsidR="00E122D8">
        <w:rPr>
          <w:rFonts w:ascii="Times New Roman" w:hAnsi="Times New Roman"/>
          <w:sz w:val="24"/>
        </w:rPr>
        <w:t>-</w:t>
      </w:r>
      <w:r>
        <w:rPr>
          <w:rFonts w:ascii="Times New Roman" w:hAnsi="Times New Roman"/>
          <w:sz w:val="24"/>
        </w:rPr>
        <w:t xml:space="preserve"> Tämän I momentin ensimmäisessä kohdassa mainittujen ylläpitäjien, joiden toiminta Ranskan alueella ylittää asetuksessa määrätyn yhteyksien </w:t>
      </w:r>
      <w:proofErr w:type="gramStart"/>
      <w:r>
        <w:rPr>
          <w:rFonts w:ascii="Times New Roman" w:hAnsi="Times New Roman"/>
          <w:sz w:val="24"/>
        </w:rPr>
        <w:t>määrän</w:t>
      </w:r>
      <w:proofErr w:type="gramEnd"/>
      <w:r>
        <w:rPr>
          <w:rFonts w:ascii="Times New Roman" w:hAnsi="Times New Roman"/>
          <w:sz w:val="24"/>
        </w:rPr>
        <w:t xml:space="preserve"> ja jotka ovat suurempia kuin samassa ensimmäisessä kohdassa mainitut, on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1. arvioitava vuosittain niiden palvelujen toimintaan ja käyttöön liittyviä järjestelmäriskejä ensimmäisessä kohdassa tarkoitetun sisällön levittämisen osalta sekä perusoikeuksien, sananvapaus mukaan luettuna, loukkausten osalta. Arvioinnissa on otettava huomioon näiden palvelujen ominaispiirteet ja erityisesti niiden vaikutukset edellä mainitun sisällön leviämiseen tai levitykseen;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2. toteutettava kohtuullisia, tehokkaita ja oikeasuhteisia toimenpiteitä, jotka koskevat erityisesti niiden palvelujen ominaispiirteitä sekä II momentin 1 kohdassa tarkoitetun arvioinnin lopussa havaittujen riskien laajuutta ja vakavuutta ja joilla pyritään lieventämään tällaisen sisällön levittämiseen liittyviä riskejä, jotka voivat liittyä erityisesti niihin menettelyihin ja niihin liittyviin inhimillisiin ja teknisiin keinoihin, joita käytetään sisällön havaitsemiseksi, tunnistamiseksi ja käsittelemiseksi, samalla kun estetään perusteettoman poistumisen riskit sovellettavan lainsäädännön ja niiden käyttöehtojen mukaisesti;</w:t>
      </w:r>
      <w:r>
        <w:rPr>
          <w:rFonts w:ascii="Times New Roman" w:hAnsi="Times New Roman"/>
          <w:sz w:val="24"/>
        </w:rPr>
        <w:br/>
      </w:r>
      <w:r w:rsidR="00E122D8" w:rsidRPr="00E122D8">
        <w:rPr>
          <w:rFonts w:ascii="Times New Roman" w:hAnsi="Times New Roman"/>
          <w:sz w:val="24"/>
        </w:rPr>
        <w:lastRenderedPageBreak/>
        <w:t>”</w:t>
      </w:r>
      <w:r>
        <w:rPr>
          <w:rFonts w:ascii="Times New Roman" w:hAnsi="Times New Roman"/>
          <w:sz w:val="24"/>
        </w:rPr>
        <w:t>3. raportoitava yleisölle audiovisuaalisen alan korkean neuvoston vahvistamien menettelyjen ja määräaikojen mukaisesti näiden järjestelmäriskien arvioinnista ja toteutetuista riskinhallintatoimenpiteistä.</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xml:space="preserve">III. </w:t>
      </w:r>
      <w:r w:rsidR="00E122D8">
        <w:rPr>
          <w:rFonts w:ascii="Times New Roman" w:hAnsi="Times New Roman"/>
          <w:sz w:val="24"/>
        </w:rPr>
        <w:t>-</w:t>
      </w:r>
      <w:r>
        <w:rPr>
          <w:rFonts w:ascii="Times New Roman" w:hAnsi="Times New Roman"/>
          <w:sz w:val="24"/>
        </w:rPr>
        <w:t xml:space="preserve"> Tämän I momentin ensimmäisessä kohdassa mainittujen toimijoiden on raportoitava audiovisuaalisen alan korkean tason neuvostolle tämän pykälän soveltamisessa käytetyistä menettelyistä ja keinoista edellä mainituin 30 päivänä syyskuuta 1986 annetun lain nro </w:t>
      </w:r>
      <w:proofErr w:type="gramStart"/>
      <w:r>
        <w:rPr>
          <w:rFonts w:ascii="Times New Roman" w:hAnsi="Times New Roman"/>
          <w:sz w:val="24"/>
        </w:rPr>
        <w:t>86-1067</w:t>
      </w:r>
      <w:proofErr w:type="gramEnd"/>
      <w:r>
        <w:rPr>
          <w:rFonts w:ascii="Times New Roman" w:hAnsi="Times New Roman"/>
          <w:sz w:val="24"/>
        </w:rPr>
        <w:t xml:space="preserve"> 62 §:ssä säädetyin edellytyksin.”</w:t>
      </w:r>
    </w:p>
    <w:p w14:paraId="45CD7FF2" w14:textId="2C6B732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proofErr w:type="gramStart"/>
      <w:r w:rsidR="00E122D8">
        <w:rPr>
          <w:rFonts w:ascii="Times New Roman" w:hAnsi="Times New Roman"/>
          <w:sz w:val="24"/>
        </w:rPr>
        <w:t xml:space="preserve">II. </w:t>
      </w:r>
      <w:proofErr w:type="gramEnd"/>
      <w:r w:rsidR="00E122D8">
        <w:rPr>
          <w:rFonts w:ascii="Times New Roman" w:hAnsi="Times New Roman"/>
          <w:sz w:val="24"/>
        </w:rPr>
        <w:t>-</w:t>
      </w:r>
      <w:r>
        <w:rPr>
          <w:rFonts w:ascii="Times New Roman" w:hAnsi="Times New Roman"/>
          <w:sz w:val="24"/>
        </w:rPr>
        <w:t xml:space="preserve"> Muutetaan viestintävapaudesta 30.9.1986 annettua lakia nro 86-1067 seuraavasti:</w:t>
      </w:r>
      <w:r>
        <w:rPr>
          <w:rFonts w:ascii="Times New Roman" w:hAnsi="Times New Roman"/>
          <w:sz w:val="24"/>
        </w:rPr>
        <w:br/>
        <w:t>1. Korvataan 19 §:n I momentin 1 kohdan kolmannessa alakohdassa ilmaisu ”sekä videonjakoalustoilta” ilmaisulla ”, videonjakoalustoilta sekä 62 §:ssä tarkoitetuilta verkkoalustojen operaattoreilta”;</w:t>
      </w:r>
      <w:r>
        <w:rPr>
          <w:rFonts w:ascii="Times New Roman" w:hAnsi="Times New Roman"/>
          <w:sz w:val="24"/>
        </w:rPr>
        <w:br/>
        <w:t>2. Korvataan 42-7 §:n ensimmäisessä momentissa oleva viittaus ”ja 48-3” viittauksilla ”, 48-3 ja 62”;</w:t>
      </w:r>
      <w:r>
        <w:rPr>
          <w:rFonts w:ascii="Times New Roman" w:hAnsi="Times New Roman"/>
          <w:sz w:val="24"/>
        </w:rPr>
        <w:br/>
        <w:t>3. Lisätään IV osaan III luku seuraavasti:</w:t>
      </w:r>
    </w:p>
    <w:p w14:paraId="77B231FD" w14:textId="086C79D9"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E122D8" w:rsidRPr="00E122D8">
        <w:rPr>
          <w:rFonts w:ascii="Times New Roman" w:hAnsi="Times New Roman"/>
          <w:sz w:val="24"/>
        </w:rPr>
        <w:t>”</w:t>
      </w:r>
      <w:r>
        <w:rPr>
          <w:rFonts w:ascii="Times New Roman" w:hAnsi="Times New Roman"/>
          <w:sz w:val="24"/>
        </w:rPr>
        <w:t>III LUKU</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Verkkoalustoihin sovellettavat vihasisältöä torjuvat säännökset</w:t>
      </w:r>
    </w:p>
    <w:p w14:paraId="0A34B744" w14:textId="6DA7228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”62 §. </w:t>
      </w:r>
      <w:r w:rsidR="00E122D8">
        <w:rPr>
          <w:rFonts w:ascii="Times New Roman" w:hAnsi="Times New Roman"/>
          <w:sz w:val="24"/>
        </w:rPr>
        <w:t>-</w:t>
      </w:r>
      <w:r>
        <w:rPr>
          <w:rFonts w:ascii="Times New Roman" w:hAnsi="Times New Roman"/>
          <w:sz w:val="24"/>
        </w:rPr>
        <w:t xml:space="preserve"> I. </w:t>
      </w:r>
      <w:r w:rsidR="00E122D8">
        <w:rPr>
          <w:rFonts w:ascii="Times New Roman" w:hAnsi="Times New Roman"/>
          <w:sz w:val="24"/>
        </w:rPr>
        <w:t>-</w:t>
      </w:r>
      <w:r>
        <w:rPr>
          <w:rFonts w:ascii="Times New Roman" w:hAnsi="Times New Roman"/>
          <w:sz w:val="24"/>
        </w:rPr>
        <w:t xml:space="preserve"> Audiovisuaalisen alan korkean neuvoston on varmistettava, että luottamuksesta digitaalitalouteen 21 päivänä kesäkuuta 2004 annetun lain nro 2004-575 6-4 §:n I momentissa tarkoitetut verkkoalustojen ylläpitäjät noudattavat 6-4 §:n säännöksiä, ottaen huomioon jokaisen kunkin ylläpitäjän tarjoaman palvelun osalta palvelun ominaispiirteet ja ylläpitäjän keinojen riittävyys suhteessa erityisesti 6-4 §:n I momentissa tarkoitetun sisällön levittämiseen palvelussa liittyvien riskien ja sovellettavaan lakiin ja operaattorin käyttöehtoihin perustuvaan aiheettomaan poistoon liittyvien riskien laajuuteen ja vakavuuteen. Sen on annettava näille verkkopalvelujen ylläpitäjille ohjeet </w:t>
      </w:r>
      <w:proofErr w:type="gramStart"/>
      <w:r>
        <w:rPr>
          <w:rFonts w:ascii="Times New Roman" w:hAnsi="Times New Roman"/>
          <w:sz w:val="24"/>
        </w:rPr>
        <w:t>6-4</w:t>
      </w:r>
      <w:proofErr w:type="gramEnd"/>
      <w:r>
        <w:rPr>
          <w:rFonts w:ascii="Times New Roman" w:hAnsi="Times New Roman"/>
          <w:sz w:val="24"/>
        </w:rPr>
        <w:t xml:space="preserve"> §:n soveltamiseksi.</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Audiovisuaalisen alan korkean neuvoston on kerättävä tällaisilta verkkopalvelujen ylläpitäjiltä tämän lain 19 §:ssä säädetyin edellytyksin tiedot, jotka ovat tarpeen niiden velvollisuuksien valvomiseksi. Edellä mainitun 21 päivänä kesäkuuta 2004 annetun lain nro 2004-575 6-4 §:n II momentissa mainitut toimijat antavat mahdollisuuden tutustua näiden velvoitteiden täyttämisessä käytettävien automatisoitujen välineiden toimintaperiaatteisiin, näiden välineiden käyttämiin parametreihin, niiden suorituskyvyn arviointiin ja parantamiseen käytettäviin menetelmiin ja tietoihin sekä kaikkiin muihin tietoihin, joiden avulla se voi arvioida niiden tehokkuutta henkilötietojen suojaa koskevien säännösten mukaisesti. Näiden säännösten mukaisesti neuvosto voi lähettää oikeasuhteisia pyyntöjä, jotka koskevat pääsyä erityisten ohjelmointirajapintojen kautta kaikkiin tietoihin, jotka ovat merkityksellisiä niiden tehokkuuden arvioimiseksi. Näiden säännösten mukaisesti ja samaa tarkoitusta varten se voi ottaa käyttöön oikeasuhteisia menetelmiä yleisesti saatavilla olevien tietojen automaattiseen keruuseen tarvittavien tietojen saamiseksi, myös silloin, kun tietojen saaminen edellyttää tiliin kirjautumista.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xml:space="preserve">Se määrittelee ne tiedot ja määrälliset indikaattorit, jotka näiden toimijoiden on julkaistava 6-4 §:n I momentin 4 kohdan mukaisesti, sekä tämän julkaisemisen </w:t>
      </w:r>
      <w:r>
        <w:rPr>
          <w:rFonts w:ascii="Times New Roman" w:hAnsi="Times New Roman"/>
          <w:sz w:val="24"/>
        </w:rPr>
        <w:lastRenderedPageBreak/>
        <w:t>yksityiskohtaiset säännöt ja määräajat.</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Se julkaisee vuosittain 6-4 §:n säännösten soveltamista koskevan katsauksen.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xml:space="preserve">II. </w:t>
      </w:r>
      <w:r w:rsidR="00E122D8">
        <w:rPr>
          <w:rFonts w:ascii="Times New Roman" w:hAnsi="Times New Roman"/>
          <w:sz w:val="24"/>
        </w:rPr>
        <w:t>-</w:t>
      </w:r>
      <w:r>
        <w:rPr>
          <w:rFonts w:ascii="Times New Roman" w:hAnsi="Times New Roman"/>
          <w:sz w:val="24"/>
        </w:rPr>
        <w:t xml:space="preserve"> Audiovisuaalisen alan korkean neuvoston on kannustettava edellä mainitun 21 päivänä kesäkuuta 2004 annetun lain nro 2004-575 6-4 §:n I momentin ensimmäisessä kohdassa mainittuja verkkoalustojen ylläpitäjiä ottamaan käyttöön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1. Välineet alustojen ylläpitäjien välistä yhteistyötä ja tietojenvaihtoa varten avoimessa muodossa ja sen suositusten mukaisesti samassa 6-4 §:ssä tarkoitettujen rikkomusten torjumiseksi;</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2. Oikeasuhteiset tekniset järjestelyt, joiden avulla voidaan kyseisessä 6-4 §:ssä tarkoitettua sisältöä koskevan ilmoituksen käsittelyä odotettaessa rajoittaa kyseisen sisällön jakamista ja yleisön altistumista sille;</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xml:space="preserve">3. Verkkoviestintäpalvelujen </w:t>
      </w:r>
      <w:proofErr w:type="spellStart"/>
      <w:r>
        <w:rPr>
          <w:rFonts w:ascii="Times New Roman" w:hAnsi="Times New Roman"/>
          <w:sz w:val="24"/>
        </w:rPr>
        <w:t>yhteentoimivuutta</w:t>
      </w:r>
      <w:proofErr w:type="spellEnd"/>
      <w:r>
        <w:rPr>
          <w:rFonts w:ascii="Times New Roman" w:hAnsi="Times New Roman"/>
          <w:sz w:val="24"/>
        </w:rPr>
        <w:t xml:space="preserve"> koskevat yhteiset tekniset standardit, jotka vastaavat viimeisintä kehitystä ja jotka ovat dokumentoituja ja vakaita, jotta helpotetaan käyttäjien vapaata valintaa eri alustojen välillä.</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 xml:space="preserve">III. </w:t>
      </w:r>
      <w:r w:rsidR="00E122D8">
        <w:rPr>
          <w:rFonts w:ascii="Times New Roman" w:hAnsi="Times New Roman"/>
          <w:sz w:val="24"/>
        </w:rPr>
        <w:t>-</w:t>
      </w:r>
      <w:r>
        <w:rPr>
          <w:rFonts w:ascii="Times New Roman" w:hAnsi="Times New Roman"/>
          <w:sz w:val="24"/>
        </w:rPr>
        <w:t xml:space="preserve"> Audiovisuaalisia asioita käsittelevä korkea neuvosto voi vaatia ylläpitäjää noudattamaan vahvistamassaan määräajassa edellä mainitun 21 päivänä kesäkuuta 2004 annetun lain nro 2004-575 6-4 §:n säännöksiä ja vastaamaan neuvoston ylläpitäjälle esittämiin tietopyyntöihin tämän pykälän I momentin toisen kohdan nojalla.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Jos ylläpitäjä ei noudata vastaanotettua ilmoitusta, audiovisuaalisen alan korkein neuvosto voi tämän lain 42-7 §:ssä säädetyin edellytyksin määrätä sakon, jonka määrässä on otettava huomioon noudattamatta jättämisen vakavuus ja tarvittaessa sen toistuminen ja joka on enintään 20 miljoonaa euroa tai kuusi prosenttia edellisen vuoden vuotuisesta kokonaisliikevaihdosta sen mukaan, kumpi on suurempi. Jos samasta rikkomuksesta on toisessa valtiossa määrätty samansuuruinen taloudellinen seuraamus, tämän momentin nojalla määrättävä seuraamus on otettava huomioon.</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Poiketen siitä, mitä tämän III momentin 2 kohdassa säädetään, seuraamuksen määrä ei saa ylittää yhtä prosenttia edellisen tilikauden vuotuisesta kokonaisliikevaihdosta, jos sääntelyviranomaisen I momentin 2 kohdan nojalla pyytämiä tietoja kieltäydytään luovuttamasta tai jos toimitetaan vääriä tai harhaanjohtavia tietoja.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Audiovisuaalisen alan korkea neuvosto voi julkistaa ilmoitukset ja määrätyt seuraamukset. Se määrittelee päätöksessään tällaisen julkistamisen yksityiskohdat, joiden on oltava oikeassa suhteessa rikkomuksen vakavuuteen. Se voi myös määrätä, että päätös sisällytetään nimettyihin julkaisuihin, sanomalehtiin ja tiedotusvälineisiin virallisen ilmoituksen tai seuraamuksen kohteena olevien verkkopalveluiden ylläpitäjien kustannuksella.</w:t>
      </w:r>
      <w:r>
        <w:rPr>
          <w:rFonts w:ascii="Times New Roman" w:hAnsi="Times New Roman"/>
          <w:sz w:val="24"/>
        </w:rPr>
        <w:br/>
      </w:r>
      <w:r w:rsidR="00E122D8" w:rsidRPr="00E122D8">
        <w:rPr>
          <w:rFonts w:ascii="Times New Roman" w:hAnsi="Times New Roman"/>
          <w:sz w:val="24"/>
        </w:rPr>
        <w:t>”</w:t>
      </w:r>
      <w:r>
        <w:rPr>
          <w:rFonts w:ascii="Times New Roman" w:hAnsi="Times New Roman"/>
          <w:sz w:val="24"/>
        </w:rPr>
        <w:t>Sakot peritään muina kuin valtion saatavina verovelkoina ja omaisuusvelkoina.</w:t>
      </w:r>
      <w:r w:rsidR="00E122D8" w:rsidRPr="00E122D8">
        <w:rPr>
          <w:rFonts w:ascii="Times New Roman" w:hAnsi="Times New Roman"/>
          <w:sz w:val="24"/>
        </w:rPr>
        <w:t>”</w:t>
      </w:r>
      <w:r w:rsidR="00E122D8">
        <w:rPr>
          <w:rFonts w:ascii="Times New Roman" w:hAnsi="Times New Roman"/>
          <w:sz w:val="24"/>
        </w:rPr>
        <w:t>;</w:t>
      </w:r>
    </w:p>
    <w:p w14:paraId="23676506" w14:textId="42C648EC"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4. Laaditaan ilmaisun ”johtuu” jälkeen 108 §:n ensimmäisen momentin loppu seuraavasti: ”tasavallan periaatteiden noudattamisen vahvistamisesta 24 päivänä elokuuta 2021 annetusta laista nro </w:t>
      </w:r>
      <w:proofErr w:type="gramStart"/>
      <w:r>
        <w:rPr>
          <w:rFonts w:ascii="Times New Roman" w:hAnsi="Times New Roman"/>
          <w:sz w:val="24"/>
        </w:rPr>
        <w:t>2021-1109</w:t>
      </w:r>
      <w:proofErr w:type="gramEnd"/>
      <w:r>
        <w:rPr>
          <w:rFonts w:ascii="Times New Roman" w:hAnsi="Times New Roman"/>
          <w:sz w:val="24"/>
        </w:rPr>
        <w:t>.”</w:t>
      </w:r>
      <w:r>
        <w:rPr>
          <w:rFonts w:ascii="Times New Roman" w:hAnsi="Times New Roman"/>
          <w:sz w:val="24"/>
        </w:rPr>
        <w:br/>
        <w:t xml:space="preserve">III. </w:t>
      </w:r>
      <w:r w:rsidR="00E122D8">
        <w:rPr>
          <w:rFonts w:ascii="Times New Roman" w:hAnsi="Times New Roman"/>
          <w:sz w:val="24"/>
        </w:rPr>
        <w:t>-</w:t>
      </w:r>
      <w:r>
        <w:rPr>
          <w:rFonts w:ascii="Times New Roman" w:hAnsi="Times New Roman"/>
          <w:sz w:val="24"/>
        </w:rPr>
        <w:t xml:space="preserve"> A. </w:t>
      </w:r>
      <w:r w:rsidR="00E122D8">
        <w:rPr>
          <w:rFonts w:ascii="Times New Roman" w:hAnsi="Times New Roman"/>
          <w:sz w:val="24"/>
        </w:rPr>
        <w:t>-</w:t>
      </w:r>
      <w:r>
        <w:rPr>
          <w:rFonts w:ascii="Times New Roman" w:hAnsi="Times New Roman"/>
          <w:sz w:val="24"/>
        </w:rPr>
        <w:t xml:space="preserve"> Tätä pykälää sovelletaan 31 päivään joulukuuta 2023 asti.</w:t>
      </w:r>
      <w:r>
        <w:rPr>
          <w:rFonts w:ascii="Times New Roman" w:hAnsi="Times New Roman"/>
          <w:sz w:val="24"/>
        </w:rPr>
        <w:br/>
        <w:t xml:space="preserve">B. </w:t>
      </w:r>
      <w:r w:rsidR="00E122D8">
        <w:rPr>
          <w:rFonts w:ascii="Times New Roman" w:hAnsi="Times New Roman"/>
          <w:sz w:val="24"/>
        </w:rPr>
        <w:t>-</w:t>
      </w:r>
      <w:r>
        <w:rPr>
          <w:rFonts w:ascii="Times New Roman" w:hAnsi="Times New Roman"/>
          <w:sz w:val="24"/>
        </w:rPr>
        <w:t xml:space="preserve"> Poiketen siitä, mitä tämän III momentin A kohdassa säädetään, tätä pykälää ei sovelleta 7 päivästä kesäkuuta 2022 verkossa tapahtuvaan terroristisen sisällön levittämiseen puuttumisesta 29 päivänä huhtikuuta 2021 annetun Euroopan parlamentin ja neuvoston asetuksen (EU) 2021/784 7 artiklan 2 kohdassa tarkoitettuun terroristisen sisällön julkiseen levittämiseen puuttumiseen.</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C95584"/>
    <w:rsid w:val="00D4016E"/>
    <w:rsid w:val="00E122D8"/>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2302</Words>
  <Characters>19182</Characters>
  <Application>Microsoft Office Word</Application>
  <DocSecurity>0</DocSecurity>
  <Lines>391</Lines>
  <Paragraphs>188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2022-02-14T11:16:00Z</dcterms:created>
  <dcterms:modified xsi:type="dcterms:W3CDTF">2022-02-14T11:16:00Z</dcterms:modified>
</cp:coreProperties>
</file>