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gada 24. augusta Likums Nr. 2021–1109, kas stiprina atbilstību Republikas principiem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nodaļa. GARANTĒT ATBALSTU REPUBLIKAS PRINCIPIEM UN SABIEDRISKĀS DZĪVES MINIMĀLĀM PRASĪBĀM (1.–67. pants)</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nodaļa. TIESĪBAS BRĪVI PRAKTIZĒT RELIĢIJU (68.– 88. pants)</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nodaļa. DAŽĀDI NOTEIKUMI (89.– 90. pants)</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sadaļa. NOTEIKUMI ATTIECĪBĀ UZ AIZJŪRAS DEPARTAMENTIEM [OUTRE-MER] (91.–103. pants)</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nodaļa: GARANTĒT ATBALSTU REPUBLIKAS PRINCIPIEM UN SABIEDRISKĀS DZĪVES MINIMĀLĀM PRASĪBĀM (1.–67. pants)</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nodaļa. Noteikumi par cīņu pret naida runu un nelikumīgu tiešsaistes saturu (36.–48. pants)</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.pants</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2004. gada 21. jūnija Likuma Nr. 2004-575 par uzticību digitālajai ekonomikai I sadaļas II nodaļu groza šādi:</w:t>
      </w:r>
      <w:r>
        <w:rPr>
          <w:rFonts w:ascii="Times New Roman" w:hAnsi="Times New Roman"/>
          <w:sz w:val="24"/>
        </w:rPr>
        <w:br/>
        <w:t>1. Regulas 6. panta I daļas 8. punktu groza šādi:</w:t>
      </w:r>
      <w:r>
        <w:rPr>
          <w:rFonts w:ascii="Times New Roman" w:hAnsi="Times New Roman"/>
          <w:sz w:val="24"/>
        </w:rPr>
        <w:br/>
        <w:t>a) Sākums tiek izteikts šādā redakcijā: “8) tiesas priekšsēdētājs, rīkojoties saskaņā ar paātrināto procedūru pēc būtības, pasākumu izpildei var noteikt jebkuru personu, kas varētu tajā piedalīties... (teksta pārējā daļa netiek mainīta).”;</w:t>
      </w:r>
      <w:r>
        <w:rPr>
          <w:rFonts w:ascii="Times New Roman" w:hAnsi="Times New Roman"/>
          <w:sz w:val="24"/>
        </w:rPr>
        <w:br/>
        <w:t>b) A daļu papildina ar šādu tekstu:</w:t>
      </w:r>
      <w:r>
        <w:rPr>
          <w:rFonts w:ascii="Times New Roman" w:hAnsi="Times New Roman"/>
          <w:sz w:val="24"/>
        </w:rPr>
        <w:br/>
      </w:r>
      <w:bookmarkStart w:id="0" w:name="_Hlk95737284"/>
      <w:r>
        <w:rPr>
          <w:rFonts w:ascii="Times New Roman" w:hAnsi="Times New Roman"/>
          <w:sz w:val="24"/>
        </w:rPr>
        <w:t>“</w:t>
      </w:r>
      <w:bookmarkEnd w:id="0"/>
      <w:r>
        <w:rPr>
          <w:rFonts w:ascii="Times New Roman" w:hAnsi="Times New Roman"/>
          <w:sz w:val="24"/>
        </w:rPr>
        <w:t>Tas nosaka personas vai personu kategorijas, kurām administratīvā iestāde var iesniegt pieteikumu saskaņā ar 6. panta 3. punktā paredzētajiem nosacījumiem.”;</w:t>
      </w:r>
      <w:r>
        <w:rPr>
          <w:rFonts w:ascii="Times New Roman" w:hAnsi="Times New Roman"/>
          <w:sz w:val="24"/>
        </w:rPr>
        <w:br/>
        <w:t>2. Aiz 6-2. panta iekļauj šādu 6-3. pantu:</w:t>
      </w:r>
    </w:p>
    <w:p w14:paraId="6D881305" w14:textId="6C5537D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“6-3. pants. </w:t>
      </w:r>
      <w:r w:rsidR="00445F17">
        <w:rPr>
          <w:rFonts w:ascii="Times New Roman" w:hAnsi="Times New Roman"/>
          <w:sz w:val="24"/>
        </w:rPr>
        <w:t>-</w:t>
      </w:r>
      <w:r>
        <w:rPr>
          <w:rFonts w:ascii="Times New Roman" w:hAnsi="Times New Roman"/>
          <w:sz w:val="24"/>
        </w:rPr>
        <w:t xml:space="preserve"> Ja izpildāms tiesas lēmums ir noteicis jebkādu pasākumu, lai liegtu piekļuvi tādam tiešsaistes publisko sakaru pakalpojumam, kura saturs ietilpst 6. panta I daļas 7. punktā paredzētajos pārkāpumos, administratīvā iestāde, ja to pieprasa kāda no attiecīgajām personām, var pieprasīt jebkurai personai, uz kuru attiecas 6. panta I. daļas 1. vai 2. punkts vai personām/personu kategorijām, uz kurām attiecas konkrētais tiesas lēmums, uz laiku, kas nepārsniedz atlikušo laikposmu, kas paredzēts ar šo tiesas lēmumu noteikto pasākumu veikšanai, lai liegtu piekļuvi jebkādam tiešsaistes sabiedrisko komunikāciju pakalpojumam, par kuru ir konstatēts, ka tajā ir pilnībā vai būtiski iekļauts vietnes saturs.</w:t>
      </w:r>
      <w:r>
        <w:rPr>
          <w:rFonts w:ascii="Times New Roman" w:hAnsi="Times New Roman"/>
          <w:sz w:val="24"/>
        </w:rPr>
        <w:br/>
        <w:t>“Ar tādiem pašiem nosacījumiem un tādā pašā laika periodā administratīvā iestāde var jebkuram pakalpojumu operatoram, balstoties uz klasifikāciju vai atsauču sniegšanu datora algoritma, trešo pušu piedāvātā vai internetā publicētā satura veidā, arī pieprasīt pārtraukt atsauču sniegšanu uz tīmekļa adresēm, kas sabiedrībai nodrošina piekļuvi tiešsaistes sakaru pakalpojumiem, kas minēti šī panta pirmajā daļā.</w:t>
      </w:r>
      <w:r>
        <w:rPr>
          <w:rFonts w:ascii="Times New Roman" w:hAnsi="Times New Roman"/>
          <w:sz w:val="24"/>
        </w:rPr>
        <w:br/>
        <w:t xml:space="preserve">“Administratīvā iestāde regulāri atjaunina sarakstu ar tā paša panta pirmajā daļā minētajiem tiešsaistes saziņas pakalpojumiem, uz kuriem attiecas pieprasījums bloķēt piekļuvi saskaņā ar iepriekšminēto 1. punktu, kā arī tīmekļa adresēm, kas </w:t>
      </w:r>
      <w:r>
        <w:rPr>
          <w:rFonts w:ascii="Times New Roman" w:hAnsi="Times New Roman"/>
          <w:sz w:val="24"/>
        </w:rPr>
        <w:lastRenderedPageBreak/>
        <w:t>nodrošina piekļuvi šādiem pakalpojumiem, un dara šo sarakstu pieejamu reklāmdevējiem, viņu aģentiem un Vispārējā nodokļu kodeksa 299. panta II daļas 2. punktā minētajiem pakalpojumiem. Šie pakalpojumi ir jāiekļauj šajā sarakstā uz atlikušo tiesu iestādes noteikto pasākumu darbības laiku. Visā laikposmā, kurā notiek reģistrēšanās sarakstam, reklāmdevējiem, to pārstāvjiem un Vispārējā nodokļu kodeksa 299. panta II daļas 2. punktā minētajiem pakalpojumiem, kuri veic komerciālas attiecības, it īpaši reklāmu veidošanā, ar šajā sarakstā iekļautajiem tiešsaistes publisko sakaru pakalpojumiem, vismaz reizi gadā savā interneta vietnē ir jāpublisko fakts par šīm komerciālajām attiecībām, kā arī tās ir jānorāda gada pārskatos, ja tādi ir.</w:t>
      </w:r>
      <w:r>
        <w:rPr>
          <w:rFonts w:ascii="Times New Roman" w:hAnsi="Times New Roman"/>
          <w:sz w:val="24"/>
        </w:rPr>
        <w:br/>
        <w:t>“Ja šādi pakalpojumi nav bloķēti vai atlikti saskaņā ar šo pantu, tiesas priekšsēdētājs saskaņā ar paātrināto procedūru pēc būtības var noteikt jebkuru pasākumu, kura mērķis ir izbeigt piekļuvi šo pakalpojumu saturam.”</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42. pants</w:t>
      </w:r>
    </w:p>
    <w:p w14:paraId="67CC2320" w14:textId="09CD625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445F17">
        <w:rPr>
          <w:rFonts w:ascii="Times New Roman" w:hAnsi="Times New Roman"/>
          <w:sz w:val="24"/>
        </w:rPr>
        <w:t>-</w:t>
      </w:r>
      <w:r>
        <w:rPr>
          <w:rFonts w:ascii="Times New Roman" w:hAnsi="Times New Roman"/>
          <w:sz w:val="24"/>
        </w:rPr>
        <w:t xml:space="preserve"> 2004. gada 21. jūnija Likuma Nr. 2004-575 par uzticību digitālajai ekonomikai I sadaļas II nodaļu groza šādi:</w:t>
      </w:r>
      <w:r>
        <w:rPr>
          <w:rFonts w:ascii="Times New Roman" w:hAnsi="Times New Roman"/>
          <w:sz w:val="24"/>
        </w:rPr>
        <w:br/>
        <w:t>1. Likuma 6. panta I daļas 7. punkta 4. apakšpunktu groza šādi:</w:t>
      </w:r>
      <w:r>
        <w:rPr>
          <w:rFonts w:ascii="Times New Roman" w:hAnsi="Times New Roman"/>
          <w:sz w:val="24"/>
        </w:rPr>
        <w:br/>
        <w:t>a) pirmo teikumu papildina ar vārdiem: “un publisko līdzekļus, ko tās velta cīņai pret šā 7. punkta trešajā daļā minētajām nelikumīgajām darbībām”;</w:t>
      </w:r>
      <w:r>
        <w:rPr>
          <w:rFonts w:ascii="Times New Roman" w:hAnsi="Times New Roman"/>
          <w:sz w:val="24"/>
        </w:rPr>
        <w:br/>
        <w:t>b) pēc tā paša pirmā teikuma iekļauj šādu teikumu: “Šie pienākumi neattiecas uz operatoriem, kas minēti 6-4. panta I daļā, lai apkarotu tajā pašā daļā minētā satura izplatīšanu”;</w:t>
      </w:r>
      <w:r>
        <w:rPr>
          <w:rFonts w:ascii="Times New Roman" w:hAnsi="Times New Roman"/>
          <w:sz w:val="24"/>
        </w:rPr>
        <w:br/>
        <w:t>c) otro teikumu groza šādi:</w:t>
      </w:r>
    </w:p>
    <w:p w14:paraId="1D6C7618" w14:textId="3712118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45F17">
        <w:rPr>
          <w:rFonts w:ascii="Times New Roman" w:hAnsi="Times New Roman"/>
          <w:sz w:val="24"/>
        </w:rPr>
        <w:t>-</w:t>
      </w:r>
      <w:r>
        <w:rPr>
          <w:rFonts w:ascii="Times New Roman" w:hAnsi="Times New Roman"/>
          <w:sz w:val="24"/>
        </w:rPr>
        <w:t xml:space="preserve"> sākumā vārds: “tie” ir jāaizstāj ar vārdiem: “Šā panta I daļas 1. un 2. punktā minētās personas”;</w:t>
      </w:r>
      <w:r>
        <w:rPr>
          <w:rFonts w:ascii="Times New Roman" w:hAnsi="Times New Roman"/>
          <w:sz w:val="24"/>
        </w:rPr>
        <w:br/>
      </w:r>
      <w:r w:rsidR="00445F17">
        <w:rPr>
          <w:rFonts w:ascii="Times New Roman" w:hAnsi="Times New Roman"/>
          <w:sz w:val="24"/>
        </w:rPr>
        <w:t>-</w:t>
      </w:r>
      <w:r>
        <w:rPr>
          <w:rFonts w:ascii="Times New Roman" w:hAnsi="Times New Roman"/>
          <w:sz w:val="24"/>
        </w:rPr>
        <w:t xml:space="preserve"> vārdi: “, no vienas puses,” tiek svītroti;</w:t>
      </w:r>
      <w:r>
        <w:rPr>
          <w:rFonts w:ascii="Times New Roman" w:hAnsi="Times New Roman"/>
          <w:sz w:val="24"/>
        </w:rPr>
        <w:br/>
      </w:r>
      <w:r w:rsidR="00445F17">
        <w:rPr>
          <w:rFonts w:ascii="Times New Roman" w:hAnsi="Times New Roman"/>
          <w:sz w:val="24"/>
        </w:rPr>
        <w:t>-</w:t>
      </w:r>
      <w:r>
        <w:rPr>
          <w:rFonts w:ascii="Times New Roman" w:hAnsi="Times New Roman"/>
          <w:sz w:val="24"/>
        </w:rPr>
        <w:t xml:space="preserve"> vārdus: “no iepriekšējās daļas” aizstāj ar vārdiem: “šā 7. panta trešajā daļā”;</w:t>
      </w:r>
      <w:r>
        <w:rPr>
          <w:rFonts w:ascii="Times New Roman" w:hAnsi="Times New Roman"/>
          <w:sz w:val="24"/>
        </w:rPr>
        <w:br/>
      </w:r>
      <w:r w:rsidR="00445F17">
        <w:rPr>
          <w:rFonts w:ascii="Times New Roman" w:hAnsi="Times New Roman"/>
          <w:sz w:val="24"/>
        </w:rPr>
        <w:t>-</w:t>
      </w:r>
      <w:r>
        <w:rPr>
          <w:rFonts w:ascii="Times New Roman" w:hAnsi="Times New Roman"/>
          <w:sz w:val="24"/>
        </w:rPr>
        <w:t xml:space="preserve"> pēc vārda: “pakalpojumi” svītro beigas;</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Aiz 6-4. panta iekļauj šādu 6-2. pantu:</w:t>
      </w:r>
    </w:p>
    <w:p w14:paraId="120777EB" w14:textId="4F90D17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“6-4. pants. I. </w:t>
      </w:r>
      <w:r w:rsidR="00445F17">
        <w:rPr>
          <w:rFonts w:ascii="Times New Roman" w:hAnsi="Times New Roman"/>
          <w:sz w:val="24"/>
        </w:rPr>
        <w:t>-</w:t>
      </w:r>
      <w:r>
        <w:rPr>
          <w:rFonts w:ascii="Times New Roman" w:hAnsi="Times New Roman"/>
          <w:sz w:val="24"/>
        </w:rPr>
        <w:t xml:space="preserve"> Patērētāju kodeksa L111-7. pantā definēto tiešsaistes platformu operatori, kas citu pakalpojumu sniedzējiem piedāvā tiešsaistes komunikāciju pakalpojumu, pamatojoties uz trešo personu tiešsaistē izvietota satura klasifikāciju, atsauču ievietošanu vai koplietošanu un kuru darbība Francijas teritorijā pārsniedz dekrētā noteikto pieslēgumu skaita slieksni, neatkarīgi no tā, vai tie ir reģistrēti Francijas teritorijā, veicina cīņu pret satura publisku izplatīšanu, pārkāpjot šā likuma 6. panta I daļas 7. punktā, kā arī 1881. gada 29. jūlija Likuma par preses brīvību 33. panta trešajā un ceturtajā daļā minētos noteikumus. Šajā sakarā:</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1) tie īsteno samērīgas cilvēkresursu un tehnoloģiskās procedūras un līdzekļus, kas tiem ļauj: </w:t>
      </w:r>
      <w:r>
        <w:rPr>
          <w:rFonts w:ascii="Times New Roman" w:hAnsi="Times New Roman"/>
          <w:sz w:val="24"/>
        </w:rPr>
        <w:br/>
      </w:r>
      <w:r w:rsidR="00445F17" w:rsidRPr="00445F17">
        <w:rPr>
          <w:rFonts w:ascii="Times New Roman" w:hAnsi="Times New Roman"/>
          <w:sz w:val="24"/>
        </w:rPr>
        <w:lastRenderedPageBreak/>
        <w:t>“</w:t>
      </w:r>
      <w:r>
        <w:rPr>
          <w:rFonts w:ascii="Times New Roman" w:hAnsi="Times New Roman"/>
          <w:sz w:val="24"/>
        </w:rPr>
        <w:t>a) cik drīz vien iespējams informēt tiesu vai administratīvās iestādes par darbībām, ko tie veikuši saskaņā ar šo iestāžu izdotajiem rīkojumiem attiecībā uz I punkta pirmajā daļā minēto saturu;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b) nekavējoties apstiprināt tiesu vai administratīvo iestāžu pieprasījumu drošu saņemšanu attiecībā uz to rīcībā esošajiem datiem, lai varētu identificēt lietotājus, kuri augšupielādējuši tajā pašā pirmajā daļā minēto saturu, un pēc iespējas ātrāk informēt šīs iestādes par turpmākiem pasākumiem pēc šādiem pieprasījumiem;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c) gadījumos, kad tie ir iesaistīti satura glabāšanā, uz laiku saglabāt saturu, par kuru tiem paziņots, ka tas ir pretrunā pirmajā daļā minētajiem noteikumiem un kuru tie ir atsaukuši vai padarījuši nepieejamu, lai to darītu pieejamu tiesu iestādēm noziedzīgu nodarījumu izmeklēšanai, identificēšanai un kriminālvajāšanai; šī satura saglabāšanas ilgumu un nosacījumus nosaka ar Valsts padomes dekrētu, pamatojoties uz Valsts informācijas tehnoloģiju un brīvību komisijas atzinumu;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2) tie izraugās vienotu kontaktpunktu — fizisku personu, kas ir atbildīga par saziņu ar valsts iestādēm, lai īstenotu šo pantu, un kurai jo īpaši var nosūtīt elektroniskā formātā visus pieteikumus, ko saskaņā ar 1986. gada 30. septembra Likuma Nr. 86-1067 par saziņas brīvību 62. pantu iesniegusi Augstākā padome audiovizuālos jautājumos. Šis vienotais kontaktpunkts jo īpaši ir atbildīgs par to pieteikumu saņemšanu, ko tiesu iestāde adresējusi operatoram šā likuma 6. panta II daļā noteiktajā kārtībā, lai nodrošinātu to ātru apstrādi;</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3) tie dara sabiedrībai viegli pieejamus piedāvāto pakalpojumu izmantošanas vispārīgos nosacījumus;  tie tajos iekļauj noteikumus, kas aizliedz tiešsaistē publicēt I punkta pirmajā daļā minēto nelegālo saturu; tie skaidri un precīzi apraksta moderācijas kārtību, kuras mērķis ir attiecīgā gadījumā noteikt un apstrādāt šādu saturu, sīki izklāstot procedūras un šim nolūkam izmantotos cilvēku vai automatizētos līdzekļus, kā arī pasākumus, ko tie īsteno, ietekmējot šāda satura pieejamību, redzamību un pieejamību; tajos norāda pasākumus, ko tie īsteno attiecībā uz lietotājiem, kuri šo saturu darījuši pieejamu tiešsaistē, kā arī iekšzemes un tiesiskās aizsardzības līdzekļus, kas pieejami šādiem lietotājiem;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4) tie informē sabiedrību par izmantotajiem līdzekļiem un pasākumiem, kas pieņemti, lai novērstu I punkta pirmajā daļā minētā pretlikumīgā satura izplatīšanu lietotājiem Francijas teritorijā, publicējot saskaņā ar Augstākās padomes audiovizuālos jautājumos noteiktajām procedūrām un intervāliem attiecībā uz tās noteikto informāciju un kvantitatīviem rādītājiem, jo īpaši attiecībā uz tiesas vai administratīvo iestāžu rīkojumu vai informācijas pieprasījumu apstrādi, saņemtajiem paziņojumiem un iekšējo tiesiskās aizsardzības līdzekļu izvēli, kā arī, attiecīgā gadījumā, par tādu uzticamu trešo pušu, kuru paziņojumi tiek apstrādāti kā prioritāri, izvēles kritērijiem un sadarbības nosacījumiem ar šīm trešajām pusēm;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5) tie īsteno viegli pieejamu un viegli lietojamu procedūru, kas ļauj jebkurai personai elektroniski, norādot 6. panta I. daļas 5. punktā minētos elementus, ziņot par jebkuru saturu, ko viņa uzskata par tādu, kas ir pretrunā ar I punkta pirmajā daļā minētajiem noteikumiem;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6) tās nodrošina, ka pret paziņojumiem, ko iesniedz struktūras, kuras tās atzīst par uzticamām trešām personām, attiecībā uz nelikumīgu saturu, kas minēts I punkta pirmajā daļā, izturas prioritārā kārtībā.</w:t>
      </w:r>
      <w:r>
        <w:rPr>
          <w:rFonts w:ascii="Times New Roman" w:hAnsi="Times New Roman"/>
          <w:sz w:val="24"/>
        </w:rPr>
        <w:br/>
        <w:t xml:space="preserve">“Uzticamu trešo personu statusu piešķir saskaņā ar kārtību, ko noteikusi Augstākā padome audiovizuālajos jautājums saskaņā ar pārredzamiem, nediskriminējošiem nosacījumiem un pēc tās lūguma, nodaļas kurām ir īpašas zināšanas un kompetence, lai atklātu un identificētu pirmajā daļā minēto nelegālo saturu, kā arī </w:t>
      </w:r>
      <w:r>
        <w:rPr>
          <w:rFonts w:ascii="Times New Roman" w:hAnsi="Times New Roman"/>
          <w:sz w:val="24"/>
        </w:rPr>
        <w:lastRenderedPageBreak/>
        <w:t>par to ziņotu, pārstāvot kolektīvās intereses un nodrošinot, rūpības un objektivitātes principus;</w:t>
      </w:r>
      <w:r>
        <w:rPr>
          <w:rFonts w:ascii="Times New Roman" w:hAnsi="Times New Roman"/>
          <w:sz w:val="24"/>
        </w:rPr>
        <w:br/>
        <w:t>“7) tie īsteno samērīgas cilvēku veiktas un tehnoloģiskas procedūras un līdzekļus, kas tiem ļauj:</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a) nekavējoties apstiprināt to paziņojumu drošu saņemšanu, kas attiecas uz I punkta pirmajā daļā minēto nelegālo saturu, ar nosacījumu, ka ir pieejama saziņai ar autoru nepieciešamā informācija;</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b) laikus nodrošināt šo paziņojumu pienācīgu analīzi;</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c) informēt autoru par tajā veiktajām darbībām un par pieejamajiem iekšzemes un tiesiskās aizsardzības līdzekļiem ar nosacījumu, ka ir pieejama saziņai ar viņiem nepieciešamā informācija;</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d) ja tiek nolemts izņemt saturu vai padarīt to nepieejamu šajā pirmajā daļā minēto noteikumu neievērošanas dēļ, informēt lietotāju tā publicēšanas sākotnējā vietā ar nosacījumu, ka ir pieejama saziņai ar viņiem nepieciešamā informācija:</w:t>
      </w:r>
    </w:p>
    <w:p w14:paraId="43902745" w14:textId="51CB6D1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norādot lēmuma iemeslus;</w:t>
      </w:r>
      <w:r>
        <w:rPr>
          <w:rFonts w:ascii="Times New Roman" w:hAnsi="Times New Roman"/>
          <w:sz w:val="24"/>
        </w:rPr>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precizējot, vai šis lēmums ir pieņemts, izmantojot automatizētu rīku;</w:t>
      </w:r>
      <w:r>
        <w:rPr>
          <w:rFonts w:ascii="Times New Roman" w:hAnsi="Times New Roman"/>
          <w:sz w:val="24"/>
        </w:rPr>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informēt viņus par iekšzemes un tiesību aizsardzības līdzekļiem, kas tiem ir pieejami;</w:t>
      </w:r>
      <w:r>
        <w:rPr>
          <w:rFonts w:ascii="Times New Roman" w:hAnsi="Times New Roman"/>
          <w:sz w:val="24"/>
        </w:rPr>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ziņojot par to, ka, publicējot nelegālu saturu, tiek piemērotas civilās un kriminālās sankcijas.</w:t>
      </w:r>
    </w:p>
    <w:p w14:paraId="0C3F650D" w14:textId="178C9A78"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“Šo d) apakšpunktu nepiemēro, ja valsts iestāde to pieprasa, pamatojoties uz sabiedriskās kārtības apsvērumiem vai, lai novērstu, atklātu, izmeklētu un ierosinātu lietu par kriminālpārkāpumiem;</w:t>
      </w:r>
      <w:r>
        <w:rPr>
          <w:rFonts w:ascii="Times New Roman" w:hAnsi="Times New Roman"/>
          <w:sz w:val="24"/>
        </w:rPr>
        <w:br/>
        <w:t>“8) tie īsteno iekšējos koriģējošos līdzekļus, kas ļauj:</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a) I punkta pirmajā daļā minētā nelegālā satura paziņojuma autoram apstrīdēt operatora lēmumu, atbildot uz šo paziņojumu;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b) lietotājam, kas ir satura publicēšanas autors, uz kuru attiecas 7. punkta </w:t>
      </w:r>
      <w:r w:rsidR="00445F17" w:rsidRPr="00445F17">
        <w:rPr>
          <w:rFonts w:ascii="Times New Roman" w:hAnsi="Times New Roman"/>
          <w:sz w:val="24"/>
        </w:rPr>
        <w:t>“</w:t>
      </w:r>
      <w:r>
        <w:rPr>
          <w:rFonts w:ascii="Times New Roman" w:hAnsi="Times New Roman"/>
          <w:sz w:val="24"/>
        </w:rPr>
        <w:t>d) apakšpunktā minētais lēmums, apstrīdēt šo lēmumu;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c) lietotājs, uz kuru attiecas lēmums, kas minēts 9. panta a) vai b) apakšpunktā, apstrīdēt šo lēmumu.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Tie nodrošina, ka šīs sistēmas ir viegli pieejamas un viegli lietojamas un ka tās ļauj atbilstoši un ātri izskatīt pārsūdzības, kuru pamatā nav tikai automatizētu līdzekļu izmantošana, nekavējoties informējot lietotāju par pieņemto lēmumu un nekavējoties atceļot pasākumus, kas saistīti ar attiecīgo saturu vai lietotāju, kuru ieviesis operators, ja apelācija liek uzskatīt, ka apstrīdētais lēmums nav pamatots;</w:t>
      </w:r>
      <w:r>
        <w:rPr>
          <w:rFonts w:ascii="Times New Roman" w:hAnsi="Times New Roman"/>
          <w:sz w:val="24"/>
        </w:rPr>
        <w:br/>
        <w:t>“9) pieņemot lēmumu par šādu procedūru ieviešanu, to izmantošanas nosacījumos ir skaidri un precīzi jāizklāsta procedūras, kas izraisa:</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a) to lietotāju kontu darbības apturēšanu vai, visnopietnākajos gadījumos, izbeigšanu, kuri atkārtoti augšupielādējuši saturu pretēji šā panta I punkta pirmajā daļā minētajiem noteikumiem;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b) piekļuves apturēšanu paziņošanas mehānismam lietotājiem, kuri atkārtoti iesnieguši acīmredzami nepamatotus paziņojumus par saturu, kas minēts tajā pašā pirmajā daļā.</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Kad šādas procedūras tiek ieviestas, tiek veikta katra atsevišķa gadījuma analīze ar mērķi objektīvi raksturot šā 9. panta a) vai b) apakšpunktā minētās darbības esamību, jo īpaši:</w:t>
      </w:r>
    </w:p>
    <w:p w14:paraId="7714552C" w14:textId="3FE7EBC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nelikumīga satura apjomu, kas minēts šā panta I punkta pirmajā daļā, vai acīmredzami nepamatotu paziņojumu skaitu no lietotāja pagājušajā gadā gan absolūtā izteiksmē, gan proporcionāli kopējam saturam vai paziņojumu skaitam, par kuriem viņš vai viņa bija atbildīgs/a;</w:t>
      </w:r>
      <w:r>
        <w:rPr>
          <w:rFonts w:ascii="Times New Roman" w:hAnsi="Times New Roman"/>
          <w:sz w:val="24"/>
        </w:rPr>
        <w:br/>
      </w:r>
      <w:r w:rsidR="00445F17" w:rsidRPr="00445F17">
        <w:rPr>
          <w:rFonts w:ascii="Times New Roman" w:hAnsi="Times New Roman"/>
          <w:sz w:val="24"/>
        </w:rPr>
        <w:t>“</w:t>
      </w:r>
      <w:r w:rsidR="00445F17">
        <w:rPr>
          <w:rFonts w:ascii="Times New Roman" w:hAnsi="Times New Roman"/>
          <w:sz w:val="24"/>
        </w:rPr>
        <w:t>-</w:t>
      </w:r>
      <w:r>
        <w:rPr>
          <w:rFonts w:ascii="Times New Roman" w:hAnsi="Times New Roman"/>
          <w:sz w:val="24"/>
        </w:rPr>
        <w:t xml:space="preserve"> šo pārkāpumu smagumu un sekas.</w:t>
      </w:r>
    </w:p>
    <w:p w14:paraId="621474B0" w14:textId="31465D9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Īstenojot šīs procedūras, tiek paredzēts, ka 9. panta a) un b) apakšpunktā minētie pasākumi pēc savas būtības ir proporcionāli attiecīgās rīcības nopietnībai un — apturēšanas gadījumā </w:t>
      </w:r>
      <w:r w:rsidR="00445F17">
        <w:rPr>
          <w:rFonts w:ascii="Times New Roman" w:hAnsi="Times New Roman"/>
          <w:sz w:val="24"/>
        </w:rPr>
        <w:t>-</w:t>
      </w:r>
      <w:r>
        <w:rPr>
          <w:rFonts w:ascii="Times New Roman" w:hAnsi="Times New Roman"/>
          <w:sz w:val="24"/>
        </w:rPr>
        <w:t xml:space="preserve"> to pasludina uz saprātīgu laiku. Lietotājam izsaka brīdinājumu un sniedz informāciju par pieejamajiem iekšzemes un tiesiskās aizsardzības līdzekļiem.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II </w:t>
      </w:r>
      <w:r w:rsidR="00445F17">
        <w:rPr>
          <w:rFonts w:ascii="Times New Roman" w:hAnsi="Times New Roman"/>
          <w:sz w:val="24"/>
        </w:rPr>
        <w:t>-</w:t>
      </w:r>
      <w:r>
        <w:rPr>
          <w:rFonts w:ascii="Times New Roman" w:hAnsi="Times New Roman"/>
          <w:sz w:val="24"/>
        </w:rPr>
        <w:t xml:space="preserve"> šā panta I punkta pirmajā daļā minētie operatori, kuru darbība Francijas teritorijā pārsniedz dekrētā noteikto pieslēgumu skaitu un ir lielāki par tiem, kas minēti tajā pašā pirmajā daļā:</w:t>
      </w:r>
      <w:r>
        <w:rPr>
          <w:rFonts w:ascii="Times New Roman" w:hAnsi="Times New Roman"/>
          <w:sz w:val="24"/>
        </w:rPr>
        <w:br/>
        <w:t>“1) katru gadu izvērtē sistēmiskos riskus, kas saistīti ar to pakalpojumu darbību un izmantošanu attiecībā uz šā panta pirmajā daļā minētā satura izplatīšanu un pamattiesību, tostarp vārda brīvības, pārkāpumiem. Šajā novērtējumā ņem vērā šo pakalpojumu īpašības, jo īpaši to ietekmi uz iepriekš minētā satura vīrusa izplatību vai masveida izplatīšanu;</w:t>
      </w:r>
      <w:r>
        <w:rPr>
          <w:rFonts w:ascii="Times New Roman" w:hAnsi="Times New Roman"/>
          <w:sz w:val="24"/>
        </w:rPr>
        <w:br/>
        <w:t>“2) īsteno saprātīgus, efektīvus un samērīgus pasākumus, jo īpaši attiecībā uz to pakalpojumu īpašībām un II daļas 1. punktā minētā novērtējuma beigās identificēto risku apjomu un smagumu, lai mazinātu šāda satura izplatīšanas riskus, kas jo īpaši var attiekties uz procedūrām un cilvēku īstenotiem un tehnoloģiskiem līdzekļiem, ko izmanto, lai atklātu, identificētu un apstrādātu šādu saturu, vienlaikus novēršot nepamatotas ierobežošanas risku saskaņā ar piemērojamiem tiesību aktiem un to lietošanas noteikumiem;</w:t>
      </w:r>
      <w:r>
        <w:rPr>
          <w:rFonts w:ascii="Times New Roman" w:hAnsi="Times New Roman"/>
          <w:sz w:val="24"/>
        </w:rPr>
        <w:br/>
        <w:t>“3) saskaņā ar procedūrām un intervāliem, ko noteikusi Augstākā padome audiovizuālos jautājumos, ziņo sabiedrībai par šo sistēmisko risku novērtējumu un īstenotajiem riska mazināšanas pasākumiem.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III </w:t>
      </w:r>
      <w:r w:rsidR="00445F17">
        <w:rPr>
          <w:rFonts w:ascii="Times New Roman" w:hAnsi="Times New Roman"/>
          <w:sz w:val="24"/>
        </w:rPr>
        <w:t>-</w:t>
      </w:r>
      <w:r>
        <w:rPr>
          <w:rFonts w:ascii="Times New Roman" w:hAnsi="Times New Roman"/>
          <w:sz w:val="24"/>
        </w:rPr>
        <w:t xml:space="preserve"> I. punkta pirmajā daļā minētie operatori ziņo Augstākajai padomei audiovizuālos jautājumos par procedūrām un līdzekļiem, kas izmantoti šī panta piemērošanai saskaņā ar nosacījumiem, kas izklāstīti iepriekš minētā 1986. gada 30. septembra Likuma Nr. 86-1067 62. pantā."</w:t>
      </w:r>
    </w:p>
    <w:p w14:paraId="45CD7FF2" w14:textId="622BCEF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445F17">
        <w:rPr>
          <w:rFonts w:ascii="Times New Roman" w:hAnsi="Times New Roman"/>
          <w:sz w:val="24"/>
        </w:rPr>
        <w:t>-</w:t>
      </w:r>
      <w:r>
        <w:rPr>
          <w:rFonts w:ascii="Times New Roman" w:hAnsi="Times New Roman"/>
          <w:sz w:val="24"/>
        </w:rPr>
        <w:t xml:space="preserve"> 1986. gada 30. septembra Likumu Nr. 86-1067 par saziņas brīvību groza šādi:</w:t>
      </w:r>
      <w:r>
        <w:rPr>
          <w:rFonts w:ascii="Times New Roman" w:hAnsi="Times New Roman"/>
          <w:sz w:val="24"/>
        </w:rPr>
        <w:br/>
        <w:t>1. 19. panta I daļas 1. punkta trešajā daļā vārdus: “kā arī video koplietošanas platformas” aizstāj ar vārdiem: “video koplietošanas platformas, kā arī 62. pantā minētie tiešsaistes platformu operatori”;</w:t>
      </w:r>
      <w:r>
        <w:rPr>
          <w:rFonts w:ascii="Times New Roman" w:hAnsi="Times New Roman"/>
          <w:sz w:val="24"/>
        </w:rPr>
        <w:br/>
        <w:t>2. 42-7. panta pirmajā daļā atsauci: “un 48-3. pants” aizstāj ar atsaucēm: “, 48-3. pants un 62. pants”;</w:t>
      </w:r>
      <w:r>
        <w:rPr>
          <w:rFonts w:ascii="Times New Roman" w:hAnsi="Times New Roman"/>
          <w:sz w:val="24"/>
        </w:rPr>
        <w:br/>
        <w:t>3. IV sadaļu papildina III nodaļa šādā redakcijā:</w:t>
      </w:r>
    </w:p>
    <w:p w14:paraId="74DB4035" w14:textId="77777777" w:rsidR="00445F17" w:rsidRDefault="00A31ACD" w:rsidP="00A31ACD">
      <w:pPr>
        <w:spacing w:before="100" w:beforeAutospacing="1" w:after="100" w:afterAutospacing="1" w:line="240" w:lineRule="auto"/>
        <w:ind w:left="1050"/>
        <w:rPr>
          <w:rFonts w:ascii="Times New Roman" w:hAnsi="Times New Roman"/>
          <w:sz w:val="24"/>
        </w:rPr>
      </w:pPr>
      <w:r>
        <w:rPr>
          <w:rFonts w:ascii="Times New Roman" w:hAnsi="Times New Roman"/>
          <w:sz w:val="24"/>
        </w:rPr>
        <w:br/>
      </w:r>
    </w:p>
    <w:p w14:paraId="6A35FAA6" w14:textId="77777777" w:rsidR="00445F17" w:rsidRDefault="00445F17" w:rsidP="00A31ACD">
      <w:pPr>
        <w:spacing w:before="100" w:beforeAutospacing="1" w:after="100" w:afterAutospacing="1" w:line="240" w:lineRule="auto"/>
        <w:ind w:left="1050"/>
        <w:rPr>
          <w:rFonts w:ascii="Times New Roman" w:hAnsi="Times New Roman"/>
          <w:sz w:val="24"/>
        </w:rPr>
      </w:pPr>
    </w:p>
    <w:p w14:paraId="77B231FD" w14:textId="285A6B11" w:rsidR="00A31ACD" w:rsidRPr="00A31ACD" w:rsidRDefault="00445F17" w:rsidP="00A31ACD">
      <w:pPr>
        <w:spacing w:before="100" w:beforeAutospacing="1" w:after="100" w:afterAutospacing="1" w:line="240" w:lineRule="auto"/>
        <w:ind w:left="1050"/>
        <w:rPr>
          <w:rFonts w:ascii="Times New Roman" w:eastAsia="Times New Roman" w:hAnsi="Times New Roman" w:cs="Times New Roman"/>
          <w:sz w:val="24"/>
          <w:szCs w:val="24"/>
        </w:rPr>
      </w:pPr>
      <w:r w:rsidRPr="00445F17">
        <w:rPr>
          <w:rFonts w:ascii="Times New Roman" w:hAnsi="Times New Roman"/>
          <w:sz w:val="24"/>
        </w:rPr>
        <w:lastRenderedPageBreak/>
        <w:t>“</w:t>
      </w:r>
      <w:r w:rsidR="00A31ACD">
        <w:rPr>
          <w:rFonts w:ascii="Times New Roman" w:hAnsi="Times New Roman"/>
          <w:sz w:val="24"/>
        </w:rPr>
        <w:t>III NODAĻA</w:t>
      </w:r>
      <w:r w:rsidR="00A31ACD">
        <w:rPr>
          <w:rFonts w:ascii="Times New Roman" w:hAnsi="Times New Roman"/>
          <w:sz w:val="24"/>
        </w:rPr>
        <w:br/>
      </w:r>
      <w:r w:rsidRPr="00445F17">
        <w:rPr>
          <w:rFonts w:ascii="Times New Roman" w:hAnsi="Times New Roman"/>
          <w:sz w:val="24"/>
        </w:rPr>
        <w:t>“</w:t>
      </w:r>
      <w:r w:rsidR="00A31ACD">
        <w:rPr>
          <w:rFonts w:ascii="Times New Roman" w:hAnsi="Times New Roman"/>
          <w:sz w:val="24"/>
        </w:rPr>
        <w:t>Noteikumi, ko piemēro tiešsaistes platformām naida satura apkarošanai</w:t>
      </w:r>
    </w:p>
    <w:p w14:paraId="0A34B744" w14:textId="4D8053B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62. pants. I </w:t>
      </w:r>
      <w:r w:rsidR="00445F17">
        <w:rPr>
          <w:rFonts w:ascii="Times New Roman" w:hAnsi="Times New Roman"/>
          <w:sz w:val="24"/>
        </w:rPr>
        <w:t>-</w:t>
      </w:r>
      <w:r>
        <w:rPr>
          <w:rFonts w:ascii="Times New Roman" w:hAnsi="Times New Roman"/>
          <w:sz w:val="24"/>
        </w:rPr>
        <w:t xml:space="preserve"> Augstākā padome audiovizuālos jautājumos nodrošina, ka tiešsaistes platformu operatori, kas minēti 2004. gada 21. jūnija Likuma Nr. 2004-575 par uzticēšanos digitālajai ekonomikai 6-4. panta I punkta pirmajā daļā, ievēro tā paša 6-4. panta noteikumus attiecībā uz katru pakalpojumu, ko viņi piedāvā, ņemot vērā pakalpojuma īpašības un operatora izmantoto līdzekļu piemērotību, jo īpaši attiecībā uz to, cik lielā mērā un cik nopietni pastāv šī pakalpojuma satura izplatīšanas riski, kas minēti 6-4. panta I punkta pirmajā daļā, un kādi ir nepamatotas izslēgšanas riski saskaņā ar piemērojamajiem tiesību aktiem un to lietošanas noteikumiem. Tā šiem platformu operatoriem sniedz pamatnostādnes tā paša 6-4. panta piemērošanai.</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Augstākā padome audiovizuālajos jautājumos saskaņā ar šā likuma 19. pantā paredzētajiem nosacījumiem no šādiem operatoriem vāc informāciju, kas vajadzīga, lai uzraudzītu to pienākumus. Līdz ar to operatori, kas minēti augstāk norādītā 2004. gada 21. jūnija Likuma Nr. 2004-575 6-4. panta II. apakšpunktā, nodrošina piekļuvi šo saistību ievērošanā izmantoto automatizēto rīku darbības principiem, šo rīku izmantotajiem parametriem, to veiktspējas uzlabošanā izmantotajām metodēm un datiem, kā arī jebkurai citai informācijai vai datiem, kas ļauj novērtēt to efektivitāti saskaņā ar noteikumiem, kas attiecas uz personas datu aizsardzību. Saskaņā ar šiem noteikumiem padome, izmantojot īpašas programmēšanas saskarnes, var nosūtīt samērīgus piekļuves pieprasījumus visiem efektivitātes novērtēšanā būtiskajiem datiem. Saskaņā ar šiem noteikumiem un tādos pašos nolūkos tā var ieviest samērīgas metodes publiski pieejamu datu automatizētai vākšanai, lai piekļūtu nepieciešamajiem datiem, tostarp informācijai par to, kur šādu datu piekļuvei nepieciešama pierakstīšanās kontā.</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Tā nosaka informāciju un kvantitatīvos rādītājus, kas šiem operatoriem jāpublicē saskaņā ar 6-4. panta I punkta 4. apakšpunktu, kā arī šīs publikācijas kārtību un intervālus.</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Tā katru gadu publicē pārskatu par 6-4. panta nosacījumu piemērošanu.</w:t>
      </w:r>
      <w:r>
        <w:rPr>
          <w:rFonts w:ascii="Times New Roman" w:hAnsi="Times New Roman"/>
          <w:sz w:val="24"/>
        </w:rPr>
        <w:br/>
        <w:t xml:space="preserve">“II. </w:t>
      </w:r>
      <w:r w:rsidR="00445F17">
        <w:rPr>
          <w:rFonts w:ascii="Times New Roman" w:hAnsi="Times New Roman"/>
          <w:sz w:val="24"/>
        </w:rPr>
        <w:t>-</w:t>
      </w:r>
      <w:r>
        <w:rPr>
          <w:rFonts w:ascii="Times New Roman" w:hAnsi="Times New Roman"/>
          <w:sz w:val="24"/>
        </w:rPr>
        <w:t xml:space="preserve"> Augstākā padome audiovizuālajos jautājums aicina tiešsaistes platformu operatorus, kas minēti iepriekš minētā 2004.gada 21. jūnija Likuma Nr. 2004–575 6-4. panta I punkta pirmajā daļā, ieviest:</w:t>
      </w:r>
      <w:r>
        <w:rPr>
          <w:rFonts w:ascii="Times New Roman" w:hAnsi="Times New Roman"/>
          <w:sz w:val="24"/>
        </w:rPr>
        <w:br/>
        <w:t>“1) rīkus atklātai sadarbībai un informācijas apmaiņai starp platformu operatoriem, kas atbilst tās ieteikumiem, lai novērstu 6.-4. pantā minētos pārkāpumus;</w:t>
      </w:r>
      <w:r>
        <w:rPr>
          <w:rFonts w:ascii="Times New Roman" w:hAnsi="Times New Roman"/>
          <w:sz w:val="24"/>
        </w:rPr>
        <w:br/>
        <w:t>“2) proporcionālas tehniskās ierīces, kas līdz 6–4. pantā minētā satura paziņošanas apstrādei ļauj ierobežot minētā satura kopīgošanu un tā ietekmi uz sabiedrību;</w:t>
      </w:r>
      <w:r>
        <w:rPr>
          <w:rFonts w:ascii="Times New Roman" w:hAnsi="Times New Roman"/>
          <w:sz w:val="24"/>
        </w:rPr>
        <w:br/>
        <w:t>“3) kopējos tehniskos standartus tiešsaistes publisko sakaru pakalpojumu sadarbspējai saskaņā ar jaunākajiem dokumentētajiem un pamatotajiem sasniegumiem, lai lietotājiem atvieglotu izvēles iespējas starp dažādām platformām.</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 xml:space="preserve">III </w:t>
      </w:r>
      <w:r w:rsidR="00445F17">
        <w:rPr>
          <w:rFonts w:ascii="Times New Roman" w:hAnsi="Times New Roman"/>
          <w:sz w:val="24"/>
        </w:rPr>
        <w:t>-</w:t>
      </w:r>
      <w:r>
        <w:rPr>
          <w:rFonts w:ascii="Times New Roman" w:hAnsi="Times New Roman"/>
          <w:sz w:val="24"/>
        </w:rPr>
        <w:t xml:space="preserve"> Augstākā padome audiovizuālos jautājumos var nosūtīt operatoram paziņojumu ar aicinājumu tās noteiktā termiņā ievērot 2004. gada 21. jūnija Likuma Nr. 2004-575 6-4. panta noteikumus un atbildēt uz informācijas pieprasījumu, kas operatoram tika nosūtīts saskaņā ar šī panta I punkta otro daļu.</w:t>
      </w:r>
      <w:r>
        <w:rPr>
          <w:rFonts w:ascii="Times New Roman" w:hAnsi="Times New Roman"/>
          <w:sz w:val="24"/>
        </w:rPr>
        <w:br/>
        <w:t xml:space="preserve">Gadījumā, ja operators neievēro saņemto paziņojumu, Augstākā padome audiovizuālos jautājumos var saskaņā ar šā likuma 42-7. panta nosacījumiem noteikt naudas sodu, kura apmēra noteikšanai ņem vērā nepakļaušanās nopietnību </w:t>
      </w:r>
      <w:r>
        <w:rPr>
          <w:rFonts w:ascii="Times New Roman" w:hAnsi="Times New Roman"/>
          <w:sz w:val="24"/>
        </w:rPr>
        <w:lastRenderedPageBreak/>
        <w:t>un vajadzības gadījumā tās atkārtošanās raksturu, nepārsniedzot 20 miljonus euro vai 6 % no iepriekšējā gada kopējā apgrozījuma, atkarībā no tā, kas ir lielāks. Ja par tādu pašu pārkāpumu citā valstī ir piemērots naudas sods, kas aprēķināts uz tāda paša pamata, minētā soda apmēru jāņem vērā, nosakot sodu, kas noteikts saskaņā ar šo daļu.</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Atkāpjoties no šā III punkta otrās daļas, gadījumā, ja notiek atteikšanās izpaust informāciju, ko regulators pieprasa saskaņā ar I punkta otro daļu, vai ja tiek paziņota nepatiesa vai maldinoša informācija, uzliktā soda naudas summa nedrīkst pārsniegt 1 % no kopējā gada apgrozījuma pasaulē iepriekšējā finanšu gadā.</w:t>
      </w:r>
      <w:r>
        <w:rPr>
          <w:rFonts w:ascii="Times New Roman" w:hAnsi="Times New Roman"/>
          <w:sz w:val="24"/>
        </w:rPr>
        <w:br/>
        <w:t>Augstākā padome audiovizuālos jautājumos var publiskot piemērotos paziņojumus un sankcijas. Savā lēmumā tā nosaka sīkāku informāciju par šādu publicēšanu, kas ir atbilstoša pārkāpuma smagumam. Tā var arī likt iekļaut savu lēmumu norādītās publikācijās, laikrakstos un plašsaziņas līdzekļos, un izmaksas jāsedz tiem operatoriem, par kuriem ir iesniegts oficiāls paziņojums vai sankcijas.</w:t>
      </w:r>
      <w:r>
        <w:rPr>
          <w:rFonts w:ascii="Times New Roman" w:hAnsi="Times New Roman"/>
          <w:sz w:val="24"/>
        </w:rPr>
        <w:br/>
      </w:r>
      <w:r w:rsidR="00445F17" w:rsidRPr="00445F17">
        <w:rPr>
          <w:rFonts w:ascii="Times New Roman" w:hAnsi="Times New Roman"/>
          <w:sz w:val="24"/>
        </w:rPr>
        <w:t>“</w:t>
      </w:r>
      <w:r>
        <w:rPr>
          <w:rFonts w:ascii="Times New Roman" w:hAnsi="Times New Roman"/>
          <w:sz w:val="24"/>
        </w:rPr>
        <w:t>Soda naudas iekasē kā ar nodokļiem nesaistītus un ar īpašumu nesaistītus parādus, kas pienākas valstij.</w:t>
      </w:r>
    </w:p>
    <w:p w14:paraId="23676506" w14:textId="083C9BC7"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Pēc vārda: “izriet” 108. panta pirmās daļas beigas ir šādas: “no 2021. gada 24. augusta Likuma Nr. 2021-1109 par Republikas principu ievērošanas stiprināšanu.”</w:t>
      </w:r>
      <w:r>
        <w:rPr>
          <w:rFonts w:ascii="Times New Roman" w:hAnsi="Times New Roman"/>
          <w:sz w:val="24"/>
        </w:rPr>
        <w:br/>
        <w:t xml:space="preserve">III </w:t>
      </w:r>
      <w:r w:rsidR="00445F17">
        <w:rPr>
          <w:rFonts w:ascii="Times New Roman" w:hAnsi="Times New Roman"/>
          <w:sz w:val="24"/>
        </w:rPr>
        <w:t>-</w:t>
      </w:r>
      <w:r>
        <w:rPr>
          <w:rFonts w:ascii="Times New Roman" w:hAnsi="Times New Roman"/>
          <w:sz w:val="24"/>
        </w:rPr>
        <w:t xml:space="preserve"> A. </w:t>
      </w:r>
      <w:r w:rsidR="00445F17">
        <w:rPr>
          <w:rFonts w:ascii="Times New Roman" w:hAnsi="Times New Roman"/>
          <w:sz w:val="24"/>
        </w:rPr>
        <w:t>-</w:t>
      </w:r>
      <w:r>
        <w:rPr>
          <w:rFonts w:ascii="Times New Roman" w:hAnsi="Times New Roman"/>
          <w:sz w:val="24"/>
        </w:rPr>
        <w:t xml:space="preserve"> Šā panta noteikumus piemēro līdz 2023. gada 31. decembrim.</w:t>
      </w:r>
      <w:r>
        <w:rPr>
          <w:rFonts w:ascii="Times New Roman" w:hAnsi="Times New Roman"/>
          <w:sz w:val="24"/>
        </w:rPr>
        <w:br/>
        <w:t xml:space="preserve">B. </w:t>
      </w:r>
      <w:r w:rsidR="00445F17">
        <w:rPr>
          <w:rFonts w:ascii="Times New Roman" w:hAnsi="Times New Roman"/>
          <w:sz w:val="24"/>
        </w:rPr>
        <w:t>-</w:t>
      </w:r>
      <w:r>
        <w:rPr>
          <w:rFonts w:ascii="Times New Roman" w:hAnsi="Times New Roman"/>
          <w:sz w:val="24"/>
        </w:rPr>
        <w:t xml:space="preserve"> Atkāpjoties no šā III punkta A apakšpunkta, no 2022. gada 7. jūnija šis pants netiek piemērots cīņai pret teroristiska satura publisku izplatīšanu Eiropas Parlamenta un Padomes 2021. gada 29. aprīļa Regulas (ES) 2021/784 par teroristiska satura izplatīšanu tiešsaistē 7. panta 2. punkta nozīmē.</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445F17"/>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2095</Words>
  <Characters>17453</Characters>
  <Application>Microsoft Office Word</Application>
  <DocSecurity>0</DocSecurity>
  <Lines>356</Lines>
  <Paragraphs>171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2022-02-14T12:25:00Z</dcterms:created>
  <dcterms:modified xsi:type="dcterms:W3CDTF">2022-02-14T12:25:00Z</dcterms:modified>
</cp:coreProperties>
</file>