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9117" w14:textId="02DA8CCA" w:rsidR="004A3BA8" w:rsidRDefault="004A3BA8" w:rsidP="00450593">
      <w:pPr>
        <w:pStyle w:val="BodyText"/>
      </w:pPr>
      <w:r>
        <w:t xml:space="preserve">PROIECT</w:t>
      </w:r>
    </w:p>
    <w:p w14:paraId="1557DC6E" w14:textId="77777777" w:rsidR="00450593" w:rsidRPr="00450593" w:rsidRDefault="00450593" w:rsidP="00450593">
      <w:pPr>
        <w:pStyle w:val="BodyTextIndent"/>
      </w:pPr>
    </w:p>
    <w:p w14:paraId="11F404A9" w14:textId="77777777" w:rsidR="004A3BA8" w:rsidRPr="005F75D2" w:rsidRDefault="004A3BA8" w:rsidP="005F75D2">
      <w:pPr>
        <w:pStyle w:val="BodyText"/>
        <w:pBdr>
          <w:top w:val="single" w:sz="6" w:space="1" w:color="auto"/>
        </w:pBdr>
        <w:ind w:right="-2411"/>
        <w:rPr>
          <w:sz w:val="4"/>
          <w:szCs w:val="4"/>
        </w:rPr>
      </w:pPr>
    </w:p>
    <w:p w14:paraId="5BC06867" w14:textId="304854B6" w:rsidR="004A3BA8" w:rsidRPr="00496B57" w:rsidRDefault="004A3BA8" w:rsidP="004A3BA8">
      <w:pPr>
        <w:pStyle w:val="Heading2"/>
        <w:spacing w:before="200"/>
      </w:pPr>
      <w:bookmarkStart w:id="0" w:name="Titel"/>
      <w:r>
        <w:t xml:space="preserve">Ordonanța de modificare a Ordonanței (2018:1462) privind răspunderea producătorului pentru ambalaje</w:t>
      </w:r>
      <w:bookmarkEnd w:id="0"/>
    </w:p>
    <w:p w14:paraId="7F721899" w14:textId="77777777" w:rsidR="004A3BA8" w:rsidRDefault="004A3BA8" w:rsidP="009C4782">
      <w:pPr>
        <w:pStyle w:val="BodyText"/>
      </w:pPr>
    </w:p>
    <w:p w14:paraId="7F293E91" w14:textId="766251DB" w:rsidR="004A3BA8" w:rsidRDefault="004A3BA8" w:rsidP="004A3BA8">
      <w:pPr>
        <w:pStyle w:val="BodyText"/>
      </w:pPr>
      <w:r>
        <w:t xml:space="preserve">Guvernul stabilește</w:t>
      </w:r>
      <w:r w:rsidR="00C4578D">
        <w:rPr>
          <w:rStyle w:val="FootnoteReference"/>
        </w:rPr>
        <w:footnoteReference w:id="2"/>
      </w:r>
      <w:r>
        <w:t xml:space="preserve"> cu privire la Ordonanța (2018:1462) privind răspunderea producătorului pentru ambalaje</w:t>
      </w:r>
      <w:r>
        <w:t xml:space="preserve"> </w:t>
      </w:r>
    </w:p>
    <w:p w14:paraId="291A1A4D" w14:textId="50B881EE" w:rsidR="004A3BA8" w:rsidRDefault="004A3BA8" w:rsidP="004A3BA8">
      <w:pPr>
        <w:pStyle w:val="BodyTextIndent"/>
      </w:pPr>
      <w:r>
        <w:rPr>
          <w:i/>
        </w:rPr>
        <w:t xml:space="preserve">parțial</w:t>
      </w:r>
      <w:r>
        <w:t xml:space="preserve"> că articolele 37 și 39 trebuie să aibă următoarea formulare:</w:t>
      </w:r>
    </w:p>
    <w:p w14:paraId="572695F9" w14:textId="03A8BA23" w:rsidR="004A3BA8" w:rsidRDefault="004A3BA8" w:rsidP="004A3BA8">
      <w:pPr>
        <w:pStyle w:val="BodyTextIndent"/>
      </w:pPr>
      <w:r>
        <w:rPr>
          <w:i/>
        </w:rPr>
        <w:t xml:space="preserve">parțial</w:t>
      </w:r>
      <w:r>
        <w:t xml:space="preserve"> că vor exista trei noi articole 38 a, 61 a și 79 a, cu următoarea formulare.</w:t>
      </w:r>
    </w:p>
    <w:p w14:paraId="17FD716E" w14:textId="70F551B7" w:rsidR="004A3BA8" w:rsidRDefault="004A3BA8" w:rsidP="004A3BA8">
      <w:pPr>
        <w:pStyle w:val="BodyTextIndent"/>
      </w:pPr>
    </w:p>
    <w:p w14:paraId="049A45F4" w14:textId="1FA1ADAA" w:rsidR="004A3BA8" w:rsidRDefault="00BD5F16" w:rsidP="004A3BA8">
      <w:pPr>
        <w:pStyle w:val="BodyText"/>
      </w:pPr>
      <w:r>
        <w:rPr>
          <w:b/>
        </w:rPr>
        <w:drawing>
          <wp:anchor distT="0" distB="0" distL="114300" distR="114300" simplePos="0" relativeHeight="251658240" behindDoc="1" locked="0" layoutInCell="1" allowOverlap="1" wp14:anchorId="62030268" wp14:editId="78E777E3">
            <wp:simplePos x="0" y="0"/>
            <wp:positionH relativeFrom="page">
              <wp:posOffset>675640</wp:posOffset>
            </wp:positionH>
            <wp:positionV relativeFrom="paragraph">
              <wp:posOffset>0</wp:posOffset>
            </wp:positionV>
            <wp:extent cx="12065" cy="341630"/>
            <wp:effectExtent l="0" t="0" r="26035" b="1270"/>
            <wp:wrapNone/>
            <wp:docPr id="3" name="Bildobjekt 3" descr="ändrad text"/>
            <wp:cNvGraphicFramePr/>
            <a:graphic xmlns:a="http://schemas.openxmlformats.org/drawingml/2006/main">
              <a:graphicData uri="http://schemas.openxmlformats.org/drawingml/2006/picture">
                <pic:pic xmlns:pic="http://schemas.openxmlformats.org/drawingml/2006/picture">
                  <pic:nvPicPr>
                    <pic:cNvPr id="3" name="Bildobjekt 3" descr="ändrad text"/>
                    <pic:cNvPicPr/>
                  </pic:nvPicPr>
                  <pic:blipFill>
                    <a:blip r:embed="rId14"/>
                    <a:stretch>
                      <a:fillRect/>
                    </a:stretch>
                  </pic:blipFill>
                  <pic:spPr>
                    <a:xfrm>
                      <a:off x="0" y="0"/>
                      <a:ext cx="12065" cy="341630"/>
                    </a:xfrm>
                    <a:prstGeom prst="rect">
                      <a:avLst/>
                    </a:prstGeom>
                  </pic:spPr>
                </pic:pic>
              </a:graphicData>
            </a:graphic>
            <wp14:sizeRelV relativeFrom="margin">
              <wp14:pctHeight>0</wp14:pctHeight>
            </wp14:sizeRelV>
          </wp:anchor>
        </w:drawing>
      </w:r>
      <w:r>
        <w:rPr>
          <w:b/>
        </w:rPr>
        <w:t xml:space="preserve">Articolul 37</w:t>
      </w:r>
      <w:r w:rsidR="00C4578D" w:rsidRPr="00AD2006">
        <w:rPr>
          <w:rStyle w:val="FootnoteReference"/>
          <w:bCs/>
        </w:rPr>
        <w:footnoteReference w:id="3"/>
      </w:r>
      <w:r>
        <w:t xml:space="preserve"> Un ambalaj poate fi introdus pe piața suedeză de către un producător numai dacă ambalajul</w:t>
      </w:r>
      <w:r>
        <w:t xml:space="preserve">  </w:t>
      </w:r>
    </w:p>
    <w:p w14:paraId="49DB092A" w14:textId="77777777" w:rsidR="004A3BA8" w:rsidRDefault="004A3BA8" w:rsidP="004A3BA8">
      <w:pPr>
        <w:pStyle w:val="BodyTextIndent"/>
      </w:pPr>
      <w:r>
        <w:t xml:space="preserve">1. are un volum și o greutate limitate la minimul necesar pentru a menține un nivel bun de siguranță și igienă;</w:t>
      </w:r>
      <w:r>
        <w:t xml:space="preserve"> </w:t>
      </w:r>
    </w:p>
    <w:p w14:paraId="322AB25E" w14:textId="77777777" w:rsidR="004A3BA8" w:rsidRDefault="004A3BA8" w:rsidP="004A3BA8">
      <w:pPr>
        <w:pStyle w:val="BodyTextIndent"/>
      </w:pPr>
      <w:r>
        <w:t xml:space="preserve">2. poate fi reutilizat sau reciclat; și</w:t>
      </w:r>
      <w:r>
        <w:t xml:space="preserve"> </w:t>
      </w:r>
    </w:p>
    <w:p w14:paraId="1CC93864" w14:textId="7951EAEB" w:rsidR="004A3BA8" w:rsidRDefault="00775C79" w:rsidP="004A3BA8">
      <w:pPr>
        <w:pStyle w:val="BodyTextIndent"/>
      </w:pPr>
      <w:r>
        <w:drawing>
          <wp:anchor distT="0" distB="0" distL="114300" distR="114300" simplePos="0" relativeHeight="251658245" behindDoc="1" locked="0" layoutInCell="1" allowOverlap="1" wp14:anchorId="2B1EAB77" wp14:editId="1098F2A9">
            <wp:simplePos x="0" y="0"/>
            <wp:positionH relativeFrom="page">
              <wp:posOffset>675640</wp:posOffset>
            </wp:positionH>
            <wp:positionV relativeFrom="paragraph">
              <wp:posOffset>0</wp:posOffset>
            </wp:positionV>
            <wp:extent cx="12065" cy="519430"/>
            <wp:effectExtent l="0" t="0" r="26035" b="0"/>
            <wp:wrapNone/>
            <wp:docPr id="9" name="Bildobjekt 9" descr="ändrad text"/>
            <wp:cNvGraphicFramePr/>
            <a:graphic xmlns:a="http://schemas.openxmlformats.org/drawingml/2006/main">
              <a:graphicData uri="http://schemas.openxmlformats.org/drawingml/2006/picture">
                <pic:pic xmlns:pic="http://schemas.openxmlformats.org/drawingml/2006/picture">
                  <pic:nvPicPr>
                    <pic:cNvPr id="9" name="Bildobjekt 9" descr="ändrad text"/>
                    <pic:cNvPicPr/>
                  </pic:nvPicPr>
                  <pic:blipFill>
                    <a:blip r:embed="rId14"/>
                    <a:stretch>
                      <a:fillRect/>
                    </a:stretch>
                  </pic:blipFill>
                  <pic:spPr>
                    <a:xfrm>
                      <a:off x="0" y="0"/>
                      <a:ext cx="12065" cy="519430"/>
                    </a:xfrm>
                    <a:prstGeom prst="rect">
                      <a:avLst/>
                    </a:prstGeom>
                  </pic:spPr>
                </pic:pic>
              </a:graphicData>
            </a:graphic>
            <wp14:sizeRelV relativeFrom="margin">
              <wp14:pctHeight>0</wp14:pctHeight>
            </wp14:sizeRelV>
          </wp:anchor>
        </w:drawing>
      </w:r>
      <w:r>
        <w:t xml:space="preserve">3. este produs pentru a reduce la minimum emisiile de substanțe nocive, iar impactul asupra mediului în general este limitat atunci când deșeurile de ambalaje sunt prelucrate sau sunt eliminate reziduurile provenite din prelucrarea deșeurilor de ambalaje.</w:t>
      </w:r>
    </w:p>
    <w:p w14:paraId="0E4CC1A2" w14:textId="77777777" w:rsidR="004A3BA8" w:rsidRDefault="004A3BA8" w:rsidP="004A3BA8">
      <w:pPr>
        <w:pStyle w:val="BodyTextIndent"/>
      </w:pPr>
    </w:p>
    <w:p w14:paraId="74FB299C" w14:textId="5F5EAA22" w:rsidR="004A3BA8" w:rsidRDefault="00BD5F16" w:rsidP="004A3BA8">
      <w:pPr>
        <w:pStyle w:val="BodyText"/>
      </w:pPr>
      <w:r>
        <w:rPr>
          <w:b/>
        </w:rPr>
        <w:drawing>
          <wp:anchor distT="0" distB="0" distL="114300" distR="114300" simplePos="0" relativeHeight="251658241" behindDoc="1" locked="0" layoutInCell="1" allowOverlap="1" wp14:anchorId="7D68A5FB" wp14:editId="19FACF5C">
            <wp:simplePos x="0" y="0"/>
            <wp:positionH relativeFrom="page">
              <wp:posOffset>675640</wp:posOffset>
            </wp:positionH>
            <wp:positionV relativeFrom="paragraph">
              <wp:posOffset>0</wp:posOffset>
            </wp:positionV>
            <wp:extent cx="12065" cy="2592070"/>
            <wp:effectExtent l="0" t="0" r="26035" b="0"/>
            <wp:wrapNone/>
            <wp:docPr id="4" name="Bildobjekt 4" descr="ändrad text"/>
            <wp:cNvGraphicFramePr/>
            <a:graphic xmlns:a="http://schemas.openxmlformats.org/drawingml/2006/main">
              <a:graphicData uri="http://schemas.openxmlformats.org/drawingml/2006/picture">
                <pic:pic xmlns:pic="http://schemas.openxmlformats.org/drawingml/2006/picture">
                  <pic:nvPicPr>
                    <pic:cNvPr id="4" name="Bildobjekt 4" descr="ändrad text"/>
                    <pic:cNvPicPr/>
                  </pic:nvPicPr>
                  <pic:blipFill>
                    <a:blip r:embed="rId14"/>
                    <a:stretch>
                      <a:fillRect/>
                    </a:stretch>
                  </pic:blipFill>
                  <pic:spPr>
                    <a:xfrm>
                      <a:off x="0" y="0"/>
                      <a:ext cx="12065" cy="2592070"/>
                    </a:xfrm>
                    <a:prstGeom prst="rect">
                      <a:avLst/>
                    </a:prstGeom>
                  </pic:spPr>
                </pic:pic>
              </a:graphicData>
            </a:graphic>
            <wp14:sizeRelV relativeFrom="margin">
              <wp14:pctHeight>0</wp14:pctHeight>
            </wp14:sizeRelV>
          </wp:anchor>
        </w:drawing>
      </w:r>
      <w:r>
        <w:rPr>
          <w:b/>
        </w:rPr>
        <w:t xml:space="preserve">Articolul 38 a</w:t>
      </w:r>
      <w:r>
        <w:t xml:space="preserve"> Un ambalaj este considerat a fi reciclabil în conformitate cu articolul 37 alineatul (2) dacă</w:t>
      </w:r>
      <w:r>
        <w:t xml:space="preserve">  </w:t>
      </w:r>
    </w:p>
    <w:p w14:paraId="3A06AE53" w14:textId="56AE1F6C" w:rsidR="004A3BA8" w:rsidRDefault="004A3BA8" w:rsidP="004A3BA8">
      <w:pPr>
        <w:pStyle w:val="BodyTextIndent"/>
      </w:pPr>
      <w:r>
        <w:t xml:space="preserve">1. cel puțin 75 % din greutatea materialului utilizat la ambalaj poate fi reciclată pentru materiale vandabile sau produse vandabile; sau</w:t>
      </w:r>
    </w:p>
    <w:p w14:paraId="020CFA8C" w14:textId="391BED2F" w:rsidR="004A3BA8" w:rsidRDefault="004A3BA8" w:rsidP="004A3BA8">
      <w:pPr>
        <w:pStyle w:val="BodyTextIndent"/>
      </w:pPr>
      <w:r>
        <w:t xml:space="preserve">2. ambalajul poate fi reciclat în conformitate cu cerințele de la articolul 39 și ambalajul</w:t>
      </w:r>
      <w:r>
        <w:t xml:space="preserve">  </w:t>
      </w:r>
    </w:p>
    <w:p w14:paraId="2C81D9B4" w14:textId="70F85B5B" w:rsidR="004A3BA8" w:rsidRDefault="004A3BA8" w:rsidP="004A3BA8">
      <w:pPr>
        <w:pStyle w:val="BodyTextIndent"/>
      </w:pPr>
      <w:r>
        <w:t xml:space="preserve">(a) este necesar pentru a prelungi perioada de valabilitate a produselor alimentare într-o măsură care să nu fie nesemnificativă;</w:t>
      </w:r>
      <w:r>
        <w:t xml:space="preserve">  </w:t>
      </w:r>
    </w:p>
    <w:p w14:paraId="1583CE14" w14:textId="02D5AC32" w:rsidR="004A3BA8" w:rsidRDefault="004A3BA8" w:rsidP="004A3BA8">
      <w:pPr>
        <w:pStyle w:val="BodyTextIndent"/>
      </w:pPr>
      <w:r>
        <w:t xml:space="preserve">(b) este necesar pentru a îndeplini cerințele unui alt statut;</w:t>
      </w:r>
      <w:r>
        <w:t xml:space="preserve">  </w:t>
      </w:r>
    </w:p>
    <w:p w14:paraId="2A266F56" w14:textId="77777777" w:rsidR="004A3BA8" w:rsidRDefault="004A3BA8" w:rsidP="004A3BA8">
      <w:pPr>
        <w:pStyle w:val="BodyTextIndent"/>
      </w:pPr>
      <w:r>
        <w:t xml:space="preserve">(c) peste 50 % din greutate este fabricat din plastic reciclat de o calitate atât de scăzută încât ambalajul nu poate fi reciclat; sau</w:t>
      </w:r>
      <w:r>
        <w:t xml:space="preserve"> </w:t>
      </w:r>
    </w:p>
    <w:p w14:paraId="09F77C96" w14:textId="77777777" w:rsidR="004A3BA8" w:rsidRDefault="004A3BA8" w:rsidP="004A3BA8">
      <w:pPr>
        <w:pStyle w:val="BodyTextIndent"/>
      </w:pPr>
      <w:r>
        <w:t xml:space="preserve">(d) este un container din lemn.</w:t>
      </w:r>
      <w:r>
        <w:t xml:space="preserve"> </w:t>
      </w:r>
    </w:p>
    <w:p w14:paraId="2B098D40" w14:textId="5A3BB0A3" w:rsidR="004A3BA8" w:rsidRDefault="004A3BA8" w:rsidP="004A3BA8">
      <w:pPr>
        <w:pStyle w:val="BodyTextIndent"/>
      </w:pPr>
      <w:r>
        <w:t xml:space="preserve">Atunci când se evaluează dacă este necesar un ambalaj în conformitate cu alineatul (2) litera (a) sau (b), se iau în considerare posibilitățile existente de a înlocui ambalajul cu un ambalaj care a fost fabricat dintr-un material care poate fi reciclat.</w:t>
      </w:r>
      <w:r>
        <w:t xml:space="preserve"> </w:t>
      </w:r>
      <w:r>
        <w:t xml:space="preserve">De asemenea, se iau în considerare efectele unei astfel de schimbări de material asupra sănătății umane și asupra mediului.</w:t>
      </w:r>
    </w:p>
    <w:p w14:paraId="7DA6DB66" w14:textId="053BE539" w:rsidR="004A3BA8" w:rsidRDefault="004A3BA8" w:rsidP="004A3BA8">
      <w:pPr>
        <w:pStyle w:val="BodyTextIndent"/>
      </w:pPr>
    </w:p>
    <w:p w14:paraId="387AB169" w14:textId="69A7F7CA" w:rsidR="004A3BA8" w:rsidRDefault="00BD5F16" w:rsidP="004A3BA8">
      <w:pPr>
        <w:pStyle w:val="BodyText"/>
      </w:pPr>
      <w:r>
        <w:rPr>
          <w:b/>
        </w:rPr>
        <w:drawing>
          <wp:anchor distT="0" distB="0" distL="114300" distR="114300" simplePos="0" relativeHeight="251658242" behindDoc="1" locked="0" layoutInCell="1" allowOverlap="1" wp14:anchorId="19BF73B8" wp14:editId="62F1749D">
            <wp:simplePos x="0" y="0"/>
            <wp:positionH relativeFrom="page">
              <wp:posOffset>675640</wp:posOffset>
            </wp:positionH>
            <wp:positionV relativeFrom="paragraph">
              <wp:posOffset>0</wp:posOffset>
            </wp:positionV>
            <wp:extent cx="12065" cy="349886"/>
            <wp:effectExtent l="0" t="0" r="26035" b="0"/>
            <wp:wrapNone/>
            <wp:docPr id="6" name="Bildobjekt 6" descr="ändrad text"/>
            <wp:cNvGraphicFramePr/>
            <a:graphic xmlns:a="http://schemas.openxmlformats.org/drawingml/2006/main">
              <a:graphicData uri="http://schemas.openxmlformats.org/drawingml/2006/picture">
                <pic:pic xmlns:pic="http://schemas.openxmlformats.org/drawingml/2006/picture">
                  <pic:nvPicPr>
                    <pic:cNvPr id="6" name="Bildobjekt 6" descr="ändrad text"/>
                    <pic:cNvPicPr/>
                  </pic:nvPicPr>
                  <pic:blipFill>
                    <a:blip r:embed="rId14"/>
                    <a:stretch>
                      <a:fillRect/>
                    </a:stretch>
                  </pic:blipFill>
                  <pic:spPr>
                    <a:xfrm>
                      <a:off x="0" y="0"/>
                      <a:ext cx="12065" cy="349886"/>
                    </a:xfrm>
                    <a:prstGeom prst="rect">
                      <a:avLst/>
                    </a:prstGeom>
                  </pic:spPr>
                </pic:pic>
              </a:graphicData>
            </a:graphic>
            <wp14:sizeRelV relativeFrom="margin">
              <wp14:pctHeight>0</wp14:pctHeight>
            </wp14:sizeRelV>
          </wp:anchor>
        </w:drawing>
      </w:r>
      <w:r>
        <w:rPr>
          <w:b/>
        </w:rPr>
        <w:t xml:space="preserve">Articolul 39</w:t>
      </w:r>
      <w:r w:rsidR="00C4578D" w:rsidRPr="00AD2006">
        <w:rPr>
          <w:rStyle w:val="FootnoteReference"/>
          <w:bCs/>
        </w:rPr>
        <w:footnoteReference w:id="4"/>
      </w:r>
      <w:r>
        <w:t xml:space="preserve"> Un ambalaj menționat la articolul 38 a alineatul (2) se consideră reciclabil prin</w:t>
      </w:r>
      <w:r>
        <w:t xml:space="preserve"> </w:t>
      </w:r>
    </w:p>
    <w:p w14:paraId="2E9AD062" w14:textId="7BFCB0C7" w:rsidR="004A3BA8" w:rsidRDefault="004A3BA8" w:rsidP="004A3BA8">
      <w:pPr>
        <w:pStyle w:val="BodyTextIndent"/>
      </w:pPr>
      <w:r>
        <w:t xml:space="preserve">1. reciclarea materialelor, în cazul în care ambalajul este produs astfel încât să fie posibilă utilizarea unui anumit procent din greutatea ambalajului pentru fabricarea produselor comercializabile;</w:t>
      </w:r>
      <w:r>
        <w:t xml:space="preserve"> </w:t>
      </w:r>
    </w:p>
    <w:p w14:paraId="1D4FB8B3" w14:textId="2816C857" w:rsidR="004A3BA8" w:rsidRDefault="004A3BA8" w:rsidP="004A3BA8">
      <w:pPr>
        <w:pStyle w:val="BodyTextIndent"/>
      </w:pPr>
      <w:r>
        <w:t xml:space="preserve">2. extracția de energie, în cazul în care deșeurile de ambalaje au o valoare termică minimă pentru a asigura o extracție optimă a energiei; sau</w:t>
      </w:r>
      <w:r>
        <w:t xml:space="preserve"> </w:t>
      </w:r>
    </w:p>
    <w:p w14:paraId="5ADEC108" w14:textId="75A85FD2" w:rsidR="004A3BA8" w:rsidRDefault="004A3BA8" w:rsidP="004A3BA8">
      <w:pPr>
        <w:pStyle w:val="BodyTextIndent"/>
      </w:pPr>
      <w:r>
        <w:t xml:space="preserve">3. compostarea, în cazul în care deșeurile de ambalaje sunt biodegradabile într-o asemenea măsură încât să nu împiedice colectarea separată sau să împiedice procesul de compostare sau activitatea de compostare la care sunt supuse deșeurile și să fie de așa natură încât să poată fi supuse degradării fizice, chimice, termice sau biologice astfel încât cea mai mare parte a compostului finit să fie descompusă în cele din urmă în dioxid de carbon, biomasă și apă.</w:t>
      </w:r>
    </w:p>
    <w:p w14:paraId="2EA02B05" w14:textId="60A16F41" w:rsidR="004A3BA8" w:rsidRDefault="00B27E27" w:rsidP="00B7501B">
      <w:pPr>
        <w:pStyle w:val="BodyTextIndent"/>
      </w:pPr>
      <w:r>
        <w:rPr>
          <w:b/>
        </w:rPr>
        <w:drawing>
          <wp:anchor distT="0" distB="0" distL="114300" distR="114300" simplePos="0" relativeHeight="251658243" behindDoc="1" locked="0" layoutInCell="1" allowOverlap="1" wp14:anchorId="7FF388CB" wp14:editId="57B3ACA4">
            <wp:simplePos x="0" y="0"/>
            <wp:positionH relativeFrom="page">
              <wp:posOffset>675640</wp:posOffset>
            </wp:positionH>
            <wp:positionV relativeFrom="paragraph">
              <wp:posOffset>194310</wp:posOffset>
            </wp:positionV>
            <wp:extent cx="12065" cy="2705051"/>
            <wp:effectExtent l="0" t="0" r="26035" b="635"/>
            <wp:wrapNone/>
            <wp:docPr id="7" name="Bildobjekt 7" descr="ändrad text"/>
            <wp:cNvGraphicFramePr/>
            <a:graphic xmlns:a="http://schemas.openxmlformats.org/drawingml/2006/main">
              <a:graphicData uri="http://schemas.openxmlformats.org/drawingml/2006/picture">
                <pic:pic xmlns:pic="http://schemas.openxmlformats.org/drawingml/2006/picture">
                  <pic:nvPicPr>
                    <pic:cNvPr id="7" name="Bildobjekt 7" descr="ändrad text"/>
                    <pic:cNvPicPr/>
                  </pic:nvPicPr>
                  <pic:blipFill>
                    <a:blip r:embed="rId14"/>
                    <a:stretch>
                      <a:fillRect/>
                    </a:stretch>
                  </pic:blipFill>
                  <pic:spPr>
                    <a:xfrm>
                      <a:off x="0" y="0"/>
                      <a:ext cx="12065" cy="2705051"/>
                    </a:xfrm>
                    <a:prstGeom prst="rect">
                      <a:avLst/>
                    </a:prstGeom>
                  </pic:spPr>
                </pic:pic>
              </a:graphicData>
            </a:graphic>
            <wp14:sizeRelV relativeFrom="margin">
              <wp14:pctHeight>0</wp14:pctHeight>
            </wp14:sizeRelV>
          </wp:anchor>
        </w:drawing>
      </w:r>
    </w:p>
    <w:p w14:paraId="0F86E6D3" w14:textId="609AE4DA" w:rsidR="004A3BA8" w:rsidRDefault="004A3BA8" w:rsidP="004A3BA8">
      <w:pPr>
        <w:pStyle w:val="BodyText"/>
      </w:pPr>
      <w:r>
        <w:rPr>
          <w:b/>
        </w:rPr>
        <w:t xml:space="preserve">Articolul 61 a</w:t>
      </w:r>
      <w:r>
        <w:t xml:space="preserve"> Un sistem de colectare se poate angaja să gestioneze un ambalaj odată ce acesta a devenit deșeu pentru un producător care va îndeplini cerința de la articolul 42, numai dacă</w:t>
      </w:r>
    </w:p>
    <w:p w14:paraId="74B9397F" w14:textId="1B0B4FBF" w:rsidR="004A3BA8" w:rsidRDefault="004A3BA8" w:rsidP="004A3BA8">
      <w:pPr>
        <w:pStyle w:val="BodyTextIndent"/>
      </w:pPr>
      <w:r>
        <w:t xml:space="preserve">1. sistemul de colectare are condiții prealabile tehnice și capacitate suficientă pentru a putea recupera cel puțin 75 % din greutatea materialului utilizat în ambalaje pentru materiale vandabile sau produse vandabile;</w:t>
      </w:r>
      <w:r>
        <w:t xml:space="preserve">  </w:t>
      </w:r>
    </w:p>
    <w:p w14:paraId="2241866C" w14:textId="1BFF2350" w:rsidR="004A3BA8" w:rsidRDefault="004A3BA8" w:rsidP="004A3BA8">
      <w:pPr>
        <w:pStyle w:val="BodyTextIndent"/>
      </w:pPr>
      <w:r>
        <w:t xml:space="preserve">2. sistemul de colectare asigură faptul că o altă entitate, cu condiții tehnice prealabile și capacitate suficientă, se angajează să recupereze cel puțin 75 % din greutatea materialului utilizat în ambalaj pentru materialele vandabile sau produsele vandabile;</w:t>
      </w:r>
      <w:r>
        <w:t xml:space="preserve">  </w:t>
      </w:r>
    </w:p>
    <w:p w14:paraId="02AE5874" w14:textId="336CF2B9" w:rsidR="004A3BA8" w:rsidRDefault="004A3BA8" w:rsidP="004A3BA8">
      <w:pPr>
        <w:pStyle w:val="BodyTextIndent"/>
      </w:pPr>
      <w:r>
        <w:t xml:space="preserve">3. ambalajul este un ambalaj astfel cum se menționează la articolul 38 a alineatul (2), iar sistemul de colectare sau o altă entitate reciclează ambalajul în conformitate cu cerințele de la articolul 39; sau</w:t>
      </w:r>
      <w:r>
        <w:t xml:space="preserve">  </w:t>
      </w:r>
    </w:p>
    <w:p w14:paraId="5A9E296C" w14:textId="3704B722" w:rsidR="004A3BA8" w:rsidRDefault="004A3BA8" w:rsidP="004A3BA8">
      <w:pPr>
        <w:pStyle w:val="BodyTextIndent"/>
      </w:pPr>
      <w:r>
        <w:t xml:space="preserve">4. ambalajul face obiectul reglementărilor emise în conformitate cu articolul 79 a, iar sistemul de colectare sau o altă entitate reciclează ambalajul în conformitate cu cerințele stabilite la articolul 39.</w:t>
      </w:r>
    </w:p>
    <w:p w14:paraId="00A807C7" w14:textId="77777777" w:rsidR="004A3BA8" w:rsidRDefault="004A3BA8" w:rsidP="00B7501B">
      <w:pPr>
        <w:pStyle w:val="BodyTextIndent"/>
      </w:pPr>
    </w:p>
    <w:p w14:paraId="7B037174" w14:textId="48C66959" w:rsidR="004A3BA8" w:rsidRDefault="00BD5F16" w:rsidP="00AD2006">
      <w:pPr>
        <w:pStyle w:val="BodyText"/>
      </w:pPr>
      <w:r>
        <w:rPr>
          <w:b/>
        </w:rPr>
        <w:drawing>
          <wp:anchor distT="0" distB="0" distL="114300" distR="114300" simplePos="0" relativeHeight="251658244" behindDoc="1" locked="0" layoutInCell="1" allowOverlap="1" wp14:anchorId="67A817FA" wp14:editId="52E3C68D">
            <wp:simplePos x="0" y="0"/>
            <wp:positionH relativeFrom="page">
              <wp:posOffset>675640</wp:posOffset>
            </wp:positionH>
            <wp:positionV relativeFrom="paragraph">
              <wp:posOffset>0</wp:posOffset>
            </wp:positionV>
            <wp:extent cx="12065" cy="525145"/>
            <wp:effectExtent l="0" t="0" r="26035" b="8255"/>
            <wp:wrapNone/>
            <wp:docPr id="8" name="Bildobjekt 8" descr="ändrad text"/>
            <wp:cNvGraphicFramePr/>
            <a:graphic xmlns:a="http://schemas.openxmlformats.org/drawingml/2006/main">
              <a:graphicData uri="http://schemas.openxmlformats.org/drawingml/2006/picture">
                <pic:pic xmlns:pic="http://schemas.openxmlformats.org/drawingml/2006/picture">
                  <pic:nvPicPr>
                    <pic:cNvPr id="8" name="Bildobjekt 8" descr="ändrad text"/>
                    <pic:cNvPicPr/>
                  </pic:nvPicPr>
                  <pic:blipFill>
                    <a:blip r:embed="rId14"/>
                    <a:stretch>
                      <a:fillRect/>
                    </a:stretch>
                  </pic:blipFill>
                  <pic:spPr>
                    <a:xfrm>
                      <a:off x="0" y="0"/>
                      <a:ext cx="12065" cy="525145"/>
                    </a:xfrm>
                    <a:prstGeom prst="rect">
                      <a:avLst/>
                    </a:prstGeom>
                  </pic:spPr>
                </pic:pic>
              </a:graphicData>
            </a:graphic>
            <wp14:sizeRelV relativeFrom="margin">
              <wp14:pctHeight>0</wp14:pctHeight>
            </wp14:sizeRelV>
          </wp:anchor>
        </w:drawing>
      </w:r>
      <w:r>
        <w:rPr>
          <w:b/>
        </w:rPr>
        <w:t xml:space="preserve">Articolul 79 a</w:t>
      </w:r>
      <w:r>
        <w:t xml:space="preserve"> Agenția Suedeză pentru Protecția Mediului poate emite reglementări care să precizeze că un ambalaj care nu îndeplinește cerințele de la articolul 38 a este considerat reciclabil dacă există motive speciale pentru utilizarea ambalajului respectiv.</w:t>
      </w:r>
      <w:r>
        <w:t xml:space="preserve">                       </w:t>
      </w:r>
    </w:p>
    <w:p w14:paraId="43F85EE1" w14:textId="77777777" w:rsidR="004A3BA8" w:rsidRPr="009F0C87" w:rsidRDefault="004A3BA8" w:rsidP="008938FE">
      <w:pPr>
        <w:pStyle w:val="Slutstreck"/>
        <w:spacing w:line="232" w:lineRule="exact"/>
      </w:pPr>
      <w:r>
        <w:t xml:space="preserve">                      </w:t>
      </w:r>
    </w:p>
    <w:p w14:paraId="6E56F2FA" w14:textId="7BF4003F" w:rsidR="004A3BA8" w:rsidRDefault="004A3BA8" w:rsidP="004A3BA8">
      <w:pPr>
        <w:pStyle w:val="BodyTextIndent"/>
      </w:pPr>
      <w:r>
        <w:t xml:space="preserve">Prezenta ordonanță intră în vigoare la 1 ianuarie 2022 în ceea ce privește articolul 79 a și, în caz contrar, la 1 ianuarie 2025.</w:t>
      </w:r>
    </w:p>
    <w:sectPr w:rsidR="004A3BA8" w:rsidSect="00B045CC">
      <w:headerReference w:type="even" r:id="rId15"/>
      <w:headerReference w:type="default" r:id="rId16"/>
      <w:footerReference w:type="default" r:id="rId17"/>
      <w:footerReference w:type="first" r:id="rId18"/>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9968" w14:textId="77777777" w:rsidR="009C5815" w:rsidRDefault="009C5815" w:rsidP="00680442">
      <w:r>
        <w:separator/>
      </w:r>
    </w:p>
  </w:endnote>
  <w:endnote w:type="continuationSeparator" w:id="0">
    <w:p w14:paraId="43A21EAA" w14:textId="77777777" w:rsidR="009C5815" w:rsidRDefault="009C5815" w:rsidP="00680442">
      <w:r>
        <w:continuationSeparator/>
      </w:r>
    </w:p>
  </w:endnote>
  <w:endnote w:type="continuationNotice" w:id="1">
    <w:p w14:paraId="536464AD" w14:textId="77777777" w:rsidR="009C5815" w:rsidRDefault="009C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DC2D" w14:textId="77777777" w:rsidR="009C5815" w:rsidRDefault="009C5815" w:rsidP="00CE05BB">
    <w:pPr>
      <w:pStyle w:val="Footer"/>
    </w:pPr>
    <w:r>
      <mc:AlternateContent>
        <mc:Choice Requires="wps">
          <w:drawing>
            <wp:anchor distT="0" distB="0" distL="114300" distR="114300" simplePos="0" relativeHeight="251657216" behindDoc="0" locked="0" layoutInCell="1" allowOverlap="1" wp14:anchorId="799C8231" wp14:editId="043B90E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7C41E" w14:textId="77777777" w:rsidR="009C5815" w:rsidRDefault="009C5815"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C8231" id="_x0000_t202" coordsize="21600,21600" o:spt="202" path="m,l,21600r21600,l21600,xe">
              <v:stroke joinstyle="miter"/>
              <v:path gradientshapeok="t" o:connecttype="rect"/>
            </v:shapetype>
            <v:shape id="Textruta 2" o:spid="_x0000_s1027"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3F7C41E" w14:textId="77777777" w:rsidR="009C5815" w:rsidRDefault="009C581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6B3F" w14:textId="77777777" w:rsidR="009C5815" w:rsidRDefault="009C5815" w:rsidP="00CE05BB">
    <w:pPr>
      <w:pStyle w:val="Footer"/>
    </w:pPr>
    <w:r>
      <mc:AlternateContent>
        <mc:Choice Requires="wps">
          <w:drawing>
            <wp:anchor distT="0" distB="0" distL="114300" distR="114300" simplePos="0" relativeHeight="251656192" behindDoc="0" locked="0" layoutInCell="1" allowOverlap="1" wp14:anchorId="7C31E3F9" wp14:editId="2103B84D">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B81A61" w14:textId="77777777" w:rsidR="009C5815" w:rsidRDefault="009C5815"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E3F9" id="_x0000_t202" coordsize="21600,21600" o:spt="202" path="m,l,21600r21600,l21600,xe">
              <v:stroke joinstyle="miter"/>
              <v:path gradientshapeok="t" o:connecttype="rect"/>
            </v:shapetype>
            <v:shape id="Textruta 1" o:spid="_x0000_s1028"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65B81A61" w14:textId="77777777" w:rsidR="009C5815" w:rsidRDefault="009C581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22CA" w14:textId="77777777" w:rsidR="009C5815" w:rsidRDefault="009C5815" w:rsidP="00680442"/>
  </w:footnote>
  <w:footnote w:type="continuationSeparator" w:id="0">
    <w:p w14:paraId="77A02ADF" w14:textId="77777777" w:rsidR="009C5815" w:rsidRPr="00C26807" w:rsidRDefault="009C5815" w:rsidP="00C26807">
      <w:pPr>
        <w:pStyle w:val="Footer"/>
      </w:pPr>
    </w:p>
  </w:footnote>
  <w:footnote w:type="continuationNotice" w:id="1">
    <w:p w14:paraId="5CB45579" w14:textId="77777777" w:rsidR="009C5815" w:rsidRDefault="009C5815"/>
  </w:footnote>
  <w:footnote w:id="2">
    <w:p w14:paraId="34EB3B77" w14:textId="10A7E375" w:rsidR="009C5815" w:rsidRDefault="009C5815">
      <w:pPr>
        <w:pStyle w:val="FootnoteText"/>
      </w:pPr>
      <w:r>
        <w:rPr>
          <w:rStyle w:val="FootnoteReference"/>
        </w:rPr>
        <w:footnoteRef/>
      </w:r>
      <w:r>
        <w:t xml:space="preserve"> A se vedea</w:t>
      </w:r>
      <w:r>
        <w:t xml:space="preserve"> </w:t>
      </w:r>
      <w:r>
        <w:t xml:space="preserve">Directiva (UE) 2019/904 a Parlamentului European și a Consiliului din 5 iunie 2019 privind reducerea impactului anumitor produse din plastic asupra mediului, în formularea inițială, Directiva (UE) 2008/98 a Parlamentului European și a Consiliului din 19 noiembrie 2008 privind deșeurile și de abrogare a anumitor directive, în formularea în conformitate cu Directiva (UE) 2018/851 a Parlamentului European și a Consiliului și cu Directiva 94/62/UE a Parlamentului European și a Consiliului din 20 decembrie 1994 privind ambalajele și deșeurile de ambalaje, în formularea prevăzută în Directiva (UE) 2018/852 a Parlamentului European și a Consiliului.</w:t>
      </w:r>
      <w:r>
        <w:t xml:space="preserve"> </w:t>
      </w:r>
      <w:r>
        <w:t xml:space="preserve">A se vedea și Directiva (UE) 2015/1535 a Parlamentului European și a Consiliului din 9 septembrie 2015 referitoare la procedura de furnizare de informații în domeniul reglementărilor tehnice și al normelor privind serviciile societății informaționale (text codificat).</w:t>
      </w:r>
    </w:p>
  </w:footnote>
  <w:footnote w:id="3">
    <w:p w14:paraId="2F1364C4" w14:textId="19BE0613" w:rsidR="009C5815" w:rsidRDefault="009C5815">
      <w:pPr>
        <w:pStyle w:val="FootnoteText"/>
      </w:pPr>
      <w:r>
        <w:rPr>
          <w:rStyle w:val="FootnoteReference"/>
        </w:rPr>
        <w:footnoteRef/>
      </w:r>
      <w:r>
        <w:t xml:space="preserve"> Cea mai recentă formulare 2020:615.</w:t>
      </w:r>
    </w:p>
  </w:footnote>
  <w:footnote w:id="4">
    <w:p w14:paraId="73263F69" w14:textId="77777777" w:rsidR="009C5815" w:rsidRDefault="009C5815" w:rsidP="00C4578D">
      <w:pPr>
        <w:pStyle w:val="FootnoteText"/>
      </w:pPr>
      <w:r>
        <w:rPr>
          <w:rStyle w:val="FootnoteReference"/>
        </w:rPr>
        <w:footnoteRef/>
      </w:r>
      <w:r>
        <w:t xml:space="preserve"> Cea mai recentă formulare 2020:615.</w:t>
      </w:r>
    </w:p>
    <w:p w14:paraId="7C9AAFCF" w14:textId="1D5B9EC0" w:rsidR="009C5815" w:rsidRDefault="009C58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6BD0" w14:textId="77777777" w:rsidR="009C5815" w:rsidRDefault="00A41932">
    <w:pPr>
      <w:pStyle w:val="Header"/>
    </w:pPr>
    <w:r>
      <w:pict w14:anchorId="38AC2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ACESTA ESTE UN DOCUMENT DE TEST. NU ESTE UN DOCUMENT VALAB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330A" w14:textId="77777777" w:rsidR="009C5815" w:rsidRDefault="009C5815" w:rsidP="00F77ABC">
    <w:pPr>
      <w:pStyle w:val="Header"/>
      <w:jc w:val="right"/>
    </w:pPr>
    <w:r>
      <mc:AlternateContent>
        <mc:Choice Requires="wps">
          <w:drawing>
            <wp:anchor distT="0" distB="0" distL="114300" distR="114300" simplePos="0" relativeHeight="251658240" behindDoc="0" locked="0" layoutInCell="1" allowOverlap="1" wp14:anchorId="3E6FE86B" wp14:editId="663425D6">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22ABB" w14:textId="77777777" w:rsidR="009C5815" w:rsidRPr="001974BD" w:rsidRDefault="009C5815" w:rsidP="00B90519">
                          <w:pPr>
                            <w:rPr>
                              <w:b/>
                              <w:sz w:val="22"/>
                              <w:szCs w:val="22"/>
                            </w:rPr>
                          </w:pPr>
                          <w:r>
                            <w:rPr>
                              <w:b/>
                              <w:sz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FE86B" id="_x0000_t202" coordsize="21600,21600" o:spt="202" path="m,l,21600r21600,l21600,xe">
              <v:stroke joinstyle="miter"/>
              <v:path gradientshapeok="t" o:connecttype="rect"/>
            </v:shapetype>
            <v:shape id="Textruta 5" o:spid="_x0000_s1026"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26C22ABB" w14:textId="77777777" w:rsidR="009C5815" w:rsidRPr="001974BD" w:rsidRDefault="009C5815" w:rsidP="00B90519">
                    <w:pPr>
                      <w:rPr>
                        <w:b/>
                        <w:sz w:val="22"/>
                        <w:szCs w:val="22"/>
                      </w:rPr>
                    </w:pPr>
                    <w:r>
                      <w:rPr>
                        <w:b/>
                        <w:sz w:val="22"/>
                      </w:rPr>
                      <w:t xml:space="preserve">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A8"/>
    <w:rsid w:val="00014844"/>
    <w:rsid w:val="00027BEC"/>
    <w:rsid w:val="000309B4"/>
    <w:rsid w:val="00050C9E"/>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D56FC"/>
    <w:rsid w:val="000D5E85"/>
    <w:rsid w:val="000F16E5"/>
    <w:rsid w:val="00100E2C"/>
    <w:rsid w:val="00132BD5"/>
    <w:rsid w:val="00135F8C"/>
    <w:rsid w:val="001409E8"/>
    <w:rsid w:val="00162B76"/>
    <w:rsid w:val="00165B5E"/>
    <w:rsid w:val="00175988"/>
    <w:rsid w:val="00181BC1"/>
    <w:rsid w:val="001974BD"/>
    <w:rsid w:val="001B3CEB"/>
    <w:rsid w:val="001B4DB6"/>
    <w:rsid w:val="001C7E6D"/>
    <w:rsid w:val="001F4FE9"/>
    <w:rsid w:val="00201C96"/>
    <w:rsid w:val="00224C44"/>
    <w:rsid w:val="00232439"/>
    <w:rsid w:val="0023447C"/>
    <w:rsid w:val="00256E21"/>
    <w:rsid w:val="002576A9"/>
    <w:rsid w:val="00264A3C"/>
    <w:rsid w:val="00267351"/>
    <w:rsid w:val="002767C4"/>
    <w:rsid w:val="0029295C"/>
    <w:rsid w:val="002949DD"/>
    <w:rsid w:val="002A76C1"/>
    <w:rsid w:val="002B3871"/>
    <w:rsid w:val="002B452D"/>
    <w:rsid w:val="002D247A"/>
    <w:rsid w:val="002D3D78"/>
    <w:rsid w:val="002F68D4"/>
    <w:rsid w:val="00301819"/>
    <w:rsid w:val="00323010"/>
    <w:rsid w:val="0032527C"/>
    <w:rsid w:val="00332533"/>
    <w:rsid w:val="00343A99"/>
    <w:rsid w:val="00344B4A"/>
    <w:rsid w:val="00350B0F"/>
    <w:rsid w:val="0035181A"/>
    <w:rsid w:val="00353EE4"/>
    <w:rsid w:val="003642F1"/>
    <w:rsid w:val="003661D1"/>
    <w:rsid w:val="00367C3F"/>
    <w:rsid w:val="0037085F"/>
    <w:rsid w:val="0039337B"/>
    <w:rsid w:val="003A6AD5"/>
    <w:rsid w:val="003B4745"/>
    <w:rsid w:val="004043E4"/>
    <w:rsid w:val="00406562"/>
    <w:rsid w:val="0044098C"/>
    <w:rsid w:val="00440A07"/>
    <w:rsid w:val="00450593"/>
    <w:rsid w:val="00460C4D"/>
    <w:rsid w:val="00461C46"/>
    <w:rsid w:val="00461D7A"/>
    <w:rsid w:val="00465E8F"/>
    <w:rsid w:val="00467E22"/>
    <w:rsid w:val="00467F48"/>
    <w:rsid w:val="00475117"/>
    <w:rsid w:val="00475F84"/>
    <w:rsid w:val="00487A84"/>
    <w:rsid w:val="00496903"/>
    <w:rsid w:val="00496B57"/>
    <w:rsid w:val="004A3BA8"/>
    <w:rsid w:val="004A3C1C"/>
    <w:rsid w:val="004A728C"/>
    <w:rsid w:val="004B6A07"/>
    <w:rsid w:val="004B7FD3"/>
    <w:rsid w:val="004E0106"/>
    <w:rsid w:val="004E1ACE"/>
    <w:rsid w:val="004F0BBC"/>
    <w:rsid w:val="00506527"/>
    <w:rsid w:val="005373FC"/>
    <w:rsid w:val="0055154B"/>
    <w:rsid w:val="00562B95"/>
    <w:rsid w:val="00564C23"/>
    <w:rsid w:val="00580393"/>
    <w:rsid w:val="00585B17"/>
    <w:rsid w:val="00595325"/>
    <w:rsid w:val="005B0E8A"/>
    <w:rsid w:val="005B2C6E"/>
    <w:rsid w:val="005B7784"/>
    <w:rsid w:val="005C210E"/>
    <w:rsid w:val="005C6B0C"/>
    <w:rsid w:val="005E1EF1"/>
    <w:rsid w:val="005E410F"/>
    <w:rsid w:val="005E781A"/>
    <w:rsid w:val="005F5448"/>
    <w:rsid w:val="005F75D2"/>
    <w:rsid w:val="005F7A7D"/>
    <w:rsid w:val="0060139D"/>
    <w:rsid w:val="006017CA"/>
    <w:rsid w:val="00611677"/>
    <w:rsid w:val="006178BF"/>
    <w:rsid w:val="006408C8"/>
    <w:rsid w:val="0064475F"/>
    <w:rsid w:val="006563C6"/>
    <w:rsid w:val="00674A58"/>
    <w:rsid w:val="00680442"/>
    <w:rsid w:val="0068520B"/>
    <w:rsid w:val="006856DB"/>
    <w:rsid w:val="00685BA1"/>
    <w:rsid w:val="006945F8"/>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409F6"/>
    <w:rsid w:val="00753F80"/>
    <w:rsid w:val="007708C2"/>
    <w:rsid w:val="00775C79"/>
    <w:rsid w:val="00775E94"/>
    <w:rsid w:val="007A10EE"/>
    <w:rsid w:val="007A5642"/>
    <w:rsid w:val="007A61CF"/>
    <w:rsid w:val="007B264F"/>
    <w:rsid w:val="007B32A1"/>
    <w:rsid w:val="007B5968"/>
    <w:rsid w:val="007C0C0F"/>
    <w:rsid w:val="007E6B31"/>
    <w:rsid w:val="00825F12"/>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01A1E"/>
    <w:rsid w:val="00917859"/>
    <w:rsid w:val="009201AC"/>
    <w:rsid w:val="009331C6"/>
    <w:rsid w:val="00933D9C"/>
    <w:rsid w:val="00984BC8"/>
    <w:rsid w:val="0098565F"/>
    <w:rsid w:val="0099266E"/>
    <w:rsid w:val="00993A25"/>
    <w:rsid w:val="009A51AC"/>
    <w:rsid w:val="009B27EF"/>
    <w:rsid w:val="009B701B"/>
    <w:rsid w:val="009C4782"/>
    <w:rsid w:val="009C5815"/>
    <w:rsid w:val="009C5A21"/>
    <w:rsid w:val="009D6C25"/>
    <w:rsid w:val="009D7413"/>
    <w:rsid w:val="009E0463"/>
    <w:rsid w:val="009F4194"/>
    <w:rsid w:val="009F4B8F"/>
    <w:rsid w:val="009F60E3"/>
    <w:rsid w:val="009F63BA"/>
    <w:rsid w:val="00A11BA4"/>
    <w:rsid w:val="00A33D04"/>
    <w:rsid w:val="00A41932"/>
    <w:rsid w:val="00A478BB"/>
    <w:rsid w:val="00A53593"/>
    <w:rsid w:val="00A619D9"/>
    <w:rsid w:val="00A71376"/>
    <w:rsid w:val="00A90842"/>
    <w:rsid w:val="00A94B58"/>
    <w:rsid w:val="00AA35F7"/>
    <w:rsid w:val="00AA4011"/>
    <w:rsid w:val="00AB4C41"/>
    <w:rsid w:val="00AC04AB"/>
    <w:rsid w:val="00AC565C"/>
    <w:rsid w:val="00AD2006"/>
    <w:rsid w:val="00AE1FEB"/>
    <w:rsid w:val="00AF246E"/>
    <w:rsid w:val="00AF2AD7"/>
    <w:rsid w:val="00B045CC"/>
    <w:rsid w:val="00B07F32"/>
    <w:rsid w:val="00B13367"/>
    <w:rsid w:val="00B13451"/>
    <w:rsid w:val="00B27E27"/>
    <w:rsid w:val="00B316D7"/>
    <w:rsid w:val="00B32899"/>
    <w:rsid w:val="00B32DD6"/>
    <w:rsid w:val="00B346FF"/>
    <w:rsid w:val="00B412A6"/>
    <w:rsid w:val="00B54292"/>
    <w:rsid w:val="00B65511"/>
    <w:rsid w:val="00B7501B"/>
    <w:rsid w:val="00B90519"/>
    <w:rsid w:val="00B92773"/>
    <w:rsid w:val="00B92D7E"/>
    <w:rsid w:val="00BA20B8"/>
    <w:rsid w:val="00BA2679"/>
    <w:rsid w:val="00BC1B38"/>
    <w:rsid w:val="00BC3E60"/>
    <w:rsid w:val="00BC4608"/>
    <w:rsid w:val="00BC6DC4"/>
    <w:rsid w:val="00BD5F16"/>
    <w:rsid w:val="00BE1774"/>
    <w:rsid w:val="00BF022A"/>
    <w:rsid w:val="00C221CE"/>
    <w:rsid w:val="00C25750"/>
    <w:rsid w:val="00C25CB0"/>
    <w:rsid w:val="00C26807"/>
    <w:rsid w:val="00C371B6"/>
    <w:rsid w:val="00C4578D"/>
    <w:rsid w:val="00C47474"/>
    <w:rsid w:val="00C47E3E"/>
    <w:rsid w:val="00C64668"/>
    <w:rsid w:val="00C728AE"/>
    <w:rsid w:val="00C73C3C"/>
    <w:rsid w:val="00C747CC"/>
    <w:rsid w:val="00CB0127"/>
    <w:rsid w:val="00CB0950"/>
    <w:rsid w:val="00CE05BB"/>
    <w:rsid w:val="00CE5EC6"/>
    <w:rsid w:val="00CF03E7"/>
    <w:rsid w:val="00CF5001"/>
    <w:rsid w:val="00CF79ED"/>
    <w:rsid w:val="00D001EA"/>
    <w:rsid w:val="00D26E43"/>
    <w:rsid w:val="00D34DA7"/>
    <w:rsid w:val="00D42A87"/>
    <w:rsid w:val="00D441D7"/>
    <w:rsid w:val="00D44AC9"/>
    <w:rsid w:val="00D45C8D"/>
    <w:rsid w:val="00D50A6F"/>
    <w:rsid w:val="00D526A3"/>
    <w:rsid w:val="00D62D51"/>
    <w:rsid w:val="00D65A6A"/>
    <w:rsid w:val="00D70F12"/>
    <w:rsid w:val="00D71BB8"/>
    <w:rsid w:val="00D72FA5"/>
    <w:rsid w:val="00D74117"/>
    <w:rsid w:val="00D833BC"/>
    <w:rsid w:val="00D909FB"/>
    <w:rsid w:val="00DB779F"/>
    <w:rsid w:val="00DD0175"/>
    <w:rsid w:val="00DD64FA"/>
    <w:rsid w:val="00DE5B23"/>
    <w:rsid w:val="00DF648E"/>
    <w:rsid w:val="00DF68E0"/>
    <w:rsid w:val="00E1310A"/>
    <w:rsid w:val="00E21E6F"/>
    <w:rsid w:val="00E37BB1"/>
    <w:rsid w:val="00E47807"/>
    <w:rsid w:val="00E52CB7"/>
    <w:rsid w:val="00E80832"/>
    <w:rsid w:val="00E967A2"/>
    <w:rsid w:val="00EA0AB8"/>
    <w:rsid w:val="00EA1496"/>
    <w:rsid w:val="00EA2593"/>
    <w:rsid w:val="00EA2933"/>
    <w:rsid w:val="00EA76D7"/>
    <w:rsid w:val="00EB2AEC"/>
    <w:rsid w:val="00EB47C6"/>
    <w:rsid w:val="00ED763F"/>
    <w:rsid w:val="00EE4722"/>
    <w:rsid w:val="00EE6222"/>
    <w:rsid w:val="00EE6509"/>
    <w:rsid w:val="00EF57BC"/>
    <w:rsid w:val="00EF6220"/>
    <w:rsid w:val="00F1229F"/>
    <w:rsid w:val="00F24B78"/>
    <w:rsid w:val="00F277AA"/>
    <w:rsid w:val="00F70F1F"/>
    <w:rsid w:val="00F77ABC"/>
    <w:rsid w:val="00F80766"/>
    <w:rsid w:val="00F8416E"/>
    <w:rsid w:val="00F924A7"/>
    <w:rsid w:val="00F94D97"/>
    <w:rsid w:val="00FA1C3B"/>
    <w:rsid w:val="00FB1396"/>
    <w:rsid w:val="00FB2CB0"/>
    <w:rsid w:val="00FD162D"/>
    <w:rsid w:val="00FD3A99"/>
    <w:rsid w:val="00FD47EE"/>
    <w:rsid w:val="00FD5F95"/>
    <w:rsid w:val="00FD67E3"/>
    <w:rsid w:val="00FD759F"/>
    <w:rsid w:val="00FE3076"/>
    <w:rsid w:val="00FE6AE2"/>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B81F04"/>
  <w15:docId w15:val="{75DB5DD4-82E8-420E-9794-DD0427D7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4A3BA8"/>
    <w:rPr>
      <w:color w:val="2B579A"/>
      <w:shd w:val="clear" w:color="auto" w:fill="E1DFDD"/>
    </w:rPr>
  </w:style>
  <w:style w:type="character" w:styleId="Mention">
    <w:name w:val="Mention"/>
    <w:basedOn w:val="DefaultParagraphFont"/>
    <w:uiPriority w:val="99"/>
    <w:semiHidden/>
    <w:rsid w:val="004A3BA8"/>
    <w:rPr>
      <w:color w:val="2B579A"/>
      <w:shd w:val="clear" w:color="auto" w:fill="E1DFDD"/>
    </w:rPr>
  </w:style>
  <w:style w:type="character" w:styleId="UnresolvedMention">
    <w:name w:val="Unresolved Mention"/>
    <w:basedOn w:val="DefaultParagraphFont"/>
    <w:uiPriority w:val="99"/>
    <w:semiHidden/>
    <w:rsid w:val="004A3BA8"/>
    <w:rPr>
      <w:color w:val="605E5C"/>
      <w:shd w:val="clear" w:color="auto" w:fill="E1DFDD"/>
    </w:rPr>
  </w:style>
  <w:style w:type="character" w:styleId="SmartHyperlink">
    <w:name w:val="Smart Hyperlink"/>
    <w:basedOn w:val="DefaultParagraphFont"/>
    <w:uiPriority w:val="99"/>
    <w:semiHidden/>
    <w:rsid w:val="004A3BA8"/>
    <w:rPr>
      <w:u w:val="dotted"/>
    </w:rPr>
  </w:style>
  <w:style w:type="character" w:styleId="SmartLink">
    <w:name w:val="Smart Link"/>
    <w:basedOn w:val="DefaultParagraphFont"/>
    <w:uiPriority w:val="99"/>
    <w:semiHidden/>
    <w:rsid w:val="004A3BA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mso-contentType ?>
<SharedContentType xmlns="Microsoft.SharePoint.Taxonomy.ContentTypeSync" SourceId="d07acfae-4dfa-4949-99a8-259efd31a6ae" ContentTypeId="0x010100BBA312BF02777149882D207184EC35C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TSDR5AECP2XP-1839530900-53379</_dlc_DocId>
    <_dlc_DocIdUrl xmlns="6a372189-8514-43a9-a668-4622024340fc">
      <Url>https://dhs.sp.regeringskansliet.se/yta/m-r/_layouts/15/DocIdRedir.aspx?ID=TSDR5AECP2XP-1839530900-53379</Url>
      <Description>TSDR5AECP2XP-1839530900-53379</Description>
    </_dlc_DocIdUrl>
    <RKOrdnaClass xmlns="d4acd662-17ce-4a3b-8e84-c7c9f280a23c" xsi:nil="true"/>
    <RKOrdnaCheckInComment xmlns="d4acd662-17ce-4a3b-8e84-c7c9f280a23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2.xml><?xml version="1.0" encoding="utf-8"?>
<ds:datastoreItem xmlns:ds="http://schemas.openxmlformats.org/officeDocument/2006/customXml" ds:itemID="{FC974E1A-44C7-486B-9F64-ACC8D6E00367}">
  <ds:schemaRefs>
    <ds:schemaRef ds:uri="http://lp/documentinfo/RK"/>
  </ds:schemaRefs>
</ds:datastoreItem>
</file>

<file path=customXml/itemProps3.xml><?xml version="1.0" encoding="utf-8"?>
<ds:datastoreItem xmlns:ds="http://schemas.openxmlformats.org/officeDocument/2006/customXml" ds:itemID="{C0208AD9-7621-44EF-92B6-94058BEE090D}">
  <ds:schemaRefs>
    <ds:schemaRef ds:uri="Microsoft.SharePoint.Taxonomy.ContentTypeSync"/>
  </ds:schemaRefs>
</ds:datastoreItem>
</file>

<file path=customXml/itemProps4.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5.xml><?xml version="1.0" encoding="utf-8"?>
<ds:datastoreItem xmlns:ds="http://schemas.openxmlformats.org/officeDocument/2006/customXml" ds:itemID="{F950BDEA-6BD5-4D01-B686-2AF69049C9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372189-8514-43a9-a668-4622024340fc"/>
    <ds:schemaRef ds:uri="d4acd662-17ce-4a3b-8e84-c7c9f280a23c"/>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B70728E-F6DE-48BC-B86C-366F60152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86D950E-A258-4665-AC74-02E666C239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SFS.dotx</Template>
  <TotalTime>2</TotalTime>
  <Pages>2</Pages>
  <Words>594</Words>
  <Characters>3391</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Förordning om ändring i förordningen (2018:1462) om producentansvar för förpackningar</vt:lpstr>
    </vt:vector>
  </TitlesOfParts>
  <Company>Regeringskansliet</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ändring i förordningen (2018:1462) om producentansvar för förpackningar</dc:title>
  <dc:creator>Anna Cedrum</dc:creator>
  <cp:lastModifiedBy>Dimitris Dimitriadis</cp:lastModifiedBy>
  <cp:revision>4</cp:revision>
  <cp:lastPrinted>2016-10-14T09:17:00Z</cp:lastPrinted>
  <dcterms:created xsi:type="dcterms:W3CDTF">2021-06-28T14:30:00Z</dcterms:created>
  <dcterms:modified xsi:type="dcterms:W3CDTF">2021-07-02T08:01:00Z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759eb7dc-ebe2-4bb0-86b9-c90f737cef64</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SFS2</vt:lpwstr>
  </property>
  <property fmtid="{D5CDD505-2E9C-101B-9397-08002B2CF9AE}" pid="8" name="TaxKeyword">
    <vt:lpwstr/>
  </property>
  <property fmtid="{D5CDD505-2E9C-101B-9397-08002B2CF9AE}" pid="9" name="Organisation">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