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D9117" w14:textId="02DA8CCA" w:rsidR="004A3BA8" w:rsidRDefault="004A3BA8" w:rsidP="00450593">
      <w:pPr>
        <w:pStyle w:val="BodyText"/>
      </w:pPr>
      <w:r>
        <w:t xml:space="preserve">OSNUTEK</w:t>
      </w:r>
    </w:p>
    <w:p w14:paraId="1557DC6E" w14:textId="77777777" w:rsidR="00450593" w:rsidRPr="00450593" w:rsidRDefault="00450593" w:rsidP="00450593">
      <w:pPr>
        <w:pStyle w:val="BodyTextIndent"/>
      </w:pPr>
    </w:p>
    <w:p w14:paraId="11F404A9" w14:textId="77777777" w:rsidR="004A3BA8" w:rsidRPr="005F75D2" w:rsidRDefault="004A3BA8" w:rsidP="005F75D2">
      <w:pPr>
        <w:pStyle w:val="BodyText"/>
        <w:pBdr>
          <w:top w:val="single" w:sz="6" w:space="1" w:color="auto"/>
        </w:pBdr>
        <w:ind w:right="-2411"/>
        <w:rPr>
          <w:sz w:val="4"/>
          <w:szCs w:val="4"/>
        </w:rPr>
      </w:pPr>
    </w:p>
    <w:p w14:paraId="5BC06867" w14:textId="304854B6" w:rsidR="004A3BA8" w:rsidRPr="00496B57" w:rsidRDefault="004A3BA8" w:rsidP="004A3BA8">
      <w:pPr>
        <w:pStyle w:val="Heading2"/>
        <w:spacing w:before="200"/>
      </w:pPr>
      <w:bookmarkStart w:id="0" w:name="Titel"/>
      <w:r>
        <w:t xml:space="preserve">Odlok</w:t>
      </w:r>
      <w:r>
        <w:br/>
      </w:r>
      <w:r>
        <w:t xml:space="preserve">o spremembi Odloka (2018:1462) o odgovornosti proizvajalca za embalažo</w:t>
      </w:r>
      <w:bookmarkEnd w:id="0"/>
    </w:p>
    <w:p w14:paraId="7F721899" w14:textId="77777777" w:rsidR="004A3BA8" w:rsidRDefault="004A3BA8" w:rsidP="009C4782">
      <w:pPr>
        <w:pStyle w:val="BodyText"/>
      </w:pPr>
    </w:p>
    <w:p w14:paraId="7F293E91" w14:textId="766251DB" w:rsidR="004A3BA8" w:rsidRDefault="004A3BA8" w:rsidP="004A3BA8">
      <w:pPr>
        <w:pStyle w:val="BodyText"/>
      </w:pPr>
      <w:r>
        <w:t xml:space="preserve">Vlada v zvezi z Odlokom (2018:1462) o odgovornosti proizvajalca za embalažo določa</w:t>
      </w:r>
      <w:r w:rsidR="00C4578D">
        <w:rPr>
          <w:rStyle w:val="FootnoteReference"/>
        </w:rPr>
        <w:footnoteReference w:id="2"/>
      </w:r>
      <w:r>
        <w:t xml:space="preserve"> </w:t>
      </w:r>
    </w:p>
    <w:p w14:paraId="291A1A4D" w14:textId="50B881EE" w:rsidR="004A3BA8" w:rsidRDefault="004A3BA8" w:rsidP="004A3BA8">
      <w:pPr>
        <w:pStyle w:val="BodyTextIndent"/>
      </w:pPr>
      <w:r>
        <w:rPr>
          <w:i/>
        </w:rPr>
        <w:t xml:space="preserve">delno,</w:t>
      </w:r>
      <w:r>
        <w:t xml:space="preserve"> da imata oddelka 37 in 39 naslednje besedilo,</w:t>
      </w:r>
    </w:p>
    <w:p w14:paraId="572695F9" w14:textId="03A8BA23" w:rsidR="004A3BA8" w:rsidRDefault="004A3BA8" w:rsidP="004A3BA8">
      <w:pPr>
        <w:pStyle w:val="BodyTextIndent"/>
      </w:pPr>
      <w:r>
        <w:rPr>
          <w:i/>
        </w:rPr>
        <w:t xml:space="preserve">delno</w:t>
      </w:r>
      <w:r>
        <w:t xml:space="preserve">, da bodo obstajali trije novi oddelki 38a, 61a in 79a z naslednjim besedilom.</w:t>
      </w:r>
    </w:p>
    <w:p w14:paraId="17FD716E" w14:textId="70F551B7" w:rsidR="004A3BA8" w:rsidRDefault="004A3BA8" w:rsidP="004A3BA8">
      <w:pPr>
        <w:pStyle w:val="BodyTextIndent"/>
      </w:pPr>
    </w:p>
    <w:p w14:paraId="049A45F4" w14:textId="1FA1ADAA" w:rsidR="004A3BA8" w:rsidRDefault="00BD5F16" w:rsidP="004A3BA8">
      <w:pPr>
        <w:pStyle w:val="BodyText"/>
      </w:pPr>
      <w:r>
        <w:rPr>
          <w:b/>
        </w:rPr>
        <w:drawing>
          <wp:anchor distT="0" distB="0" distL="114300" distR="114300" simplePos="0" relativeHeight="251658240" behindDoc="1" locked="0" layoutInCell="1" allowOverlap="1" wp14:anchorId="62030268" wp14:editId="78E777E3">
            <wp:simplePos x="0" y="0"/>
            <wp:positionH relativeFrom="page">
              <wp:posOffset>675640</wp:posOffset>
            </wp:positionH>
            <wp:positionV relativeFrom="paragraph">
              <wp:posOffset>0</wp:posOffset>
            </wp:positionV>
            <wp:extent cx="12065" cy="341630"/>
            <wp:effectExtent l="0" t="0" r="26035" b="1270"/>
            <wp:wrapNone/>
            <wp:docPr id="3" name="Bildobjekt 3" descr="ändrad text"/>
            <wp:cNvGraphicFramePr/>
            <a:graphic xmlns:a="http://schemas.openxmlformats.org/drawingml/2006/main">
              <a:graphicData uri="http://schemas.openxmlformats.org/drawingml/2006/picture">
                <pic:pic xmlns:pic="http://schemas.openxmlformats.org/drawingml/2006/picture">
                  <pic:nvPicPr>
                    <pic:cNvPr id="3" name="Bildobjekt 3" descr="ändrad text"/>
                    <pic:cNvPicPr/>
                  </pic:nvPicPr>
                  <pic:blipFill>
                    <a:blip r:embed="rId14"/>
                    <a:stretch>
                      <a:fillRect/>
                    </a:stretch>
                  </pic:blipFill>
                  <pic:spPr>
                    <a:xfrm>
                      <a:off x="0" y="0"/>
                      <a:ext cx="12065" cy="341630"/>
                    </a:xfrm>
                    <a:prstGeom prst="rect">
                      <a:avLst/>
                    </a:prstGeom>
                  </pic:spPr>
                </pic:pic>
              </a:graphicData>
            </a:graphic>
            <wp14:sizeRelV relativeFrom="margin">
              <wp14:pctHeight>0</wp14:pctHeight>
            </wp14:sizeRelV>
          </wp:anchor>
        </w:drawing>
      </w:r>
      <w:r>
        <w:rPr>
          <w:b/>
        </w:rPr>
        <w:t xml:space="preserve">Oddelek 37</w:t>
      </w:r>
      <w:r w:rsidR="00C4578D" w:rsidRPr="00AD2006">
        <w:rPr>
          <w:rStyle w:val="FootnoteReference"/>
          <w:bCs/>
        </w:rPr>
        <w:footnoteReference w:id="3"/>
      </w:r>
      <w:r>
        <w:t xml:space="preserve"> Proizvajalec lahko embalažo da na švedski trg samo, če embalaža</w:t>
      </w:r>
      <w:r>
        <w:t xml:space="preserve">  </w:t>
      </w:r>
    </w:p>
    <w:p w14:paraId="49DB092A" w14:textId="77777777" w:rsidR="004A3BA8" w:rsidRDefault="004A3BA8" w:rsidP="004A3BA8">
      <w:pPr>
        <w:pStyle w:val="BodyTextIndent"/>
      </w:pPr>
      <w:r>
        <w:t xml:space="preserve">1. ima prostornino in težo, ki sta omejeni na minimalno vrednost, ki je potrebna za ohranjanje dobre ravni varnosti in higiene;</w:t>
      </w:r>
      <w:r>
        <w:t xml:space="preserve"> </w:t>
      </w:r>
    </w:p>
    <w:p w14:paraId="322AB25E" w14:textId="77777777" w:rsidR="004A3BA8" w:rsidRDefault="004A3BA8" w:rsidP="004A3BA8">
      <w:pPr>
        <w:pStyle w:val="BodyTextIndent"/>
      </w:pPr>
      <w:r>
        <w:t xml:space="preserve">2. se lahko ponovno uporabi ali reciklira in</w:t>
      </w:r>
      <w:r>
        <w:t xml:space="preserve"> </w:t>
      </w:r>
    </w:p>
    <w:p w14:paraId="1CC93864" w14:textId="7951EAEB" w:rsidR="004A3BA8" w:rsidRDefault="00775C79" w:rsidP="004A3BA8">
      <w:pPr>
        <w:pStyle w:val="BodyTextIndent"/>
      </w:pPr>
      <w:r>
        <w:drawing>
          <wp:anchor distT="0" distB="0" distL="114300" distR="114300" simplePos="0" relativeHeight="251658245" behindDoc="1" locked="0" layoutInCell="1" allowOverlap="1" wp14:anchorId="2B1EAB77" wp14:editId="1098F2A9">
            <wp:simplePos x="0" y="0"/>
            <wp:positionH relativeFrom="page">
              <wp:posOffset>675640</wp:posOffset>
            </wp:positionH>
            <wp:positionV relativeFrom="paragraph">
              <wp:posOffset>0</wp:posOffset>
            </wp:positionV>
            <wp:extent cx="12065" cy="519430"/>
            <wp:effectExtent l="0" t="0" r="26035" b="0"/>
            <wp:wrapNone/>
            <wp:docPr id="9" name="Bildobjekt 9" descr="ändrad text"/>
            <wp:cNvGraphicFramePr/>
            <a:graphic xmlns:a="http://schemas.openxmlformats.org/drawingml/2006/main">
              <a:graphicData uri="http://schemas.openxmlformats.org/drawingml/2006/picture">
                <pic:pic xmlns:pic="http://schemas.openxmlformats.org/drawingml/2006/picture">
                  <pic:nvPicPr>
                    <pic:cNvPr id="9" name="Bildobjekt 9" descr="ändrad text"/>
                    <pic:cNvPicPr/>
                  </pic:nvPicPr>
                  <pic:blipFill>
                    <a:blip r:embed="rId14"/>
                    <a:stretch>
                      <a:fillRect/>
                    </a:stretch>
                  </pic:blipFill>
                  <pic:spPr>
                    <a:xfrm>
                      <a:off x="0" y="0"/>
                      <a:ext cx="12065" cy="519430"/>
                    </a:xfrm>
                    <a:prstGeom prst="rect">
                      <a:avLst/>
                    </a:prstGeom>
                  </pic:spPr>
                </pic:pic>
              </a:graphicData>
            </a:graphic>
            <wp14:sizeRelV relativeFrom="margin">
              <wp14:pctHeight>0</wp14:pctHeight>
            </wp14:sizeRelV>
          </wp:anchor>
        </w:drawing>
      </w:r>
      <w:r>
        <w:t xml:space="preserve">3. je proizvedena za zmanjšanje emisij škodljivih snovi, vpliv na okolje pa je na splošno omejen, ko se odpadna embalaža predela ali odstranijo ostanki iz predelave odpadne embalaže.</w:t>
      </w:r>
    </w:p>
    <w:p w14:paraId="0E4CC1A2" w14:textId="77777777" w:rsidR="004A3BA8" w:rsidRDefault="004A3BA8" w:rsidP="004A3BA8">
      <w:pPr>
        <w:pStyle w:val="BodyTextIndent"/>
      </w:pPr>
    </w:p>
    <w:p w14:paraId="74FB299C" w14:textId="5F5EAA22" w:rsidR="004A3BA8" w:rsidRDefault="00BD5F16" w:rsidP="004A3BA8">
      <w:pPr>
        <w:pStyle w:val="BodyText"/>
      </w:pPr>
      <w:r>
        <w:rPr>
          <w:b/>
        </w:rPr>
        <w:drawing>
          <wp:anchor distT="0" distB="0" distL="114300" distR="114300" simplePos="0" relativeHeight="251658241" behindDoc="1" locked="0" layoutInCell="1" allowOverlap="1" wp14:anchorId="7D68A5FB" wp14:editId="19FACF5C">
            <wp:simplePos x="0" y="0"/>
            <wp:positionH relativeFrom="page">
              <wp:posOffset>675640</wp:posOffset>
            </wp:positionH>
            <wp:positionV relativeFrom="paragraph">
              <wp:posOffset>0</wp:posOffset>
            </wp:positionV>
            <wp:extent cx="12065" cy="2592070"/>
            <wp:effectExtent l="0" t="0" r="26035" b="0"/>
            <wp:wrapNone/>
            <wp:docPr id="4" name="Bildobjekt 4" descr="ändrad text"/>
            <wp:cNvGraphicFramePr/>
            <a:graphic xmlns:a="http://schemas.openxmlformats.org/drawingml/2006/main">
              <a:graphicData uri="http://schemas.openxmlformats.org/drawingml/2006/picture">
                <pic:pic xmlns:pic="http://schemas.openxmlformats.org/drawingml/2006/picture">
                  <pic:nvPicPr>
                    <pic:cNvPr id="4" name="Bildobjekt 4" descr="ändrad text"/>
                    <pic:cNvPicPr/>
                  </pic:nvPicPr>
                  <pic:blipFill>
                    <a:blip r:embed="rId14"/>
                    <a:stretch>
                      <a:fillRect/>
                    </a:stretch>
                  </pic:blipFill>
                  <pic:spPr>
                    <a:xfrm>
                      <a:off x="0" y="0"/>
                      <a:ext cx="12065" cy="2592070"/>
                    </a:xfrm>
                    <a:prstGeom prst="rect">
                      <a:avLst/>
                    </a:prstGeom>
                  </pic:spPr>
                </pic:pic>
              </a:graphicData>
            </a:graphic>
            <wp14:sizeRelV relativeFrom="margin">
              <wp14:pctHeight>0</wp14:pctHeight>
            </wp14:sizeRelV>
          </wp:anchor>
        </w:drawing>
      </w:r>
      <w:r>
        <w:rPr>
          <w:b/>
          <w:bCs/>
        </w:rPr>
        <w:t xml:space="preserve">Oddelek</w:t>
      </w:r>
      <w:r>
        <w:t xml:space="preserve"> </w:t>
      </w:r>
      <w:r>
        <w:rPr>
          <w:b/>
        </w:rPr>
        <w:t xml:space="preserve">38a</w:t>
      </w:r>
      <w:r>
        <w:t xml:space="preserve"> Embalaža se šteje za primerno za recikliranje v skladu z oddelkom 37(2), če</w:t>
      </w:r>
      <w:r>
        <w:t xml:space="preserve">  </w:t>
      </w:r>
    </w:p>
    <w:p w14:paraId="3A06AE53" w14:textId="56AE1F6C" w:rsidR="004A3BA8" w:rsidRDefault="004A3BA8" w:rsidP="004A3BA8">
      <w:pPr>
        <w:pStyle w:val="BodyTextIndent"/>
      </w:pPr>
      <w:r>
        <w:t xml:space="preserve">1. najmanj 75 mas. % materiala, uporabljenega v embalaži, je mogoče reciklirati v prodajne materiale ali izdelke ali</w:t>
      </w:r>
    </w:p>
    <w:p w14:paraId="020CFA8C" w14:textId="391BED2F" w:rsidR="004A3BA8" w:rsidRDefault="004A3BA8" w:rsidP="004A3BA8">
      <w:pPr>
        <w:pStyle w:val="BodyTextIndent"/>
      </w:pPr>
      <w:r>
        <w:t xml:space="preserve">2. je embalažo mogoče reciklirati v skladu z zahtevami oddelka 39 in je embalaža</w:t>
      </w:r>
      <w:r>
        <w:t xml:space="preserve">  </w:t>
      </w:r>
    </w:p>
    <w:p w14:paraId="2C81D9B4" w14:textId="70F85B5B" w:rsidR="004A3BA8" w:rsidRDefault="004A3BA8" w:rsidP="004A3BA8">
      <w:pPr>
        <w:pStyle w:val="BodyTextIndent"/>
      </w:pPr>
      <w:r>
        <w:t xml:space="preserve">a) potrebna za podaljšanje roka uporabnosti živil do mere, ki ni nepomembna,</w:t>
      </w:r>
      <w:r>
        <w:t xml:space="preserve">  </w:t>
      </w:r>
    </w:p>
    <w:p w14:paraId="1583CE14" w14:textId="02D5AC32" w:rsidR="004A3BA8" w:rsidRDefault="004A3BA8" w:rsidP="004A3BA8">
      <w:pPr>
        <w:pStyle w:val="BodyTextIndent"/>
      </w:pPr>
      <w:r>
        <w:t xml:space="preserve">b) potrebna za izpolnjevanje zahtev drugega statuta,</w:t>
      </w:r>
      <w:r>
        <w:t xml:space="preserve">  </w:t>
      </w:r>
    </w:p>
    <w:p w14:paraId="2A266F56" w14:textId="77777777" w:rsidR="004A3BA8" w:rsidRDefault="004A3BA8" w:rsidP="004A3BA8">
      <w:pPr>
        <w:pStyle w:val="BodyTextIndent"/>
      </w:pPr>
      <w:r>
        <w:t xml:space="preserve">c) je v več kot 50 mas. % narejena iz reciklirane plastike, ki je tako slabe kakovosti, da embalaže ni mogoče reciklirati, ali</w:t>
      </w:r>
      <w:r>
        <w:t xml:space="preserve"> </w:t>
      </w:r>
    </w:p>
    <w:p w14:paraId="09F77C96" w14:textId="77777777" w:rsidR="004A3BA8" w:rsidRDefault="004A3BA8" w:rsidP="004A3BA8">
      <w:pPr>
        <w:pStyle w:val="BodyTextIndent"/>
      </w:pPr>
      <w:r>
        <w:t xml:space="preserve">d) je lesena posoda.</w:t>
      </w:r>
      <w:r>
        <w:t xml:space="preserve"> </w:t>
      </w:r>
    </w:p>
    <w:p w14:paraId="2B098D40" w14:textId="5A3BB0A3" w:rsidR="004A3BA8" w:rsidRDefault="004A3BA8" w:rsidP="004A3BA8">
      <w:pPr>
        <w:pStyle w:val="BodyTextIndent"/>
      </w:pPr>
      <w:r>
        <w:t xml:space="preserve">Pri ocenjevanju, ali je embalaža potrebna v skladu s prvim odstavkom 2a ali b, se upoštevajo možnosti, ki obstajajo za zamenjavo embalaže z embalažo, izdelano iz materiala, ki ga je mogoče reciklirati.</w:t>
      </w:r>
      <w:r>
        <w:t xml:space="preserve"> </w:t>
      </w:r>
      <w:r>
        <w:t xml:space="preserve">Upoštevati je treba tudi učinke take spremembe materiala na zdravje ljudi in okolje.</w:t>
      </w:r>
    </w:p>
    <w:p w14:paraId="7DA6DB66" w14:textId="053BE539" w:rsidR="004A3BA8" w:rsidRDefault="004A3BA8" w:rsidP="004A3BA8">
      <w:pPr>
        <w:pStyle w:val="BodyTextIndent"/>
      </w:pPr>
    </w:p>
    <w:p w14:paraId="387AB169" w14:textId="69A7F7CA" w:rsidR="004A3BA8" w:rsidRDefault="00BD5F16" w:rsidP="004A3BA8">
      <w:pPr>
        <w:pStyle w:val="BodyText"/>
      </w:pPr>
      <w:r>
        <w:rPr>
          <w:b/>
        </w:rPr>
        <w:drawing>
          <wp:anchor distT="0" distB="0" distL="114300" distR="114300" simplePos="0" relativeHeight="251658242" behindDoc="1" locked="0" layoutInCell="1" allowOverlap="1" wp14:anchorId="19BF73B8" wp14:editId="62F1749D">
            <wp:simplePos x="0" y="0"/>
            <wp:positionH relativeFrom="page">
              <wp:posOffset>675640</wp:posOffset>
            </wp:positionH>
            <wp:positionV relativeFrom="paragraph">
              <wp:posOffset>0</wp:posOffset>
            </wp:positionV>
            <wp:extent cx="12065" cy="349886"/>
            <wp:effectExtent l="0" t="0" r="26035" b="0"/>
            <wp:wrapNone/>
            <wp:docPr id="6" name="Bildobjekt 6" descr="ändrad text"/>
            <wp:cNvGraphicFramePr/>
            <a:graphic xmlns:a="http://schemas.openxmlformats.org/drawingml/2006/main">
              <a:graphicData uri="http://schemas.openxmlformats.org/drawingml/2006/picture">
                <pic:pic xmlns:pic="http://schemas.openxmlformats.org/drawingml/2006/picture">
                  <pic:nvPicPr>
                    <pic:cNvPr id="6" name="Bildobjekt 6" descr="ändrad text"/>
                    <pic:cNvPicPr/>
                  </pic:nvPicPr>
                  <pic:blipFill>
                    <a:blip r:embed="rId14"/>
                    <a:stretch>
                      <a:fillRect/>
                    </a:stretch>
                  </pic:blipFill>
                  <pic:spPr>
                    <a:xfrm>
                      <a:off x="0" y="0"/>
                      <a:ext cx="12065" cy="349886"/>
                    </a:xfrm>
                    <a:prstGeom prst="rect">
                      <a:avLst/>
                    </a:prstGeom>
                  </pic:spPr>
                </pic:pic>
              </a:graphicData>
            </a:graphic>
            <wp14:sizeRelV relativeFrom="margin">
              <wp14:pctHeight>0</wp14:pctHeight>
            </wp14:sizeRelV>
          </wp:anchor>
        </w:drawing>
      </w:r>
      <w:r>
        <w:rPr>
          <w:b/>
        </w:rPr>
        <w:t xml:space="preserve">Oddelek 39</w:t>
      </w:r>
      <w:r w:rsidR="00C4578D" w:rsidRPr="00AD2006">
        <w:rPr>
          <w:rStyle w:val="FootnoteReference"/>
          <w:bCs/>
        </w:rPr>
        <w:footnoteReference w:id="4"/>
      </w:r>
      <w:r>
        <w:t xml:space="preserve"> Embalaža iz oddelka 38a(2) se šteje, da jo je mogoče reciklirati z</w:t>
      </w:r>
      <w:r>
        <w:t xml:space="preserve"> </w:t>
      </w:r>
    </w:p>
    <w:p w14:paraId="2E9AD062" w14:textId="7BFCB0C7" w:rsidR="004A3BA8" w:rsidRDefault="004A3BA8" w:rsidP="004A3BA8">
      <w:pPr>
        <w:pStyle w:val="BodyTextIndent"/>
      </w:pPr>
      <w:r>
        <w:t xml:space="preserve">1. recikliranjem materialov, če je embalaža proizvedena tako, da je mogoče uporabiti določen masni odstotek embalažnega materiala za proizvodnjo tržnih izdelkov,</w:t>
      </w:r>
      <w:r>
        <w:t xml:space="preserve"> </w:t>
      </w:r>
    </w:p>
    <w:p w14:paraId="1D4FB8B3" w14:textId="2816C857" w:rsidR="004A3BA8" w:rsidRDefault="004A3BA8" w:rsidP="004A3BA8">
      <w:pPr>
        <w:pStyle w:val="BodyTextIndent"/>
      </w:pPr>
      <w:r>
        <w:t xml:space="preserve">2. pridobivanjem energije, če ima odpadna embalaža minimalno toplotno vrednost za zagotavljanje optimalnega pridobivanja energije, ali</w:t>
      </w:r>
      <w:r>
        <w:t xml:space="preserve"> </w:t>
      </w:r>
    </w:p>
    <w:p w14:paraId="5ADEC108" w14:textId="75A85FD2" w:rsidR="004A3BA8" w:rsidRDefault="004A3BA8" w:rsidP="004A3BA8">
      <w:pPr>
        <w:pStyle w:val="BodyTextIndent"/>
      </w:pPr>
      <w:r>
        <w:t xml:space="preserve">3. kompostiranjem, če je odpadna embalaža biorazgradljiva do te mere, da ne preprečuje ločenega zbiranja ali dejavnosti kompostiranja ali kompostiranja, ki so mu odpadki izpostavljeni, in je take narave, da se lahko fizično, kemično, toplotno ali biološko razgradi tako, da se večina končnega komposta na koncu razgradi na ogljikov dioksid, biomaso in vodo.</w:t>
      </w:r>
    </w:p>
    <w:p w14:paraId="2EA02B05" w14:textId="60A16F41" w:rsidR="004A3BA8" w:rsidRDefault="00B27E27" w:rsidP="00B7501B">
      <w:pPr>
        <w:pStyle w:val="BodyTextIndent"/>
      </w:pPr>
      <w:r>
        <w:rPr>
          <w:b/>
        </w:rPr>
        <w:drawing>
          <wp:anchor distT="0" distB="0" distL="114300" distR="114300" simplePos="0" relativeHeight="251658243" behindDoc="1" locked="0" layoutInCell="1" allowOverlap="1" wp14:anchorId="7FF388CB" wp14:editId="57B3ACA4">
            <wp:simplePos x="0" y="0"/>
            <wp:positionH relativeFrom="page">
              <wp:posOffset>675640</wp:posOffset>
            </wp:positionH>
            <wp:positionV relativeFrom="paragraph">
              <wp:posOffset>194310</wp:posOffset>
            </wp:positionV>
            <wp:extent cx="12065" cy="2705051"/>
            <wp:effectExtent l="0" t="0" r="26035" b="635"/>
            <wp:wrapNone/>
            <wp:docPr id="7" name="Bildobjekt 7" descr="ändrad text"/>
            <wp:cNvGraphicFramePr/>
            <a:graphic xmlns:a="http://schemas.openxmlformats.org/drawingml/2006/main">
              <a:graphicData uri="http://schemas.openxmlformats.org/drawingml/2006/picture">
                <pic:pic xmlns:pic="http://schemas.openxmlformats.org/drawingml/2006/picture">
                  <pic:nvPicPr>
                    <pic:cNvPr id="7" name="Bildobjekt 7" descr="ändrad text"/>
                    <pic:cNvPicPr/>
                  </pic:nvPicPr>
                  <pic:blipFill>
                    <a:blip r:embed="rId14"/>
                    <a:stretch>
                      <a:fillRect/>
                    </a:stretch>
                  </pic:blipFill>
                  <pic:spPr>
                    <a:xfrm>
                      <a:off x="0" y="0"/>
                      <a:ext cx="12065" cy="2705051"/>
                    </a:xfrm>
                    <a:prstGeom prst="rect">
                      <a:avLst/>
                    </a:prstGeom>
                  </pic:spPr>
                </pic:pic>
              </a:graphicData>
            </a:graphic>
            <wp14:sizeRelV relativeFrom="margin">
              <wp14:pctHeight>0</wp14:pctHeight>
            </wp14:sizeRelV>
          </wp:anchor>
        </w:drawing>
      </w:r>
    </w:p>
    <w:p w14:paraId="0F86E6D3" w14:textId="609AE4DA" w:rsidR="004A3BA8" w:rsidRDefault="004A3BA8" w:rsidP="004A3BA8">
      <w:pPr>
        <w:pStyle w:val="BodyText"/>
      </w:pPr>
      <w:r>
        <w:rPr>
          <w:b/>
          <w:bCs/>
        </w:rPr>
        <w:t xml:space="preserve">Oddelek</w:t>
      </w:r>
      <w:r>
        <w:t xml:space="preserve"> </w:t>
      </w:r>
      <w:r>
        <w:rPr>
          <w:b/>
        </w:rPr>
        <w:t xml:space="preserve">61a</w:t>
      </w:r>
      <w:r>
        <w:t xml:space="preserve"> Sistem zbiranja se lahko zaveže, da bo za embalažo poskrbel, ko bo ta postala odpadek za proizvajalca, ki bo izpolnil zahtevo iz oddelka 42, samo če</w:t>
      </w:r>
    </w:p>
    <w:p w14:paraId="74B9397F" w14:textId="1B0B4FBF" w:rsidR="004A3BA8" w:rsidRDefault="004A3BA8" w:rsidP="004A3BA8">
      <w:pPr>
        <w:pStyle w:val="BodyTextIndent"/>
      </w:pPr>
      <w:r>
        <w:t xml:space="preserve">1. ima sistem zbiranja tehnične predpogoje in zadostno zmogljivost, da lahko predela vsaj 75 mas. % materiala, uporabljenega v embalaži za prodajne materiale ali izdelke,</w:t>
      </w:r>
      <w:r>
        <w:t xml:space="preserve">  </w:t>
      </w:r>
    </w:p>
    <w:p w14:paraId="2241866C" w14:textId="1BFF2350" w:rsidR="004A3BA8" w:rsidRDefault="004A3BA8" w:rsidP="004A3BA8">
      <w:pPr>
        <w:pStyle w:val="BodyTextIndent"/>
      </w:pPr>
      <w:r>
        <w:t xml:space="preserve">2. sistem zbiranja zagotavlja, da se drug subjekt s tehničnimi predpogoji in zadostnimi zmogljivostmi zaveže, da bo ponovno pridobil vsaj 75 mas. % materiala, uporabljenega v embalaži za prodajne materiale ali izdelke,</w:t>
      </w:r>
      <w:r>
        <w:t xml:space="preserve">  </w:t>
      </w:r>
    </w:p>
    <w:p w14:paraId="02AE5874" w14:textId="336CF2B9" w:rsidR="004A3BA8" w:rsidRDefault="004A3BA8" w:rsidP="004A3BA8">
      <w:pPr>
        <w:pStyle w:val="BodyTextIndent"/>
      </w:pPr>
      <w:r>
        <w:t xml:space="preserve">3. embalaža je embalaža iz oddelka 38a(2) in sistem zbiranja ali drug subjekt reciklira embalažo v skladu z zahtevami iz oddelka 39 ali</w:t>
      </w:r>
      <w:r>
        <w:t xml:space="preserve">  </w:t>
      </w:r>
    </w:p>
    <w:p w14:paraId="5A9E296C" w14:textId="3704B722" w:rsidR="004A3BA8" w:rsidRDefault="004A3BA8" w:rsidP="004A3BA8">
      <w:pPr>
        <w:pStyle w:val="BodyTextIndent"/>
      </w:pPr>
      <w:r>
        <w:t xml:space="preserve">4. embalaža je predmet predpisov, izdanih v skladu z oddelkom 79a in sistem zbiranja ali nek drugi subjekt reciklira embalažo v skladu z zahtevami iz oddelka 39.</w:t>
      </w:r>
    </w:p>
    <w:p w14:paraId="00A807C7" w14:textId="77777777" w:rsidR="004A3BA8" w:rsidRDefault="004A3BA8" w:rsidP="00B7501B">
      <w:pPr>
        <w:pStyle w:val="BodyTextIndent"/>
      </w:pPr>
    </w:p>
    <w:p w14:paraId="7B037174" w14:textId="48C66959" w:rsidR="004A3BA8" w:rsidRDefault="00BD5F16" w:rsidP="00AD2006">
      <w:pPr>
        <w:pStyle w:val="BodyText"/>
      </w:pPr>
      <w:r>
        <w:rPr>
          <w:b/>
        </w:rPr>
        <w:drawing>
          <wp:anchor distT="0" distB="0" distL="114300" distR="114300" simplePos="0" relativeHeight="251658244" behindDoc="1" locked="0" layoutInCell="1" allowOverlap="1" wp14:anchorId="67A817FA" wp14:editId="52E3C68D">
            <wp:simplePos x="0" y="0"/>
            <wp:positionH relativeFrom="page">
              <wp:posOffset>675640</wp:posOffset>
            </wp:positionH>
            <wp:positionV relativeFrom="paragraph">
              <wp:posOffset>0</wp:posOffset>
            </wp:positionV>
            <wp:extent cx="12065" cy="525145"/>
            <wp:effectExtent l="0" t="0" r="26035" b="8255"/>
            <wp:wrapNone/>
            <wp:docPr id="8" name="Bildobjekt 8" descr="ändrad text"/>
            <wp:cNvGraphicFramePr/>
            <a:graphic xmlns:a="http://schemas.openxmlformats.org/drawingml/2006/main">
              <a:graphicData uri="http://schemas.openxmlformats.org/drawingml/2006/picture">
                <pic:pic xmlns:pic="http://schemas.openxmlformats.org/drawingml/2006/picture">
                  <pic:nvPicPr>
                    <pic:cNvPr id="8" name="Bildobjekt 8" descr="ändrad text"/>
                    <pic:cNvPicPr/>
                  </pic:nvPicPr>
                  <pic:blipFill>
                    <a:blip r:embed="rId14"/>
                    <a:stretch>
                      <a:fillRect/>
                    </a:stretch>
                  </pic:blipFill>
                  <pic:spPr>
                    <a:xfrm>
                      <a:off x="0" y="0"/>
                      <a:ext cx="12065" cy="525145"/>
                    </a:xfrm>
                    <a:prstGeom prst="rect">
                      <a:avLst/>
                    </a:prstGeom>
                  </pic:spPr>
                </pic:pic>
              </a:graphicData>
            </a:graphic>
            <wp14:sizeRelV relativeFrom="margin">
              <wp14:pctHeight>0</wp14:pctHeight>
            </wp14:sizeRelV>
          </wp:anchor>
        </w:drawing>
      </w:r>
      <w:r>
        <w:rPr>
          <w:b/>
          <w:bCs/>
        </w:rPr>
        <w:t xml:space="preserve">Oddelek 79a</w:t>
      </w:r>
      <w:r>
        <w:t xml:space="preserve"> Švedska agencija za varstvo okolja lahko izda predpise, ki določajo, da se embalaža, ki ne izpolnjuje zahtev iz oddelka 38a, šteje za primerno za recikliranje, če obstajajo posebni razlogi za uporabo te embalaže.</w:t>
      </w:r>
      <w:r>
        <w:t xml:space="preserve">                       </w:t>
      </w:r>
    </w:p>
    <w:p w14:paraId="43F85EE1" w14:textId="77777777" w:rsidR="004A3BA8" w:rsidRPr="009F0C87" w:rsidRDefault="004A3BA8" w:rsidP="008938FE">
      <w:pPr>
        <w:pStyle w:val="Slutstreck"/>
        <w:spacing w:line="232" w:lineRule="exact"/>
      </w:pPr>
      <w:r>
        <w:t xml:space="preserve">                      </w:t>
      </w:r>
    </w:p>
    <w:p w14:paraId="6E56F2FA" w14:textId="7BF4003F" w:rsidR="004A3BA8" w:rsidRDefault="004A3BA8" w:rsidP="004A3BA8">
      <w:pPr>
        <w:pStyle w:val="BodyTextIndent"/>
      </w:pPr>
      <w:r>
        <w:t xml:space="preserve">Ta odlok začne veljati 1. januarja 2022 za oddelek 79a, sicer pa 1. januarja 2025.</w:t>
      </w:r>
    </w:p>
    <w:sectPr w:rsidR="004A3BA8"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9968" w14:textId="77777777" w:rsidR="009C5815" w:rsidRDefault="009C5815" w:rsidP="00680442">
      <w:r>
        <w:separator/>
      </w:r>
    </w:p>
  </w:endnote>
  <w:endnote w:type="continuationSeparator" w:id="0">
    <w:p w14:paraId="43A21EAA" w14:textId="77777777" w:rsidR="009C5815" w:rsidRDefault="009C5815" w:rsidP="00680442">
      <w:r>
        <w:continuationSeparator/>
      </w:r>
    </w:p>
  </w:endnote>
  <w:endnote w:type="continuationNotice" w:id="1">
    <w:p w14:paraId="536464AD" w14:textId="77777777" w:rsidR="009C5815" w:rsidRDefault="009C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DC2D" w14:textId="77777777" w:rsidR="009C5815" w:rsidRDefault="009C5815" w:rsidP="00CE05BB">
    <w:pPr>
      <w:pStyle w:val="Footer"/>
    </w:pPr>
    <w:r>
      <mc:AlternateContent>
        <mc:Choice Requires="wps">
          <w:drawing>
            <wp:anchor distT="0" distB="0" distL="114300" distR="114300" simplePos="0" relativeHeight="251657216" behindDoc="0" locked="0" layoutInCell="1" allowOverlap="1" wp14:anchorId="799C8231" wp14:editId="043B90E2">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7C41E" w14:textId="77777777" w:rsidR="009C5815" w:rsidRDefault="009C5815" w:rsidP="004043E4">
                          <w:pPr>
                            <w:pStyle w:val="BodyText"/>
                            <w:jc w:val="right"/>
                          </w:pPr>
                          <w:r>
                            <w:fldChar w:fldCharType="begin"/>
                          </w:r>
                          <w:r>
                            <w:instrText>PAGE   \* MERGEFORMAT</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C8231"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23F7C41E" w14:textId="77777777" w:rsidR="009C5815" w:rsidRDefault="009C5815" w:rsidP="004043E4">
                    <w:pPr>
                      <w:pStyle w:val="Brdtext"/>
                      <w:jc w:val="right"/>
                    </w:pPr>
                    <w:r>
                      <w:fldChar w:fldCharType="begin"/>
                    </w:r>
                    <w:r>
                      <w:instrText>PAGE   \* MERGEFORMAT</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6B3F" w14:textId="77777777" w:rsidR="009C5815" w:rsidRDefault="009C5815" w:rsidP="00CE05BB">
    <w:pPr>
      <w:pStyle w:val="Footer"/>
    </w:pPr>
    <w:r>
      <mc:AlternateContent>
        <mc:Choice Requires="wps">
          <w:drawing>
            <wp:anchor distT="0" distB="0" distL="114300" distR="114300" simplePos="0" relativeHeight="251656192" behindDoc="0" locked="0" layoutInCell="1" allowOverlap="1" wp14:anchorId="7C31E3F9" wp14:editId="2103B84D">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1A61" w14:textId="77777777" w:rsidR="009C5815" w:rsidRDefault="009C5815" w:rsidP="005B2C6E">
                          <w:pPr>
                            <w:pStyle w:val="BodyText"/>
                            <w:jc w:val="right"/>
                          </w:pPr>
                          <w:r>
                            <w:fldChar w:fldCharType="begin"/>
                          </w:r>
                          <w:r>
                            <w:instrText>PAGE   \* MERGEFORMAT</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E3F9"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65B81A61" w14:textId="77777777" w:rsidR="009C5815" w:rsidRDefault="009C5815" w:rsidP="005B2C6E">
                    <w:pPr>
                      <w:pStyle w:val="Brdtext"/>
                      <w:jc w:val="right"/>
                    </w:pPr>
                    <w:r>
                      <w:fldChar w:fldCharType="begin"/>
                    </w:r>
                    <w:r>
                      <w:instrText>PAGE   \* MERGEFORMAT</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F22CA" w14:textId="77777777" w:rsidR="009C5815" w:rsidRDefault="009C5815" w:rsidP="00680442"/>
  </w:footnote>
  <w:footnote w:type="continuationSeparator" w:id="0">
    <w:p w14:paraId="77A02ADF" w14:textId="77777777" w:rsidR="009C5815" w:rsidRPr="00C26807" w:rsidRDefault="009C5815" w:rsidP="00C26807">
      <w:pPr>
        <w:pStyle w:val="Footer"/>
      </w:pPr>
    </w:p>
  </w:footnote>
  <w:footnote w:type="continuationNotice" w:id="1">
    <w:p w14:paraId="5CB45579" w14:textId="77777777" w:rsidR="009C5815" w:rsidRDefault="009C5815"/>
  </w:footnote>
  <w:footnote w:id="2">
    <w:p w14:paraId="34EB3B77" w14:textId="10A7E375" w:rsidR="009C5815" w:rsidRDefault="009C5815">
      <w:pPr>
        <w:pStyle w:val="FootnoteText"/>
      </w:pPr>
      <w:r>
        <w:rPr>
          <w:rStyle w:val="FootnoteReference"/>
        </w:rPr>
        <w:footnoteRef/>
      </w:r>
      <w:r>
        <w:t xml:space="preserve"> Glej</w:t>
      </w:r>
      <w:r>
        <w:t xml:space="preserve"> </w:t>
      </w:r>
      <w:r>
        <w:t xml:space="preserve">Direktiva (EU) 2019/904 Evropskega parlamenta in Sveta z dne 5. junija 2019 o zmanjšanju vpliva nekaterih plastičnih proizvodov na okolje, v izvirnem besedilu, Direktiva (EU) 2008/98 Evropskega parlamenta in Sveta z dne 19. novembra 2008 o odpadkih in razveljavitvi nekaterih direktiv v skladu z Direktivo (EU) 2018/851 Evropskega parlamenta in Sveta ter Direktivo 94/62/EU Evropskega parlamenta in Sveta z dne 20. decembra 1994 o embalaži in odpadni embalaži v skladu z Direktivo (EU) 2018/852 Evropskega parlamenta in Sveta.</w:t>
      </w:r>
      <w:r>
        <w:t xml:space="preserve"> </w:t>
      </w:r>
      <w:r>
        <w:t xml:space="preserve">Glej tudi Direktivo (EU) 2015/1535 Evropskega parlamenta in Sveta z dne 9. septembra 2015 o določitvi postopka za zbiranje informacij na področju tehničnih predpisov in pravil za storitve informacijske družbe (kodificirano besedilo).</w:t>
      </w:r>
    </w:p>
  </w:footnote>
  <w:footnote w:id="3">
    <w:p w14:paraId="2F1364C4" w14:textId="19BE0613" w:rsidR="009C5815" w:rsidRDefault="009C5815">
      <w:pPr>
        <w:pStyle w:val="FootnoteText"/>
      </w:pPr>
      <w:r>
        <w:rPr>
          <w:rStyle w:val="FootnoteReference"/>
        </w:rPr>
        <w:footnoteRef/>
      </w:r>
      <w:r>
        <w:t xml:space="preserve"> Zadnja različica besedila 2020:615.</w:t>
      </w:r>
    </w:p>
  </w:footnote>
  <w:footnote w:id="4">
    <w:p w14:paraId="73263F69" w14:textId="77777777" w:rsidR="009C5815" w:rsidRDefault="009C5815" w:rsidP="00C4578D">
      <w:pPr>
        <w:pStyle w:val="FootnoteText"/>
      </w:pPr>
      <w:r>
        <w:rPr>
          <w:rStyle w:val="FootnoteReference"/>
        </w:rPr>
        <w:footnoteRef/>
      </w:r>
      <w:r>
        <w:t xml:space="preserve"> Zadnja različica besedila 2020:615.</w:t>
      </w:r>
    </w:p>
    <w:p w14:paraId="7C9AAFCF" w14:textId="1D5B9EC0" w:rsidR="009C5815" w:rsidRDefault="009C581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6BD0" w14:textId="77777777" w:rsidR="009C5815" w:rsidRDefault="00A41932">
    <w:pPr>
      <w:pStyle w:val="Header"/>
    </w:pPr>
    <w:r>
      <w:pict w14:anchorId="38AC2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PRESKUSNI DOKUMENT, KI NI V VELJAV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30A" w14:textId="77777777" w:rsidR="009C5815" w:rsidRDefault="009C5815" w:rsidP="00F77ABC">
    <w:pPr>
      <w:pStyle w:val="Header"/>
      <w:jc w:val="right"/>
    </w:pPr>
    <w:r>
      <mc:AlternateContent>
        <mc:Choice Requires="wps">
          <w:drawing>
            <wp:anchor distT="0" distB="0" distL="114300" distR="114300" simplePos="0" relativeHeight="251658240" behindDoc="0" locked="0" layoutInCell="1" allowOverlap="1" wp14:anchorId="3E6FE86B" wp14:editId="663425D6">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22ABB" w14:textId="77777777" w:rsidR="009C5815" w:rsidRPr="001974BD" w:rsidRDefault="009C5815" w:rsidP="00B90519">
                          <w:pPr>
                            <w:rPr>
                              <w:b/>
                              <w:sz w:val="22"/>
                              <w:szCs w:val="22"/>
                            </w:rPr>
                          </w:pPr>
                          <w:r>
                            <w:rPr>
                              <w:b/>
                              <w:sz w:val="22"/>
                            </w:rPr>
                            <w:t xml:space="preserve">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FE86B"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26C22ABB" w14:textId="77777777" w:rsidR="009C5815" w:rsidRPr="001974BD" w:rsidRDefault="009C5815" w:rsidP="00B90519">
                    <w:pPr>
                      <w:rPr>
                        <w:b/>
                        <w:sz w:val="22"/>
                        <w:szCs w:val="22"/>
                      </w:rPr>
                    </w:pPr>
                    <w:r>
                      <w:rPr>
                        <w:b/>
                        <w:sz w:val="22"/>
                      </w:rPr>
                      <w:t xml:space="preserve">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1304"/>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8"/>
    <w:rsid w:val="00014844"/>
    <w:rsid w:val="00027BEC"/>
    <w:rsid w:val="000309B4"/>
    <w:rsid w:val="00050C9E"/>
    <w:rsid w:val="00054B0D"/>
    <w:rsid w:val="00062643"/>
    <w:rsid w:val="00065778"/>
    <w:rsid w:val="000776E6"/>
    <w:rsid w:val="00087E73"/>
    <w:rsid w:val="00091696"/>
    <w:rsid w:val="0009400A"/>
    <w:rsid w:val="000963A0"/>
    <w:rsid w:val="000A1BCC"/>
    <w:rsid w:val="000A437D"/>
    <w:rsid w:val="000A6C2B"/>
    <w:rsid w:val="000B072E"/>
    <w:rsid w:val="000B36C7"/>
    <w:rsid w:val="000B7FEB"/>
    <w:rsid w:val="000D56FC"/>
    <w:rsid w:val="000D5E85"/>
    <w:rsid w:val="000F16E5"/>
    <w:rsid w:val="00100E2C"/>
    <w:rsid w:val="00132BD5"/>
    <w:rsid w:val="00135F8C"/>
    <w:rsid w:val="001409E8"/>
    <w:rsid w:val="00162B76"/>
    <w:rsid w:val="00165B5E"/>
    <w:rsid w:val="00175988"/>
    <w:rsid w:val="00181BC1"/>
    <w:rsid w:val="001974BD"/>
    <w:rsid w:val="001B3CEB"/>
    <w:rsid w:val="001B4DB6"/>
    <w:rsid w:val="001C7E6D"/>
    <w:rsid w:val="001F4FE9"/>
    <w:rsid w:val="00201C96"/>
    <w:rsid w:val="00224C44"/>
    <w:rsid w:val="00232439"/>
    <w:rsid w:val="0023447C"/>
    <w:rsid w:val="00256E21"/>
    <w:rsid w:val="002576A9"/>
    <w:rsid w:val="00264A3C"/>
    <w:rsid w:val="00267351"/>
    <w:rsid w:val="002767C4"/>
    <w:rsid w:val="0029295C"/>
    <w:rsid w:val="002949DD"/>
    <w:rsid w:val="002A76C1"/>
    <w:rsid w:val="002B3871"/>
    <w:rsid w:val="002B452D"/>
    <w:rsid w:val="002D247A"/>
    <w:rsid w:val="002D3D78"/>
    <w:rsid w:val="002F68D4"/>
    <w:rsid w:val="00301819"/>
    <w:rsid w:val="00323010"/>
    <w:rsid w:val="0032527C"/>
    <w:rsid w:val="00332533"/>
    <w:rsid w:val="00343A99"/>
    <w:rsid w:val="00344B4A"/>
    <w:rsid w:val="00350B0F"/>
    <w:rsid w:val="0035181A"/>
    <w:rsid w:val="00353EE4"/>
    <w:rsid w:val="003642F1"/>
    <w:rsid w:val="003661D1"/>
    <w:rsid w:val="00367C3F"/>
    <w:rsid w:val="0037085F"/>
    <w:rsid w:val="0039337B"/>
    <w:rsid w:val="003A6AD5"/>
    <w:rsid w:val="003B4745"/>
    <w:rsid w:val="004043E4"/>
    <w:rsid w:val="00406562"/>
    <w:rsid w:val="0044098C"/>
    <w:rsid w:val="00440A07"/>
    <w:rsid w:val="00450593"/>
    <w:rsid w:val="00460C4D"/>
    <w:rsid w:val="00461C46"/>
    <w:rsid w:val="00461D7A"/>
    <w:rsid w:val="00465E8F"/>
    <w:rsid w:val="00467E22"/>
    <w:rsid w:val="00467F48"/>
    <w:rsid w:val="00475117"/>
    <w:rsid w:val="00475F84"/>
    <w:rsid w:val="00487A84"/>
    <w:rsid w:val="00496903"/>
    <w:rsid w:val="00496B57"/>
    <w:rsid w:val="004A3BA8"/>
    <w:rsid w:val="004A3C1C"/>
    <w:rsid w:val="004A728C"/>
    <w:rsid w:val="004B6A07"/>
    <w:rsid w:val="004B7FD3"/>
    <w:rsid w:val="004E0106"/>
    <w:rsid w:val="004E1ACE"/>
    <w:rsid w:val="004F0BBC"/>
    <w:rsid w:val="00506527"/>
    <w:rsid w:val="005373FC"/>
    <w:rsid w:val="0055154B"/>
    <w:rsid w:val="00562B95"/>
    <w:rsid w:val="00564C23"/>
    <w:rsid w:val="00580393"/>
    <w:rsid w:val="00585B17"/>
    <w:rsid w:val="00595325"/>
    <w:rsid w:val="005B0E8A"/>
    <w:rsid w:val="005B2C6E"/>
    <w:rsid w:val="005B7784"/>
    <w:rsid w:val="005C210E"/>
    <w:rsid w:val="005C6B0C"/>
    <w:rsid w:val="005E1EF1"/>
    <w:rsid w:val="005E410F"/>
    <w:rsid w:val="005E781A"/>
    <w:rsid w:val="005F5448"/>
    <w:rsid w:val="005F75D2"/>
    <w:rsid w:val="005F7A7D"/>
    <w:rsid w:val="0060139D"/>
    <w:rsid w:val="006017CA"/>
    <w:rsid w:val="00611677"/>
    <w:rsid w:val="006178BF"/>
    <w:rsid w:val="006408C8"/>
    <w:rsid w:val="0064475F"/>
    <w:rsid w:val="006563C6"/>
    <w:rsid w:val="00674A58"/>
    <w:rsid w:val="00680442"/>
    <w:rsid w:val="0068520B"/>
    <w:rsid w:val="006856DB"/>
    <w:rsid w:val="00685BA1"/>
    <w:rsid w:val="006945F8"/>
    <w:rsid w:val="006972B7"/>
    <w:rsid w:val="006A189D"/>
    <w:rsid w:val="006A31EA"/>
    <w:rsid w:val="006A5C76"/>
    <w:rsid w:val="006A6EF2"/>
    <w:rsid w:val="006B54FB"/>
    <w:rsid w:val="006C2353"/>
    <w:rsid w:val="006C3DF6"/>
    <w:rsid w:val="006C4712"/>
    <w:rsid w:val="00705CF7"/>
    <w:rsid w:val="00711FBF"/>
    <w:rsid w:val="00715836"/>
    <w:rsid w:val="00731454"/>
    <w:rsid w:val="00732889"/>
    <w:rsid w:val="007409F6"/>
    <w:rsid w:val="00753F80"/>
    <w:rsid w:val="007708C2"/>
    <w:rsid w:val="00775C79"/>
    <w:rsid w:val="00775E94"/>
    <w:rsid w:val="007A10EE"/>
    <w:rsid w:val="007A5642"/>
    <w:rsid w:val="007A61CF"/>
    <w:rsid w:val="007B264F"/>
    <w:rsid w:val="007B32A1"/>
    <w:rsid w:val="007B5968"/>
    <w:rsid w:val="007C0C0F"/>
    <w:rsid w:val="007E6B31"/>
    <w:rsid w:val="00825F12"/>
    <w:rsid w:val="0083514C"/>
    <w:rsid w:val="00835AE2"/>
    <w:rsid w:val="00836C52"/>
    <w:rsid w:val="00837A93"/>
    <w:rsid w:val="0084384D"/>
    <w:rsid w:val="00865506"/>
    <w:rsid w:val="00871B1E"/>
    <w:rsid w:val="0088045A"/>
    <w:rsid w:val="00887A99"/>
    <w:rsid w:val="008938FE"/>
    <w:rsid w:val="008A56A3"/>
    <w:rsid w:val="008B4876"/>
    <w:rsid w:val="008C6DE9"/>
    <w:rsid w:val="008D7DFB"/>
    <w:rsid w:val="008E6436"/>
    <w:rsid w:val="008E7A90"/>
    <w:rsid w:val="008F6E7A"/>
    <w:rsid w:val="008F6EEA"/>
    <w:rsid w:val="00901A1E"/>
    <w:rsid w:val="00917859"/>
    <w:rsid w:val="009201AC"/>
    <w:rsid w:val="009331C6"/>
    <w:rsid w:val="00933D9C"/>
    <w:rsid w:val="00984BC8"/>
    <w:rsid w:val="0098565F"/>
    <w:rsid w:val="0099266E"/>
    <w:rsid w:val="00993A25"/>
    <w:rsid w:val="009A51AC"/>
    <w:rsid w:val="009B27EF"/>
    <w:rsid w:val="009B701B"/>
    <w:rsid w:val="009C4782"/>
    <w:rsid w:val="009C5815"/>
    <w:rsid w:val="009C5A21"/>
    <w:rsid w:val="009D6C25"/>
    <w:rsid w:val="009D7413"/>
    <w:rsid w:val="009E0463"/>
    <w:rsid w:val="009F4194"/>
    <w:rsid w:val="009F4B8F"/>
    <w:rsid w:val="009F60E3"/>
    <w:rsid w:val="009F63BA"/>
    <w:rsid w:val="00A11BA4"/>
    <w:rsid w:val="00A33D04"/>
    <w:rsid w:val="00A41932"/>
    <w:rsid w:val="00A478BB"/>
    <w:rsid w:val="00A53593"/>
    <w:rsid w:val="00A619D9"/>
    <w:rsid w:val="00A71376"/>
    <w:rsid w:val="00A90842"/>
    <w:rsid w:val="00A94B58"/>
    <w:rsid w:val="00AA35F7"/>
    <w:rsid w:val="00AA4011"/>
    <w:rsid w:val="00AB4C41"/>
    <w:rsid w:val="00AC04AB"/>
    <w:rsid w:val="00AC565C"/>
    <w:rsid w:val="00AD2006"/>
    <w:rsid w:val="00AE1FEB"/>
    <w:rsid w:val="00AF246E"/>
    <w:rsid w:val="00AF2AD7"/>
    <w:rsid w:val="00B045CC"/>
    <w:rsid w:val="00B07F32"/>
    <w:rsid w:val="00B13367"/>
    <w:rsid w:val="00B13451"/>
    <w:rsid w:val="00B27E27"/>
    <w:rsid w:val="00B316D7"/>
    <w:rsid w:val="00B32899"/>
    <w:rsid w:val="00B32DD6"/>
    <w:rsid w:val="00B346FF"/>
    <w:rsid w:val="00B412A6"/>
    <w:rsid w:val="00B54292"/>
    <w:rsid w:val="00B65511"/>
    <w:rsid w:val="00B7501B"/>
    <w:rsid w:val="00B90519"/>
    <w:rsid w:val="00B92773"/>
    <w:rsid w:val="00B92D7E"/>
    <w:rsid w:val="00BA20B8"/>
    <w:rsid w:val="00BA2679"/>
    <w:rsid w:val="00BC1B38"/>
    <w:rsid w:val="00BC3E60"/>
    <w:rsid w:val="00BC4608"/>
    <w:rsid w:val="00BC6DC4"/>
    <w:rsid w:val="00BD5F16"/>
    <w:rsid w:val="00BE1774"/>
    <w:rsid w:val="00BF022A"/>
    <w:rsid w:val="00C221CE"/>
    <w:rsid w:val="00C25750"/>
    <w:rsid w:val="00C25CB0"/>
    <w:rsid w:val="00C26807"/>
    <w:rsid w:val="00C371B6"/>
    <w:rsid w:val="00C4578D"/>
    <w:rsid w:val="00C47474"/>
    <w:rsid w:val="00C47E3E"/>
    <w:rsid w:val="00C64668"/>
    <w:rsid w:val="00C728AE"/>
    <w:rsid w:val="00C73C3C"/>
    <w:rsid w:val="00C747CC"/>
    <w:rsid w:val="00CB0127"/>
    <w:rsid w:val="00CB0950"/>
    <w:rsid w:val="00CE05BB"/>
    <w:rsid w:val="00CE5EC6"/>
    <w:rsid w:val="00CF03E7"/>
    <w:rsid w:val="00CF5001"/>
    <w:rsid w:val="00CF79ED"/>
    <w:rsid w:val="00D001EA"/>
    <w:rsid w:val="00D26E43"/>
    <w:rsid w:val="00D34DA7"/>
    <w:rsid w:val="00D42A87"/>
    <w:rsid w:val="00D441D7"/>
    <w:rsid w:val="00D44AC9"/>
    <w:rsid w:val="00D45C8D"/>
    <w:rsid w:val="00D50A6F"/>
    <w:rsid w:val="00D526A3"/>
    <w:rsid w:val="00D62D51"/>
    <w:rsid w:val="00D65A6A"/>
    <w:rsid w:val="00D70F12"/>
    <w:rsid w:val="00D71BB8"/>
    <w:rsid w:val="00D72FA5"/>
    <w:rsid w:val="00D74117"/>
    <w:rsid w:val="00D833BC"/>
    <w:rsid w:val="00D909FB"/>
    <w:rsid w:val="00DB779F"/>
    <w:rsid w:val="00DD0175"/>
    <w:rsid w:val="00DD64FA"/>
    <w:rsid w:val="00DE5B23"/>
    <w:rsid w:val="00DF648E"/>
    <w:rsid w:val="00DF68E0"/>
    <w:rsid w:val="00E1310A"/>
    <w:rsid w:val="00E21E6F"/>
    <w:rsid w:val="00E37BB1"/>
    <w:rsid w:val="00E47807"/>
    <w:rsid w:val="00E52CB7"/>
    <w:rsid w:val="00E80832"/>
    <w:rsid w:val="00E967A2"/>
    <w:rsid w:val="00EA0AB8"/>
    <w:rsid w:val="00EA1496"/>
    <w:rsid w:val="00EA2593"/>
    <w:rsid w:val="00EA2933"/>
    <w:rsid w:val="00EA76D7"/>
    <w:rsid w:val="00EB2AEC"/>
    <w:rsid w:val="00EB47C6"/>
    <w:rsid w:val="00ED763F"/>
    <w:rsid w:val="00EE4722"/>
    <w:rsid w:val="00EE6222"/>
    <w:rsid w:val="00EE6509"/>
    <w:rsid w:val="00EF57BC"/>
    <w:rsid w:val="00EF6220"/>
    <w:rsid w:val="00F1229F"/>
    <w:rsid w:val="00F24B78"/>
    <w:rsid w:val="00F277AA"/>
    <w:rsid w:val="00F70F1F"/>
    <w:rsid w:val="00F77ABC"/>
    <w:rsid w:val="00F80766"/>
    <w:rsid w:val="00F8416E"/>
    <w:rsid w:val="00F924A7"/>
    <w:rsid w:val="00F94D97"/>
    <w:rsid w:val="00FA1C3B"/>
    <w:rsid w:val="00FB1396"/>
    <w:rsid w:val="00FB2CB0"/>
    <w:rsid w:val="00FD162D"/>
    <w:rsid w:val="00FD3A99"/>
    <w:rsid w:val="00FD47EE"/>
    <w:rsid w:val="00FD5F95"/>
    <w:rsid w:val="00FD67E3"/>
    <w:rsid w:val="00FD759F"/>
    <w:rsid w:val="00FE3076"/>
    <w:rsid w:val="00FE6AE2"/>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B81F04"/>
  <w15:docId w15:val="{75DB5DD4-82E8-420E-9794-DD0427D7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 w:lineRule="auto"/>
      </w:pPr>
    </w:pPrDefault>
  </w:docDefaults>
  <w:latentStyles w:defLockedState="0" w:defUIPriority="99" w:defSemiHidden="0" w:defUnhideWhenUsed="0" w:defQFormat="0" w:count="376">
    <w:lsdException w:name="Normal" w:uiPriority="0"/>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rsid w:val="000776E6"/>
    <w:pPr>
      <w:spacing w:after="0" w:line="240" w:lineRule="auto"/>
    </w:pPr>
    <w:rPr>
      <w:rFonts w:ascii="Times New Roman" w:eastAsia="Times New Roman" w:hAnsi="Times New Roman" w:cs="Times New Roman"/>
      <w:sz w:val="20"/>
      <w:szCs w:val="20"/>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rsid w:val="00E37BB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rsid w:val="00E37BB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rsid w:val="00E37BB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rPr>
      <w:rFonts w:ascii="Tahoma"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ind w:left="4252"/>
    </w:p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rPr>
      <w:rFonts w:asciiTheme="majorHAnsi" w:eastAsiaTheme="majorEastAsia" w:hAnsiTheme="majorHAnsi" w:cstheme="majorBidi"/>
    </w:rPr>
  </w:style>
  <w:style w:type="paragraph" w:styleId="Caption">
    <w:name w:val="caption"/>
    <w:basedOn w:val="Normal"/>
    <w:next w:val="Normal"/>
    <w:uiPriority w:val="35"/>
    <w:semiHidden/>
    <w:rsid w:val="00E37BB1"/>
    <w:rPr>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pPr>
    <w:rPr>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rPr>
      <w:i/>
      <w:iCs/>
      <w:color w:val="000000" w:themeColor="text1"/>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ind w:left="200" w:hanging="200"/>
    </w:pPr>
  </w:style>
  <w:style w:type="paragraph" w:styleId="TOAHeading">
    <w:name w:val="toa heading"/>
    <w:basedOn w:val="Normal"/>
    <w:next w:val="Normal"/>
    <w:uiPriority w:val="99"/>
    <w:semiHidden/>
    <w:rsid w:val="00E37BB1"/>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rPr>
      <w:rFonts w:ascii="Tahoma"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style>
  <w:style w:type="paragraph" w:styleId="HTMLAddress">
    <w:name w:val="HTML Address"/>
    <w:basedOn w:val="Normal"/>
    <w:link w:val="HTMLAddressChar"/>
    <w:uiPriority w:val="99"/>
    <w:semiHidden/>
    <w:rsid w:val="00E37BB1"/>
    <w:rPr>
      <w:i/>
      <w:iCs/>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rPr>
      <w:rFonts w:ascii="Consolas" w:hAnsi="Consolas"/>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ind w:left="200" w:hanging="200"/>
    </w:pPr>
  </w:style>
  <w:style w:type="paragraph" w:styleId="Index2">
    <w:name w:val="index 2"/>
    <w:basedOn w:val="Normal"/>
    <w:next w:val="Normal"/>
    <w:autoRedefine/>
    <w:uiPriority w:val="99"/>
    <w:semiHidden/>
    <w:rsid w:val="00E37BB1"/>
    <w:pPr>
      <w:ind w:left="400" w:hanging="200"/>
    </w:pPr>
  </w:style>
  <w:style w:type="paragraph" w:styleId="Index3">
    <w:name w:val="index 3"/>
    <w:basedOn w:val="Normal"/>
    <w:next w:val="Normal"/>
    <w:autoRedefine/>
    <w:uiPriority w:val="99"/>
    <w:semiHidden/>
    <w:rsid w:val="00E37BB1"/>
    <w:pPr>
      <w:ind w:left="600" w:hanging="200"/>
    </w:pPr>
  </w:style>
  <w:style w:type="paragraph" w:styleId="Index4">
    <w:name w:val="index 4"/>
    <w:basedOn w:val="Normal"/>
    <w:next w:val="Normal"/>
    <w:autoRedefine/>
    <w:uiPriority w:val="99"/>
    <w:semiHidden/>
    <w:rsid w:val="00E37BB1"/>
    <w:pPr>
      <w:ind w:left="800" w:hanging="200"/>
    </w:pPr>
  </w:style>
  <w:style w:type="paragraph" w:styleId="Index5">
    <w:name w:val="index 5"/>
    <w:basedOn w:val="Normal"/>
    <w:next w:val="Normal"/>
    <w:autoRedefine/>
    <w:uiPriority w:val="99"/>
    <w:semiHidden/>
    <w:rsid w:val="00E37BB1"/>
    <w:pPr>
      <w:ind w:left="1000" w:hanging="200"/>
    </w:pPr>
  </w:style>
  <w:style w:type="paragraph" w:styleId="Index6">
    <w:name w:val="index 6"/>
    <w:basedOn w:val="Normal"/>
    <w:next w:val="Normal"/>
    <w:autoRedefine/>
    <w:uiPriority w:val="99"/>
    <w:semiHidden/>
    <w:rsid w:val="00E37BB1"/>
    <w:pPr>
      <w:ind w:left="1200" w:hanging="200"/>
    </w:pPr>
  </w:style>
  <w:style w:type="paragraph" w:styleId="Index7">
    <w:name w:val="index 7"/>
    <w:basedOn w:val="Normal"/>
    <w:next w:val="Normal"/>
    <w:autoRedefine/>
    <w:uiPriority w:val="99"/>
    <w:semiHidden/>
    <w:rsid w:val="00E37BB1"/>
    <w:pPr>
      <w:ind w:left="1400" w:hanging="200"/>
    </w:pPr>
  </w:style>
  <w:style w:type="paragraph" w:styleId="Index8">
    <w:name w:val="index 8"/>
    <w:basedOn w:val="Normal"/>
    <w:next w:val="Normal"/>
    <w:autoRedefine/>
    <w:uiPriority w:val="99"/>
    <w:semiHidden/>
    <w:rsid w:val="00E37BB1"/>
    <w:pPr>
      <w:ind w:left="1600" w:hanging="200"/>
    </w:pPr>
  </w:style>
  <w:style w:type="paragraph" w:styleId="Index9">
    <w:name w:val="index 9"/>
    <w:basedOn w:val="Normal"/>
    <w:next w:val="Normal"/>
    <w:autoRedefine/>
    <w:uiPriority w:val="99"/>
    <w:semiHidden/>
    <w:rsid w:val="00E37BB1"/>
    <w:pPr>
      <w:ind w:left="1800" w:hanging="200"/>
    </w:pPr>
  </w:style>
  <w:style w:type="paragraph" w:styleId="IndexHeading">
    <w:name w:val="index heading"/>
    <w:basedOn w:val="Normal"/>
    <w:next w:val="Index1"/>
    <w:uiPriority w:val="99"/>
    <w:semiHidden/>
    <w:rsid w:val="00E37BB1"/>
    <w:rPr>
      <w:rFonts w:asciiTheme="majorHAnsi" w:eastAsiaTheme="majorEastAsia" w:hAnsiTheme="majorHAnsi" w:cstheme="majorBidi"/>
      <w:b/>
      <w:bCs/>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pPr>
  </w:style>
  <w:style w:type="paragraph" w:styleId="TOC2">
    <w:name w:val="toc 2"/>
    <w:basedOn w:val="Normal"/>
    <w:next w:val="Normal"/>
    <w:autoRedefine/>
    <w:uiPriority w:val="39"/>
    <w:semiHidden/>
    <w:rsid w:val="00E37BB1"/>
    <w:pPr>
      <w:spacing w:after="100"/>
      <w:ind w:left="200"/>
    </w:pPr>
  </w:style>
  <w:style w:type="paragraph" w:styleId="TOC3">
    <w:name w:val="toc 3"/>
    <w:basedOn w:val="Normal"/>
    <w:next w:val="Normal"/>
    <w:autoRedefine/>
    <w:uiPriority w:val="39"/>
    <w:semiHidden/>
    <w:rsid w:val="00E37BB1"/>
    <w:pPr>
      <w:spacing w:after="100"/>
      <w:ind w:left="400"/>
    </w:pPr>
  </w:style>
  <w:style w:type="paragraph" w:styleId="TOC4">
    <w:name w:val="toc 4"/>
    <w:basedOn w:val="Normal"/>
    <w:next w:val="Normal"/>
    <w:autoRedefine/>
    <w:uiPriority w:val="39"/>
    <w:semiHidden/>
    <w:rsid w:val="00E37BB1"/>
    <w:pPr>
      <w:spacing w:after="100"/>
      <w:ind w:left="600"/>
    </w:pPr>
  </w:style>
  <w:style w:type="paragraph" w:styleId="TOC5">
    <w:name w:val="toc 5"/>
    <w:basedOn w:val="Normal"/>
    <w:next w:val="Normal"/>
    <w:autoRedefine/>
    <w:uiPriority w:val="39"/>
    <w:semiHidden/>
    <w:rsid w:val="00E37BB1"/>
    <w:pPr>
      <w:spacing w:after="100"/>
      <w:ind w:left="800"/>
    </w:pPr>
  </w:style>
  <w:style w:type="paragraph" w:styleId="TOC6">
    <w:name w:val="toc 6"/>
    <w:basedOn w:val="Normal"/>
    <w:next w:val="Normal"/>
    <w:autoRedefine/>
    <w:uiPriority w:val="39"/>
    <w:semiHidden/>
    <w:rsid w:val="00E37BB1"/>
    <w:pPr>
      <w:spacing w:after="100"/>
      <w:ind w:left="1000"/>
    </w:pPr>
  </w:style>
  <w:style w:type="paragraph" w:styleId="TOC7">
    <w:name w:val="toc 7"/>
    <w:basedOn w:val="Normal"/>
    <w:next w:val="Normal"/>
    <w:autoRedefine/>
    <w:uiPriority w:val="39"/>
    <w:semiHidden/>
    <w:rsid w:val="00E37BB1"/>
    <w:pPr>
      <w:spacing w:after="100"/>
      <w:ind w:left="1200"/>
    </w:pPr>
  </w:style>
  <w:style w:type="paragraph" w:styleId="TOC8">
    <w:name w:val="toc 8"/>
    <w:basedOn w:val="Normal"/>
    <w:next w:val="Normal"/>
    <w:autoRedefine/>
    <w:uiPriority w:val="39"/>
    <w:semiHidden/>
    <w:rsid w:val="00E37BB1"/>
    <w:pPr>
      <w:spacing w:after="100"/>
      <w:ind w:left="1400"/>
    </w:pPr>
  </w:style>
  <w:style w:type="paragraph" w:styleId="TOC9">
    <w:name w:val="toc 9"/>
    <w:basedOn w:val="Normal"/>
    <w:next w:val="Normal"/>
    <w:autoRedefine/>
    <w:uiPriority w:val="39"/>
    <w:semiHidden/>
    <w:rsid w:val="00E37BB1"/>
    <w:pPr>
      <w:spacing w:after="100"/>
      <w:ind w:left="1600"/>
    </w:p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ind w:left="283" w:hanging="283"/>
      <w:contextualSpacing/>
    </w:pPr>
  </w:style>
  <w:style w:type="paragraph" w:styleId="List2">
    <w:name w:val="List 2"/>
    <w:basedOn w:val="Normal"/>
    <w:uiPriority w:val="99"/>
    <w:semiHidden/>
    <w:rsid w:val="00E37BB1"/>
    <w:pPr>
      <w:ind w:left="566" w:hanging="283"/>
      <w:contextualSpacing/>
    </w:pPr>
  </w:style>
  <w:style w:type="paragraph" w:styleId="List3">
    <w:name w:val="List 3"/>
    <w:basedOn w:val="Normal"/>
    <w:uiPriority w:val="99"/>
    <w:semiHidden/>
    <w:rsid w:val="00E37BB1"/>
    <w:pPr>
      <w:ind w:left="849" w:hanging="283"/>
      <w:contextualSpacing/>
    </w:pPr>
  </w:style>
  <w:style w:type="paragraph" w:styleId="List4">
    <w:name w:val="List 4"/>
    <w:basedOn w:val="Normal"/>
    <w:uiPriority w:val="99"/>
    <w:semiHidden/>
    <w:rsid w:val="00E37BB1"/>
    <w:pPr>
      <w:ind w:left="1132" w:hanging="283"/>
      <w:contextualSpacing/>
    </w:pPr>
  </w:style>
  <w:style w:type="paragraph" w:styleId="List5">
    <w:name w:val="List 5"/>
    <w:basedOn w:val="Normal"/>
    <w:uiPriority w:val="99"/>
    <w:semiHidden/>
    <w:rsid w:val="00E37BB1"/>
    <w:pPr>
      <w:ind w:left="1415" w:hanging="283"/>
      <w:contextualSpacing/>
    </w:pPr>
  </w:style>
  <w:style w:type="paragraph" w:styleId="ListContinue">
    <w:name w:val="List Continue"/>
    <w:basedOn w:val="Normal"/>
    <w:uiPriority w:val="99"/>
    <w:semiHidden/>
    <w:rsid w:val="00E37BB1"/>
    <w:pPr>
      <w:spacing w:after="120"/>
      <w:ind w:left="283"/>
      <w:contextualSpacing/>
    </w:pPr>
  </w:style>
  <w:style w:type="paragraph" w:styleId="ListContinue2">
    <w:name w:val="List Continue 2"/>
    <w:basedOn w:val="Normal"/>
    <w:uiPriority w:val="99"/>
    <w:semiHidden/>
    <w:rsid w:val="00E37BB1"/>
    <w:pPr>
      <w:spacing w:after="120"/>
      <w:ind w:left="566"/>
      <w:contextualSpacing/>
    </w:pPr>
  </w:style>
  <w:style w:type="paragraph" w:styleId="ListContinue3">
    <w:name w:val="List Continue 3"/>
    <w:basedOn w:val="Normal"/>
    <w:uiPriority w:val="99"/>
    <w:semiHidden/>
    <w:rsid w:val="00E37BB1"/>
    <w:pPr>
      <w:spacing w:after="120"/>
      <w:ind w:left="849"/>
      <w:contextualSpacing/>
    </w:pPr>
  </w:style>
  <w:style w:type="paragraph" w:styleId="ListContinue4">
    <w:name w:val="List Continue 4"/>
    <w:basedOn w:val="Normal"/>
    <w:uiPriority w:val="99"/>
    <w:semiHidden/>
    <w:rsid w:val="00E37BB1"/>
    <w:pPr>
      <w:spacing w:after="120"/>
      <w:ind w:left="1132"/>
      <w:contextualSpacing/>
    </w:pPr>
  </w:style>
  <w:style w:type="paragraph" w:styleId="ListContinue5">
    <w:name w:val="List Continue 5"/>
    <w:basedOn w:val="Normal"/>
    <w:uiPriority w:val="99"/>
    <w:semiHidden/>
    <w:rsid w:val="00E37BB1"/>
    <w:pPr>
      <w:spacing w:after="120"/>
      <w:ind w:left="1415"/>
      <w:contextualSpacing/>
    </w:pPr>
  </w:style>
  <w:style w:type="paragraph" w:styleId="ListParagraph">
    <w:name w:val="List Paragraph"/>
    <w:basedOn w:val="Normal"/>
    <w:uiPriority w:val="34"/>
    <w:semiHidden/>
    <w:rsid w:val="00E37BB1"/>
    <w:pPr>
      <w:ind w:left="720"/>
      <w:contextualSpacing/>
    </w:pPr>
  </w:style>
  <w:style w:type="paragraph" w:styleId="Bibliography">
    <w:name w:val="Bibliography"/>
    <w:basedOn w:val="Normal"/>
    <w:next w:val="Normal"/>
    <w:uiPriority w:val="37"/>
    <w:semiHidden/>
    <w:rsid w:val="00E37BB1"/>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rPr>
      <w:sz w:val="24"/>
      <w:szCs w:val="24"/>
    </w:rPr>
  </w:style>
  <w:style w:type="paragraph" w:styleId="NormalIndent">
    <w:name w:val="Normal Indent"/>
    <w:basedOn w:val="Normal"/>
    <w:uiPriority w:val="99"/>
    <w:semiHidden/>
    <w:rsid w:val="00E37BB1"/>
    <w:pPr>
      <w:ind w:left="1304"/>
    </w:pPr>
  </w:style>
  <w:style w:type="paragraph" w:styleId="ListNumber2">
    <w:name w:val="List Number 2"/>
    <w:basedOn w:val="Normal"/>
    <w:uiPriority w:val="99"/>
    <w:semiHidden/>
    <w:rsid w:val="00E37BB1"/>
    <w:pPr>
      <w:numPr>
        <w:numId w:val="3"/>
      </w:numPr>
      <w:contextualSpacing/>
    </w:pPr>
  </w:style>
  <w:style w:type="paragraph" w:styleId="ListNumber3">
    <w:name w:val="List Number 3"/>
    <w:basedOn w:val="Normal"/>
    <w:uiPriority w:val="99"/>
    <w:semiHidden/>
    <w:rsid w:val="00E37BB1"/>
    <w:pPr>
      <w:numPr>
        <w:numId w:val="4"/>
      </w:numPr>
      <w:contextualSpacing/>
    </w:pPr>
  </w:style>
  <w:style w:type="paragraph" w:styleId="ListNumber4">
    <w:name w:val="List Number 4"/>
    <w:basedOn w:val="Normal"/>
    <w:uiPriority w:val="99"/>
    <w:semiHidden/>
    <w:rsid w:val="00E37BB1"/>
    <w:pPr>
      <w:numPr>
        <w:numId w:val="5"/>
      </w:numPr>
      <w:contextualSpacing/>
    </w:pPr>
  </w:style>
  <w:style w:type="paragraph" w:styleId="ListNumber5">
    <w:name w:val="List Number 5"/>
    <w:basedOn w:val="Normal"/>
    <w:uiPriority w:val="99"/>
    <w:semiHidden/>
    <w:rsid w:val="00E37BB1"/>
    <w:pPr>
      <w:numPr>
        <w:numId w:val="6"/>
      </w:numPr>
      <w:contextualSpacing/>
    </w:pPr>
  </w:style>
  <w:style w:type="paragraph" w:styleId="PlainText">
    <w:name w:val="Plain Text"/>
    <w:basedOn w:val="Normal"/>
    <w:link w:val="PlainTextChar"/>
    <w:uiPriority w:val="99"/>
    <w:semiHidden/>
    <w:rsid w:val="00E37BB1"/>
    <w:rPr>
      <w:rFonts w:ascii="Consolas" w:hAnsi="Consolas"/>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ind w:left="0" w:firstLine="0"/>
      <w:contextualSpacing/>
    </w:pPr>
  </w:style>
  <w:style w:type="paragraph" w:styleId="ListBullet2">
    <w:name w:val="List Bullet 2"/>
    <w:basedOn w:val="Normal"/>
    <w:uiPriority w:val="99"/>
    <w:semiHidden/>
    <w:rsid w:val="00E37BB1"/>
    <w:pPr>
      <w:numPr>
        <w:numId w:val="8"/>
      </w:numPr>
      <w:contextualSpacing/>
    </w:pPr>
  </w:style>
  <w:style w:type="paragraph" w:styleId="ListBullet3">
    <w:name w:val="List Bullet 3"/>
    <w:basedOn w:val="Normal"/>
    <w:uiPriority w:val="99"/>
    <w:semiHidden/>
    <w:rsid w:val="00E37BB1"/>
    <w:pPr>
      <w:numPr>
        <w:numId w:val="9"/>
      </w:numPr>
      <w:tabs>
        <w:tab w:val="clear" w:pos="926"/>
        <w:tab w:val="num" w:pos="360"/>
      </w:tabs>
      <w:ind w:left="0" w:firstLine="0"/>
      <w:contextualSpacing/>
    </w:pPr>
  </w:style>
  <w:style w:type="paragraph" w:styleId="ListBullet4">
    <w:name w:val="List Bullet 4"/>
    <w:basedOn w:val="Normal"/>
    <w:uiPriority w:val="99"/>
    <w:semiHidden/>
    <w:rsid w:val="00E37BB1"/>
    <w:pPr>
      <w:numPr>
        <w:numId w:val="10"/>
      </w:numPr>
      <w:contextualSpacing/>
    </w:pPr>
  </w:style>
  <w:style w:type="paragraph" w:styleId="ListBullet5">
    <w:name w:val="List Bullet 5"/>
    <w:basedOn w:val="Normal"/>
    <w:uiPriority w:val="99"/>
    <w:semiHidden/>
    <w:rsid w:val="00E37BB1"/>
    <w:pPr>
      <w:numPr>
        <w:numId w:val="11"/>
      </w:numPr>
      <w:contextualSpacing/>
    </w:p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ind w:left="4252"/>
    </w:p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4A3BA8"/>
    <w:rPr>
      <w:color w:val="2B579A"/>
      <w:shd w:val="clear" w:color="auto" w:fill="E1DFDD"/>
    </w:rPr>
  </w:style>
  <w:style w:type="character" w:styleId="Mention">
    <w:name w:val="Mention"/>
    <w:basedOn w:val="DefaultParagraphFont"/>
    <w:uiPriority w:val="99"/>
    <w:semiHidden/>
    <w:rsid w:val="004A3BA8"/>
    <w:rPr>
      <w:color w:val="2B579A"/>
      <w:shd w:val="clear" w:color="auto" w:fill="E1DFDD"/>
    </w:rPr>
  </w:style>
  <w:style w:type="character" w:styleId="UnresolvedMention">
    <w:name w:val="Unresolved Mention"/>
    <w:basedOn w:val="DefaultParagraphFont"/>
    <w:uiPriority w:val="99"/>
    <w:semiHidden/>
    <w:rsid w:val="004A3BA8"/>
    <w:rPr>
      <w:color w:val="605E5C"/>
      <w:shd w:val="clear" w:color="auto" w:fill="E1DFDD"/>
    </w:rPr>
  </w:style>
  <w:style w:type="character" w:styleId="SmartHyperlink">
    <w:name w:val="Smart Hyperlink"/>
    <w:basedOn w:val="DefaultParagraphFont"/>
    <w:uiPriority w:val="99"/>
    <w:semiHidden/>
    <w:rsid w:val="004A3BA8"/>
    <w:rPr>
      <w:u w:val="dotted"/>
    </w:rPr>
  </w:style>
  <w:style w:type="character" w:styleId="SmartLink">
    <w:name w:val="Smart Link"/>
    <w:basedOn w:val="DefaultParagraphFont"/>
    <w:uiPriority w:val="99"/>
    <w:semiHidden/>
    <w:rsid w:val="004A3BA8"/>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ml version="1.0" encoding="iso-8859-1"?>-->
<DocumentInfo xmlns="http://lp/documentinfo/RK">
  <BaseInfo>
    <RkTemplate>30</RkTemplate>
    <DocType>SFS</DocType>
    <DocTypeShowName>SFS</DocTypeShowName>
    <Status/>
    <Sender>
      <SenderName>Anna Cedrum</SenderName>
      <SenderTitle>Departementssekreterare</SenderTitle>
      <SenderMail>Anna.Cedrum@regeringskansliet.se</SenderMail>
      <SenderPhone>08-405 12 09
072-228 11 41</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2021-05-26</HeaderDate>
    <Office/>
    <Dnr>M2021/</Dnr>
    <ParagrafNr/>
    <DocumentTitle/>
    <VisitingAddress/>
    <Extra1>extrainfo för denna mallm</Extra1>
    <Extra2>mer extrainfo</Extra2>
    <Extra3/>
    <Number/>
    <Recipient/>
    <SenderText/>
    <DocNumber/>
    <Doclanguage>1053</Doclanguage>
    <Appendix/>
    <LogotypeName/>
  </BaseInfo>
</DocumentInfo>
</file>

<file path=customXml/item3.xml><?xml version="1.0" encoding="utf-8"?>
<?mso-contentType ?>
<SharedContentType xmlns="Microsoft.SharePoint.Taxonomy.ContentTypeSync" SourceId="d07acfae-4dfa-4949-99a8-259efd31a6ae" ContentTypeId="0x010100BBA312BF02777149882D207184EC35C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6a372189-8514-43a9-a668-4622024340fc">TSDR5AECP2XP-1839530900-53379</_dlc_DocId>
    <_dlc_DocIdUrl xmlns="6a372189-8514-43a9-a668-4622024340fc">
      <Url>https://dhs.sp.regeringskansliet.se/yta/m-r/_layouts/15/DocIdRedir.aspx?ID=TSDR5AECP2XP-1839530900-53379</Url>
      <Description>TSDR5AECP2XP-1839530900-53379</Description>
    </_dlc_DocIdUrl>
    <RKOrdnaClass xmlns="d4acd662-17ce-4a3b-8e84-c7c9f280a23c" xsi:nil="true"/>
    <RKOrdnaCheckInComment xmlns="d4acd662-17ce-4a3b-8e84-c7c9f280a2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5" ma:contentTypeDescription="Skapa ett nytt dokument." ma:contentTypeScope="" ma:versionID="44e31441bcfe5a11cd9a2cef03372725">
  <xsd:schema xmlns:xsd="http://www.w3.org/2001/XMLSchema" xmlns:xs="http://www.w3.org/2001/XMLSchema" xmlns:p="http://schemas.microsoft.com/office/2006/metadata/properties" xmlns:ns2="4e9c2f0c-7bf8-49af-8356-cbf363fc78a7" xmlns:ns3="cc625d36-bb37-4650-91b9-0c96159295ba" xmlns:ns4="18f3d968-6251-40b0-9f11-012b293496c2" xmlns:ns5="d4acd662-17ce-4a3b-8e84-c7c9f280a23c" xmlns:ns7="6a372189-8514-43a9-a668-4622024340fc" targetNamespace="http://schemas.microsoft.com/office/2006/metadata/properties" ma:root="true" ma:fieldsID="9755c46bd8cbbb861736efa1e3307b2e" ns2:_="" ns3:_="" ns4:_="" ns5:_="" ns7:_="">
    <xsd:import namespace="4e9c2f0c-7bf8-49af-8356-cbf363fc78a7"/>
    <xsd:import namespace="cc625d36-bb37-4650-91b9-0c96159295ba"/>
    <xsd:import namespace="18f3d968-6251-40b0-9f11-012b293496c2"/>
    <xsd:import namespace="d4acd662-17ce-4a3b-8e84-c7c9f280a23c"/>
    <xsd:import namespace="6a372189-8514-43a9-a668-4622024340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RKOrdnaCheckInComment" minOccurs="0"/>
                <xsd:element ref="ns5:RKOrdnaClas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3b9322c-24b1-4a7f-a49c-b9c86c8c013d}" ma:internalName="TaxCatchAll"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heckInComment" ma:index="17" nillable="true" ma:displayName="Incheckningskommentar" ma:hidden="true" ma:internalName="RKOrdnaCheckInComment">
      <xsd:simpleType>
        <xsd:restriction base="dms:Text"/>
      </xsd:simpleType>
    </xsd:element>
    <xsd:element name="RKOrdnaClass" ma:index="18" nillable="true" ma:displayName="Klass" ma:hidden="true" ma:internalName="RKOrdnaCla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9"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E4A30F-19A2-4DF4-8C0F-8AFABA5BE640}">
  <ds:schemaRefs>
    <ds:schemaRef ds:uri="http://schemas.openxmlformats.org/officeDocument/2006/bibliography"/>
  </ds:schemaRefs>
</ds:datastoreItem>
</file>

<file path=customXml/itemProps2.xml><?xml version="1.0" encoding="utf-8"?>
<ds:datastoreItem xmlns:ds="http://schemas.openxmlformats.org/officeDocument/2006/customXml" ds:itemID="{FC974E1A-44C7-486B-9F64-ACC8D6E00367}">
  <ds:schemaRefs>
    <ds:schemaRef ds:uri="http://lp/documentinfo/RK"/>
  </ds:schemaRefs>
</ds:datastoreItem>
</file>

<file path=customXml/itemProps3.xml><?xml version="1.0" encoding="utf-8"?>
<ds:datastoreItem xmlns:ds="http://schemas.openxmlformats.org/officeDocument/2006/customXml" ds:itemID="{C0208AD9-7621-44EF-92B6-94058BEE090D}">
  <ds:schemaRefs>
    <ds:schemaRef ds:uri="Microsoft.SharePoint.Taxonomy.ContentTypeSync"/>
  </ds:schemaRefs>
</ds:datastoreItem>
</file>

<file path=customXml/itemProps4.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5.xml><?xml version="1.0" encoding="utf-8"?>
<ds:datastoreItem xmlns:ds="http://schemas.openxmlformats.org/officeDocument/2006/customXml" ds:itemID="{F950BDEA-6BD5-4D01-B686-2AF69049C9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372189-8514-43a9-a668-4622024340fc"/>
    <ds:schemaRef ds:uri="d4acd662-17ce-4a3b-8e84-c7c9f280a23c"/>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B70728E-F6DE-48BC-B86C-366F6015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d4acd662-17ce-4a3b-8e84-c7c9f280a23c"/>
    <ds:schemaRef ds:uri="6a372189-8514-43a9-a668-462202434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6D950E-A258-4665-AC74-02E666C239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SFS.dotx</Template>
  <TotalTime>2</TotalTime>
  <Pages>2</Pages>
  <Words>594</Words>
  <Characters>3391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Förordning om ändring i förordningen (2018:1462) om producentansvar för förpackningar</vt:lpstr>
    </vt:vector>
  </TitlesOfParts>
  <Company>Regeringskansliet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(2018:1462) om producentansvar för förpackningar</dc:title>
  <dc:creator>Anna Cedrum</dc:creator>
  <cp:lastModifiedBy>Dimitris Dimitriadis</cp:lastModifiedBy>
  <cp:revision>4</cp:revision>
  <cp:lastPrinted>2016-10-14T09:17:00Z</cp:lastPrinted>
  <dcterms:created xsi:type="dcterms:W3CDTF">2021-06-28T14:30:00Z</dcterms:created>
  <dcterms:modified xsi:type="dcterms:W3CDTF">2021-07-02T08:01:00Z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759eb7dc-ebe2-4bb0-86b9-c90f737cef64</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TaxKeyword">
    <vt:lpwstr/>
  </property>
  <property fmtid="{D5CDD505-2E9C-101B-9397-08002B2CF9AE}" pid="9" name="Organisation">
    <vt:lpwstr/>
  </property>
  <property fmtid="{D5CDD505-2E9C-101B-9397-08002B2CF9AE}" pid="10" name="ActivityCategory">
    <vt:lpwstr/>
  </property>
  <property fmtid="{D5CDD505-2E9C-101B-9397-08002B2CF9AE}" pid="11" name="TaxKeywordTaxHTField">
    <vt:lpwstr/>
  </property>
  <property fmtid="{D5CDD505-2E9C-101B-9397-08002B2CF9AE}" pid="12" name="c9cd366cc722410295b9eacffbd73909">
    <vt:lpwstr/>
  </property>
  <property fmtid="{D5CDD505-2E9C-101B-9397-08002B2CF9AE}" pid="13" name="RKAktivitetskategori">
    <vt:lpwstr/>
  </property>
</Properties>
</file>