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516B22DC" w14:textId="77777777" w:rsidTr="00791468">
        <w:tc>
          <w:tcPr>
            <w:tcW w:w="7371" w:type="dxa"/>
          </w:tcPr>
          <w:p w14:paraId="56728A70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Sbírka předpisů Švédské potravinářské agentury</w:t>
            </w:r>
          </w:p>
          <w:p w14:paraId="0335C521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40D83FAE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430FD4FF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1625452A" w14:textId="4727743F" w:rsidR="00173D26" w:rsidRPr="007B482C" w:rsidRDefault="00173D26" w:rsidP="00173D26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4ADD45D1" w14:textId="77777777" w:rsidTr="00FE4B0F">
        <w:tc>
          <w:tcPr>
            <w:tcW w:w="7371" w:type="dxa"/>
          </w:tcPr>
          <w:p w14:paraId="2EDB1DAC" w14:textId="34006D93" w:rsidR="005A6466" w:rsidRPr="007B482C" w:rsidRDefault="00000000" w:rsidP="00737150">
            <w:pPr>
              <w:rPr>
                <w:b/>
                <w:bCs/>
                <w:sz w:val="36"/>
                <w:szCs w:val="36"/>
              </w:rPr>
            </w:pPr>
            <w:sdt>
              <w:sdtPr>
                <w:rPr>
                  <w:b/>
                </w:rPr>
                <w:id w:val="1635603334"/>
                <w:lock w:val="sdtLocked"/>
                <w:placeholder>
                  <w:docPart w:val="F0DDC16C7CD3456DAD4B0F2A54FB247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8227CB" w:rsidRPr="008227CB">
                  <w:rPr>
                    <w:b/>
                  </w:rPr>
                  <w:t>Předpisy Švédské potravinářské agentury týkající se vody určené k lidské spotřebě;</w:t>
                </w:r>
              </w:sdtContent>
            </w:sdt>
          </w:p>
        </w:tc>
        <w:tc>
          <w:tcPr>
            <w:tcW w:w="2268" w:type="dxa"/>
          </w:tcPr>
          <w:p w14:paraId="62DEA325" w14:textId="567557A7" w:rsidR="00061943" w:rsidRDefault="00061943" w:rsidP="00F46ACB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96B5116DFE6B475EAC792A7CB927349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EB1AC4">
                  <w:rPr>
                    <w:b/>
                  </w:rPr>
                  <w:t>2022:12</w:t>
                </w:r>
              </w:sdtContent>
            </w:sdt>
          </w:p>
          <w:p w14:paraId="21F167D9" w14:textId="77777777" w:rsidR="00F46ACB" w:rsidRPr="00F46ACB" w:rsidRDefault="00F46ACB" w:rsidP="00F46ACB">
            <w:pPr>
              <w:rPr>
                <w:b/>
              </w:rPr>
            </w:pPr>
          </w:p>
          <w:p w14:paraId="1225AFFD" w14:textId="77777777" w:rsidR="00061943" w:rsidRPr="00AB2A3D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Zveřejněno dne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16B5F8ADD4EE4E66813DAF7B1757DAD0"/>
                </w:placeholder>
                <w:temporary/>
                <w:showingPlcHdr/>
                <w:date w:fullDate="2014-01-09T00:00:00Z">
                  <w:dateFormat w:val="'den' d MMMM 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Klikněte sem a zadejte datum.</w:t>
                </w:r>
              </w:sdtContent>
            </w:sdt>
          </w:p>
        </w:tc>
      </w:tr>
    </w:tbl>
    <w:p w14:paraId="25CC32A7" w14:textId="3940C25F" w:rsidR="00173D26" w:rsidRDefault="00D832B4" w:rsidP="00D832B4">
      <w:pPr>
        <w:spacing w:before="480" w:after="720"/>
      </w:pPr>
      <w:r>
        <w:t>Přijato 30. listopadu 2022.</w:t>
      </w:r>
    </w:p>
    <w:p w14:paraId="25BFEE56" w14:textId="30291A5D" w:rsidR="00D832B4" w:rsidRDefault="00D832B4" w:rsidP="00525443">
      <w:pPr>
        <w:ind w:firstLine="284"/>
      </w:pPr>
      <w:r>
        <w:t>Na základě oddílů 5, 6, 30 a 31 nařízení o potravinách (2006:813), a Švédská potravinářská agentura stanoví</w:t>
      </w:r>
      <w:r w:rsidR="00E1752D">
        <w:rPr>
          <w:rStyle w:val="FootnoteReference"/>
        </w:rPr>
        <w:footnoteReference w:id="1"/>
      </w:r>
      <w:r>
        <w:t>.</w:t>
      </w:r>
    </w:p>
    <w:p w14:paraId="4F271F86" w14:textId="77777777" w:rsidR="00D13D17" w:rsidRDefault="00D13D17" w:rsidP="007C4344">
      <w:pPr>
        <w:tabs>
          <w:tab w:val="clear" w:pos="283"/>
          <w:tab w:val="left" w:pos="284"/>
        </w:tabs>
        <w:ind w:firstLine="284"/>
      </w:pPr>
    </w:p>
    <w:p w14:paraId="2AF1400E" w14:textId="329B0595" w:rsidR="00777DCD" w:rsidRPr="000D12B4" w:rsidRDefault="00777DCD" w:rsidP="0025770E">
      <w:pPr>
        <w:pStyle w:val="Heading2"/>
      </w:pPr>
      <w:r>
        <w:t xml:space="preserve">Oblast působnosti </w:t>
      </w:r>
    </w:p>
    <w:p w14:paraId="7D704B93" w14:textId="1FDE8A90" w:rsidR="00ED4C3B" w:rsidRDefault="00B165BA" w:rsidP="0025770E">
      <w:pPr>
        <w:pStyle w:val="Paragraftext"/>
      </w:pPr>
      <w:r>
        <w:rPr>
          <w:rStyle w:val="FrstaradenChar"/>
          <w:b/>
        </w:rPr>
        <w:t>§ 1</w:t>
      </w:r>
      <w:r>
        <w:rPr>
          <w:rStyle w:val="FrstaradenChar"/>
        </w:rPr>
        <w:t xml:space="preserve">  Tyto předpisy obsahují ustanovení o výrobě, nakládání s vodou určenou k lidské spotřebě a její jakosti</w:t>
      </w:r>
      <w:r>
        <w:t xml:space="preserve">. </w:t>
      </w:r>
    </w:p>
    <w:p w14:paraId="377687C3" w14:textId="631A3127" w:rsidR="00747BA8" w:rsidRPr="00772054" w:rsidRDefault="00747BA8" w:rsidP="0025770E">
      <w:pPr>
        <w:pStyle w:val="Paragraftext"/>
      </w:pPr>
      <w:r>
        <w:tab/>
        <w:t>Pro účely těchto předpisů se „vodou určenou k lidské spotřebě“ rozumí veškerá voda určená k lidské spotřebě nebo u níž lze důvodně předpokládat, že bude požita lidmi, včetně pramenité vody, a to od okamžiku, kdy je přiváděna do vodárny.</w:t>
      </w:r>
    </w:p>
    <w:p w14:paraId="79B50B46" w14:textId="4EBB7077" w:rsidR="00ED25E9" w:rsidRPr="000D12B4" w:rsidRDefault="009733CE" w:rsidP="00E15AA2">
      <w:pPr>
        <w:pStyle w:val="Paragraftext"/>
      </w:pPr>
      <w:r>
        <w:tab/>
        <w:t>Předpisy se nevztahují na přírodní minerální vody.</w:t>
      </w:r>
    </w:p>
    <w:p w14:paraId="0FCADB58" w14:textId="2C125A2E" w:rsidR="00342C77" w:rsidRPr="000D12B4" w:rsidRDefault="00342C77" w:rsidP="0025770E">
      <w:pPr>
        <w:pStyle w:val="Paragraftext"/>
      </w:pPr>
    </w:p>
    <w:p w14:paraId="269AB3DC" w14:textId="025BDD71" w:rsidR="00342C77" w:rsidRPr="000D12B4" w:rsidRDefault="00B165BA" w:rsidP="0025770E">
      <w:pPr>
        <w:pStyle w:val="Paragraftext"/>
      </w:pPr>
      <w:r>
        <w:rPr>
          <w:b/>
        </w:rPr>
        <w:t>Oddíl 2</w:t>
      </w:r>
      <w:r>
        <w:t xml:space="preserve">  Pravidla se vztahují na provozovatele, kteří v průměru vyrábějí nebo dodávají nejméně 10 m³ vody určené k lidské spotřebě za den nebo zásobují nejméně 50 osob vodou určenou k lidské spotřebě. Na vodu určenou k lidské spotřebě dodávanou v rámci obchodní nebo veřejné činnosti se však vždy vztahují předpisy.</w:t>
      </w:r>
    </w:p>
    <w:p w14:paraId="5DB97C40" w14:textId="50A1E485" w:rsidR="00A155CE" w:rsidRPr="000D12B4" w:rsidRDefault="00A155CE" w:rsidP="0025770E">
      <w:pPr>
        <w:pStyle w:val="Paragraftext"/>
      </w:pPr>
    </w:p>
    <w:p w14:paraId="6DC8A8F7" w14:textId="3133018B" w:rsidR="00A155CE" w:rsidRPr="000D12B4" w:rsidRDefault="00F70972" w:rsidP="0025770E">
      <w:pPr>
        <w:pStyle w:val="Paragraftext"/>
      </w:pPr>
      <w:r>
        <w:rPr>
          <w:b/>
        </w:rPr>
        <w:t xml:space="preserve">§ 3 </w:t>
      </w:r>
      <w:r>
        <w:t xml:space="preserve"> Provozovatelé, kteří v průměru vyrábějí nebo dodávají méně než 10 m³ vody určené k lidské spotřebě za den nebo zásobují méně než 50 osob vodou </w:t>
      </w:r>
      <w:r>
        <w:lastRenderedPageBreak/>
        <w:t>určenou k lidské spotřebě v rámci obchodní nebo veřejné činnosti, podléhají pouze oddílům 6–9, 16-18, 20-32, 34 a 35.</w:t>
      </w:r>
    </w:p>
    <w:p w14:paraId="61FCAD1B" w14:textId="0873DC71" w:rsidR="002345E2" w:rsidRPr="000D12B4" w:rsidRDefault="002345E2" w:rsidP="0025770E">
      <w:pPr>
        <w:pStyle w:val="Paragraftext"/>
      </w:pPr>
    </w:p>
    <w:p w14:paraId="413464A1" w14:textId="45B8B19E" w:rsidR="00A170F6" w:rsidRPr="000D12B4" w:rsidRDefault="00F70972" w:rsidP="0025770E">
      <w:pPr>
        <w:pStyle w:val="Paragraftext"/>
      </w:pPr>
      <w:r>
        <w:rPr>
          <w:b/>
        </w:rPr>
        <w:t>§ 4</w:t>
      </w:r>
      <w:r>
        <w:t xml:space="preserve">  Na provozovatele přepravující cestující lodí a vyrábějící vodu určenou k lidské spotřebě odsolováním se vztahují pouze oddíly 6–8, 10–15, 17, 19–30, 32 a 33. </w:t>
      </w:r>
    </w:p>
    <w:p w14:paraId="09E92CFD" w14:textId="06963C89" w:rsidR="00777DCD" w:rsidRPr="000D12B4" w:rsidRDefault="002936C1" w:rsidP="00777DCD">
      <w:pPr>
        <w:pStyle w:val="Heading2"/>
      </w:pPr>
      <w:r>
        <w:t>Pojmy a definice</w:t>
      </w:r>
    </w:p>
    <w:p w14:paraId="516F8C33" w14:textId="3D48E349" w:rsidR="00777DCD" w:rsidRPr="000D12B4" w:rsidRDefault="00F70972" w:rsidP="0025770E">
      <w:pPr>
        <w:pStyle w:val="Paragraftext"/>
      </w:pPr>
      <w:r>
        <w:rPr>
          <w:rStyle w:val="FrstaradenChar"/>
          <w:b/>
        </w:rPr>
        <w:t>Oddíl 5</w:t>
      </w:r>
      <w:r>
        <w:rPr>
          <w:rStyle w:val="FrstaradenChar"/>
        </w:rPr>
        <w:t xml:space="preserve">  Pro účely těchto nařízení:</w:t>
      </w:r>
    </w:p>
    <w:p w14:paraId="61EEC8E1" w14:textId="4552BEF0" w:rsidR="00A54CAC" w:rsidRPr="000D12B4" w:rsidRDefault="00A54CAC" w:rsidP="00A54CAC">
      <w:pPr>
        <w:pStyle w:val="Paragraftext"/>
      </w:pPr>
      <w:r>
        <w:t>1. distribuční zařízení: část zařízení určená k zásobování vodou určenou k lidské spotřebě týkající se potrubí, čerpadel, nádrží nebo podobných potrubních zařízení pro rozvod vody určené k lidské spotřebě;</w:t>
      </w:r>
    </w:p>
    <w:p w14:paraId="165C1358" w14:textId="300E9167" w:rsidR="00A54CAC" w:rsidRPr="000D12B4" w:rsidRDefault="00A54CAC" w:rsidP="00A54CAC">
      <w:pPr>
        <w:pStyle w:val="Paragraftext"/>
      </w:pPr>
      <w:r>
        <w:t xml:space="preserve">2. nebezpečí: biologický, chemický, fyzikální nebo radiologický činitel přítomný ve vodě nebo jiný aspekt stavu vody, které by mohly způsobit újmu na lidském zdraví; </w:t>
      </w:r>
    </w:p>
    <w:p w14:paraId="4129DDA8" w14:textId="1F5D487E" w:rsidR="00A54CAC" w:rsidRPr="000D12B4" w:rsidRDefault="00A54CAC" w:rsidP="00A54CAC">
      <w:pPr>
        <w:pStyle w:val="Paragraftext"/>
      </w:pPr>
      <w:r>
        <w:t xml:space="preserve">3. domovní rozvodný systém: potrubí, příslušenství a zařízení, které jsou instalovány mezi kohouty, které se běžně používají k lidské spotřebě, a distribučním zařízením; </w:t>
      </w:r>
    </w:p>
    <w:p w14:paraId="2E87F2BD" w14:textId="554E7B67" w:rsidR="00A54CAC" w:rsidRPr="000D12B4" w:rsidRDefault="00A54CAC" w:rsidP="00A54CAC">
      <w:pPr>
        <w:pStyle w:val="Paragraftext"/>
      </w:pPr>
      <w:r>
        <w:t>4. filtrační média: práškové materiály používané ve filtrech při úpravě vody určené k lidské spotřebě, které nejsou chemickou látkou pro úpravu;</w:t>
      </w:r>
    </w:p>
    <w:p w14:paraId="2E33B1B8" w14:textId="5AA53F5B" w:rsidR="00A54CAC" w:rsidRPr="000D12B4" w:rsidRDefault="00A54CAC" w:rsidP="00EA463A">
      <w:pPr>
        <w:pStyle w:val="Paragraftext"/>
      </w:pPr>
      <w:r>
        <w:t>5. riziko: funkce pravděpodobnosti nepříznivého dopadu na zdraví a závažnosti tohoto dopadu v důsledku nebezpečí;</w:t>
      </w:r>
    </w:p>
    <w:p w14:paraId="3F625366" w14:textId="0E754B55" w:rsidR="00BA66C9" w:rsidRPr="000D12B4" w:rsidRDefault="00A54CAC" w:rsidP="00EA463A">
      <w:pPr>
        <w:pStyle w:val="Paragraftext"/>
      </w:pPr>
      <w:r>
        <w:t xml:space="preserve">6. surová voda: voda určená k použití jako voda určená k lidské spotřebě po čerpání nebo přívodu a jakékoli úpravě; </w:t>
      </w:r>
    </w:p>
    <w:p w14:paraId="31582EEF" w14:textId="4DC40B56" w:rsidR="00A54CAC" w:rsidRPr="000D12B4" w:rsidRDefault="00A54CAC" w:rsidP="0025770E">
      <w:pPr>
        <w:pStyle w:val="Paragraftext"/>
        <w:rPr>
          <w:sz w:val="16"/>
          <w:szCs w:val="16"/>
        </w:rPr>
      </w:pPr>
      <w:r>
        <w:t>7. zásobovací zóna: zeměpisně omezená oblast, v níž voda určená k lidské spotřebě pochází z jednoho nebo více vodních zdrojů a v níž lze kvalitu vody určené k lidské spotřebě považovat za převážně jednotnou;</w:t>
      </w:r>
    </w:p>
    <w:p w14:paraId="3A2645D9" w14:textId="7BA0AA0F" w:rsidR="00296FF1" w:rsidRPr="000D12B4" w:rsidRDefault="00A54CAC" w:rsidP="0025770E">
      <w:pPr>
        <w:pStyle w:val="Paragraftext"/>
      </w:pPr>
      <w:r>
        <w:t>8. zařízení pro zásobování vodou: část zařízení určeného k zásobování vodou určenou k lidské spotřebě v souvislosti s čerpáním nebo přívodem, úpravou nebo podobným nakládáním s vodou určenou k lidské spotřebě, jakož i souvisejícími nádržemi nebo podobnými zařízeními pro skladování vody určené k lidské spotřebě.</w:t>
      </w:r>
    </w:p>
    <w:p w14:paraId="5F32C744" w14:textId="77777777" w:rsidR="00296FF1" w:rsidRPr="000D12B4" w:rsidRDefault="00296FF1" w:rsidP="00296FF1">
      <w:pPr>
        <w:pStyle w:val="Heading2"/>
      </w:pPr>
      <w:r>
        <w:t>Požadavky na kvalitu</w:t>
      </w:r>
    </w:p>
    <w:p w14:paraId="3A136E58" w14:textId="451EF210" w:rsidR="00296FF1" w:rsidRPr="000D12B4" w:rsidRDefault="00F70972" w:rsidP="0025770E">
      <w:pPr>
        <w:pStyle w:val="Paragraftext"/>
      </w:pPr>
      <w:r>
        <w:rPr>
          <w:b/>
        </w:rPr>
        <w:t>Oddíl 6</w:t>
      </w:r>
      <w:r>
        <w:t xml:space="preserve">  Voda určená k lidské spotřebě musí být zdravotně nezávadná a čistá. Voda určená k lidské spotřebě se považuje za zdravotně nezávadnou a čistou, pokud:</w:t>
      </w:r>
    </w:p>
    <w:p w14:paraId="167CFC5D" w14:textId="72644DDA" w:rsidR="00296FF1" w:rsidRPr="000D12B4" w:rsidRDefault="00296FF1" w:rsidP="0025770E">
      <w:pPr>
        <w:pStyle w:val="Paragraftext"/>
      </w:pPr>
      <w:r>
        <w:t>1. neobsahuje žádné mikroorganismy, parazity a žádné látky, které v počtu nebo koncentracích představují potenciální riziko pro lidské zdraví; a</w:t>
      </w:r>
    </w:p>
    <w:p w14:paraId="2AFFBD33" w14:textId="22863E9D" w:rsidR="00B3394B" w:rsidRPr="000D12B4" w:rsidRDefault="00296FF1" w:rsidP="0025770E">
      <w:pPr>
        <w:pStyle w:val="Paragraftext"/>
      </w:pPr>
      <w:r>
        <w:t>2. splňuje mezní hodnoty stanovené v dodatku 1.</w:t>
      </w:r>
    </w:p>
    <w:p w14:paraId="290CC6DE" w14:textId="1273E37C" w:rsidR="00CA4BFC" w:rsidRPr="000D12B4" w:rsidRDefault="00086FEE" w:rsidP="00CA4BFC">
      <w:pPr>
        <w:pStyle w:val="Paragraftext"/>
      </w:pPr>
      <w:r>
        <w:tab/>
        <w:t xml:space="preserve">Pro pramenité vody se pro ukazatele Escherichia coli a střevní enterokoky použijí mezní hodnoty pro tyto ukazatele stanovené v předpisech Švédské </w:t>
      </w:r>
      <w:r>
        <w:lastRenderedPageBreak/>
        <w:t>potravinářské agentury (LIVSFS 2003:45) o přírodních minerálních vodách a pramenité vodě.</w:t>
      </w:r>
    </w:p>
    <w:p w14:paraId="5C9F326E" w14:textId="48EBD083" w:rsidR="0025770E" w:rsidRPr="000D12B4" w:rsidRDefault="0025770E" w:rsidP="0025770E">
      <w:pPr>
        <w:pStyle w:val="Paragraftext"/>
      </w:pPr>
    </w:p>
    <w:p w14:paraId="625E8950" w14:textId="105CBC0A" w:rsidR="00815AEC" w:rsidRPr="000D12B4" w:rsidRDefault="00F70972" w:rsidP="0025770E">
      <w:pPr>
        <w:pStyle w:val="Paragraftext"/>
      </w:pPr>
      <w:r>
        <w:rPr>
          <w:b/>
        </w:rPr>
        <w:t>Oddíl 7</w:t>
      </w:r>
      <w:r>
        <w:t xml:space="preserve">  Mezní hodnoty stanovené v dodatku 1 musí být dodrženy:</w:t>
      </w:r>
    </w:p>
    <w:p w14:paraId="5FC6BCB8" w14:textId="77777777" w:rsidR="00815AEC" w:rsidRPr="000D12B4" w:rsidRDefault="00815AEC" w:rsidP="0025770E">
      <w:pPr>
        <w:pStyle w:val="Paragraftext"/>
      </w:pPr>
      <w:r>
        <w:t>1. pro vodu určenou k lidské spotřebě opouštějící zařízení pro zásobování vodou: po ukončení úpravy před její distribucí;</w:t>
      </w:r>
    </w:p>
    <w:p w14:paraId="6642C5F1" w14:textId="5844D0E9" w:rsidR="00815AEC" w:rsidRPr="000D12B4" w:rsidRDefault="00815AEC" w:rsidP="0025770E">
      <w:pPr>
        <w:pStyle w:val="Paragraftext"/>
      </w:pPr>
      <w:r>
        <w:t>2. pro vodu určenou k lidské spotřebě dodávanou z distribučního zařízení: v místě v prostorách nebo v zařízení, kde vytéká z kohoutků, které se běžně používají pro pitnou vodu;</w:t>
      </w:r>
    </w:p>
    <w:p w14:paraId="2AB0AC5B" w14:textId="41923805" w:rsidR="00815AEC" w:rsidRPr="000D12B4" w:rsidRDefault="00815AEC" w:rsidP="0025770E">
      <w:pPr>
        <w:pStyle w:val="Paragraftext"/>
      </w:pPr>
      <w:r>
        <w:t>3. pro vodu určenou k lidské spotřebě dodávanou z nádrže: v místě, kde vytéká z nádrže,</w:t>
      </w:r>
    </w:p>
    <w:p w14:paraId="56D0F7EC" w14:textId="7A77E92C" w:rsidR="00815AEC" w:rsidRPr="000D12B4" w:rsidRDefault="00815AEC" w:rsidP="0025770E">
      <w:pPr>
        <w:pStyle w:val="Paragraftext"/>
      </w:pPr>
      <w:r>
        <w:t>4. u vody určené k lidské spotřebě používané v potravinářském podniku: v místě, kde se používá v podniku; a</w:t>
      </w:r>
    </w:p>
    <w:p w14:paraId="29C402E9" w14:textId="2DB95F03" w:rsidR="00867987" w:rsidRPr="000D12B4" w:rsidRDefault="00815AEC" w:rsidP="0025770E">
      <w:pPr>
        <w:pStyle w:val="Paragraftext"/>
      </w:pPr>
      <w:r>
        <w:t>5. pro vodu určenou k lidské spotřebě stáčenou do lahví nebo nádob: v místě, kde je stáčena do láhve nebo nádoby.</w:t>
      </w:r>
    </w:p>
    <w:p w14:paraId="5A251C86" w14:textId="60A31B12" w:rsidR="00471FC8" w:rsidRPr="000D12B4" w:rsidRDefault="00867987" w:rsidP="003D101A">
      <w:pPr>
        <w:pStyle w:val="Heading2"/>
      </w:pPr>
      <w:r>
        <w:t>Obecná hygienická pravidla, analýza rizik a kritické kontrolní body</w:t>
      </w:r>
    </w:p>
    <w:p w14:paraId="0D67B576" w14:textId="6028ADC1" w:rsidR="00867987" w:rsidRPr="000D12B4" w:rsidRDefault="00F70972" w:rsidP="0025770E">
      <w:pPr>
        <w:pStyle w:val="Paragraftext"/>
        <w:rPr>
          <w:vertAlign w:val="superscript"/>
        </w:rPr>
      </w:pPr>
      <w:r>
        <w:rPr>
          <w:b/>
        </w:rPr>
        <w:t>Oddíl 8</w:t>
      </w:r>
      <w:r>
        <w:t xml:space="preserve">  Provozovatelé vyrábějící vodu určenou k lidské spotřebě nebo ji dodávají z distribučního zařízení nebo nádrže musí splňovat následující požadavky stanovené v příloze II nařízení Evropského parlamentu a Rady (ES) č. 852/2004 ze dne 29. dubna 2004 o hygieně potravin:</w:t>
      </w:r>
    </w:p>
    <w:p w14:paraId="5EA91CAC" w14:textId="53C5B321" w:rsidR="00867987" w:rsidRPr="000D12B4" w:rsidRDefault="00867987" w:rsidP="0025770E">
      <w:pPr>
        <w:pStyle w:val="Paragraftext"/>
      </w:pPr>
      <w:r>
        <w:t>1. obecná pravidla pro prostory pro potraviny v kapitole I;</w:t>
      </w:r>
    </w:p>
    <w:p w14:paraId="18BDE427" w14:textId="77777777" w:rsidR="00867987" w:rsidRPr="000D12B4" w:rsidRDefault="00867987" w:rsidP="0025770E">
      <w:pPr>
        <w:pStyle w:val="Paragraftext"/>
      </w:pPr>
      <w:r>
        <w:t>2. zvláštní pravidla pro prostory v kapitole II;</w:t>
      </w:r>
    </w:p>
    <w:p w14:paraId="47E674B3" w14:textId="77777777" w:rsidR="00867987" w:rsidRPr="000D12B4" w:rsidRDefault="00867987" w:rsidP="0025770E">
      <w:pPr>
        <w:pStyle w:val="Paragraftext"/>
      </w:pPr>
      <w:r>
        <w:t>3. doprava v kapitole IV, s výjimkou odstavce 4;</w:t>
      </w:r>
    </w:p>
    <w:p w14:paraId="6F17CA45" w14:textId="77777777" w:rsidR="00867987" w:rsidRPr="000D12B4" w:rsidRDefault="00867987" w:rsidP="0025770E">
      <w:pPr>
        <w:pStyle w:val="Paragraftext"/>
      </w:pPr>
      <w:r>
        <w:t>4. zařízení v kapitole V;</w:t>
      </w:r>
    </w:p>
    <w:p w14:paraId="7EB7B1B3" w14:textId="77777777" w:rsidR="00867987" w:rsidRPr="000D12B4" w:rsidRDefault="00867987" w:rsidP="0025770E">
      <w:pPr>
        <w:pStyle w:val="Paragraftext"/>
      </w:pPr>
      <w:r>
        <w:t>5. doprava v kapitole VI, s výjimkou odstavce 2;</w:t>
      </w:r>
    </w:p>
    <w:p w14:paraId="68290AF3" w14:textId="049695C1" w:rsidR="00867987" w:rsidRPr="000D12B4" w:rsidRDefault="00867987" w:rsidP="0025770E">
      <w:pPr>
        <w:pStyle w:val="Paragraftext"/>
      </w:pPr>
      <w:r>
        <w:t>6. zásobování vodou podle kapitoly VII odst. 1 písm. a) a odst. 2;</w:t>
      </w:r>
    </w:p>
    <w:p w14:paraId="0995EDEA" w14:textId="77777777" w:rsidR="00867987" w:rsidRPr="000D12B4" w:rsidRDefault="00867987" w:rsidP="0025770E">
      <w:pPr>
        <w:pStyle w:val="Paragraftext"/>
      </w:pPr>
      <w:r>
        <w:t>7. osobní hygiena v kapitole VIII;</w:t>
      </w:r>
    </w:p>
    <w:p w14:paraId="57D4D11F" w14:textId="043FE623" w:rsidR="00867987" w:rsidRPr="000D12B4" w:rsidRDefault="00867987" w:rsidP="0025770E">
      <w:pPr>
        <w:pStyle w:val="Paragraftext"/>
      </w:pPr>
      <w:r>
        <w:t>8. potravinářské výrobky v kapitole IX odst. 3, 4 a 8; a</w:t>
      </w:r>
    </w:p>
    <w:p w14:paraId="1A67650F" w14:textId="4835C079" w:rsidR="009F0E6C" w:rsidRPr="000D12B4" w:rsidRDefault="00867987" w:rsidP="0025770E">
      <w:pPr>
        <w:pStyle w:val="Paragraftext"/>
      </w:pPr>
      <w:r>
        <w:t>9. školení v kapitole XII.</w:t>
      </w:r>
    </w:p>
    <w:p w14:paraId="03EE26C8" w14:textId="240FBF5F" w:rsidR="00F022A5" w:rsidRPr="000D12B4" w:rsidRDefault="00F022A5" w:rsidP="0025770E">
      <w:pPr>
        <w:pStyle w:val="Paragraftext"/>
      </w:pPr>
    </w:p>
    <w:p w14:paraId="0259A447" w14:textId="77777777" w:rsidR="00B63A41" w:rsidRPr="000D12B4" w:rsidRDefault="00F70972" w:rsidP="00ED3063">
      <w:pPr>
        <w:pStyle w:val="Paragraftext"/>
      </w:pPr>
      <w:r>
        <w:rPr>
          <w:b/>
        </w:rPr>
        <w:t>§ 9</w:t>
      </w:r>
      <w:r>
        <w:t xml:space="preserve">  V zařízeních produkujících v průměru méně než 10 m</w:t>
      </w:r>
      <w:r>
        <w:rPr>
          <w:vertAlign w:val="superscript"/>
        </w:rPr>
        <w:t>3</w:t>
      </w:r>
      <w:r>
        <w:t xml:space="preserve"> vody určené k lidské spotřebě za den nebo zásobujících méně než 50 osob vodou určenou k lidské spotřebě v rámci veřejné nebo obchodní činnosti musí být k dispozici zařízení k varování, pokud dojde k selhání při úpravě pH a dezinfekci. Pokud zařízení pro zásobování vodou používá povrchovou vodu jako surovou vodu a je vybaveno filtry k oddělení zákalu, musí existovat také poplašné zařízení, které se aktivuje při zvýšeném zákalu.  </w:t>
      </w:r>
    </w:p>
    <w:p w14:paraId="4AC8FB2F" w14:textId="29C3F4CE" w:rsidR="00FC5D7D" w:rsidRPr="000D12B4" w:rsidRDefault="00FC5D7D" w:rsidP="00F022A5">
      <w:pPr>
        <w:pStyle w:val="Paragraftext"/>
      </w:pPr>
    </w:p>
    <w:p w14:paraId="48C711C1" w14:textId="461B378E" w:rsidR="00FC5D7D" w:rsidRPr="000D12B4" w:rsidRDefault="00F70972" w:rsidP="00F022A5">
      <w:pPr>
        <w:pStyle w:val="Paragraftext"/>
      </w:pPr>
      <w:r>
        <w:rPr>
          <w:b/>
        </w:rPr>
        <w:t>Oddíl 10</w:t>
      </w:r>
      <w:r>
        <w:t xml:space="preserve">  Provozovatelé, kteří vyrábějí vodu určenou k lidské spotřebě nebo ji dodávají z distribučního zařízení, zdokumentují, pokud jde o části zařízení spadající do jejich odpovědnosti, popis zásobovacího systému od čerpání nebo vstupu do místa připojení.</w:t>
      </w:r>
    </w:p>
    <w:p w14:paraId="6E025099" w14:textId="37FD0326" w:rsidR="008F011B" w:rsidRPr="000D12B4" w:rsidRDefault="008F011B" w:rsidP="00F022A5">
      <w:pPr>
        <w:pStyle w:val="Paragraftext"/>
      </w:pPr>
    </w:p>
    <w:p w14:paraId="470156CB" w14:textId="10ECBD16" w:rsidR="008F011B" w:rsidRPr="000D12B4" w:rsidRDefault="008F011B" w:rsidP="008F011B">
      <w:pPr>
        <w:pStyle w:val="Paragraftext"/>
      </w:pPr>
      <w:r>
        <w:rPr>
          <w:b/>
        </w:rPr>
        <w:t>Oddíl 11</w:t>
      </w:r>
      <w:r>
        <w:t xml:space="preserve">  Provozovatelé vyrábějící vodu určenou k lidské spotřebě nebo ji dodávající z distribučního zařízení určí a posoudí rizika, jimž je třeba zabránit, odstranit je nebo snížit na přijatelnou úroveň (analýza rizik). </w:t>
      </w:r>
    </w:p>
    <w:p w14:paraId="59EB642C" w14:textId="044A2905" w:rsidR="008F011B" w:rsidRPr="000D12B4" w:rsidRDefault="008F011B" w:rsidP="008F011B">
      <w:pPr>
        <w:pStyle w:val="Paragraftext"/>
      </w:pPr>
      <w:r>
        <w:tab/>
        <w:t xml:space="preserve">Analýza rizik zohlední jako minimum ukazatele uvedené v dodatku 1. </w:t>
      </w:r>
    </w:p>
    <w:p w14:paraId="399CB123" w14:textId="780F54D7" w:rsidR="00675F36" w:rsidRPr="000D12B4" w:rsidRDefault="00F744A0" w:rsidP="00F744A0">
      <w:pPr>
        <w:pStyle w:val="Paragraftext"/>
      </w:pPr>
      <w:r>
        <w:tab/>
        <w:t>Dojde-li ke změně surové vody nebo systému zásobování, musí být v případě potřeby přezkoumána analýza rizik. Analýza rizik se přezkoumá vždy nejméně jednou za šest let.</w:t>
      </w:r>
    </w:p>
    <w:p w14:paraId="1BE79D6D" w14:textId="495B74A4" w:rsidR="008F011B" w:rsidRPr="000D12B4" w:rsidRDefault="00675F36" w:rsidP="008F011B">
      <w:pPr>
        <w:pStyle w:val="Paragraftext"/>
        <w:rPr>
          <w:noProof/>
        </w:rPr>
      </w:pPr>
      <w:r>
        <w:tab/>
      </w:r>
    </w:p>
    <w:p w14:paraId="35085C7A" w14:textId="1E4F3657" w:rsidR="00F744A0" w:rsidRPr="000D12B4" w:rsidRDefault="00E3393C" w:rsidP="00F744A0">
      <w:pPr>
        <w:pStyle w:val="Paragraftext"/>
      </w:pPr>
      <w:r>
        <w:rPr>
          <w:b/>
        </w:rPr>
        <w:t>Oddíl 12</w:t>
      </w:r>
      <w:r>
        <w:t xml:space="preserve">  Pokud analýza rizik uvedená v oddíle 11 prokáže, že je to nezbytné, musí být zaveden, prováděn a udržován jeden nebo více trvalých postupů založených na zásadách HACCP v souladu s čl. 5 odst. 2 písm. b) až f) nařízení (ES) č. 852/2004.</w:t>
      </w:r>
    </w:p>
    <w:p w14:paraId="1CD08CE3" w14:textId="77777777" w:rsidR="00F744A0" w:rsidRPr="000D12B4" w:rsidRDefault="00F744A0" w:rsidP="00F744A0">
      <w:pPr>
        <w:pStyle w:val="Paragraftext"/>
      </w:pPr>
    </w:p>
    <w:p w14:paraId="1DD8274B" w14:textId="3E7A5D66" w:rsidR="00701622" w:rsidRPr="000D12B4" w:rsidRDefault="00E3393C" w:rsidP="00F744A0">
      <w:pPr>
        <w:pStyle w:val="Paragraftext"/>
      </w:pPr>
      <w:r>
        <w:rPr>
          <w:b/>
        </w:rPr>
        <w:t>Oddíl 13</w:t>
      </w:r>
      <w:r>
        <w:t xml:space="preserve">  Postupy podle oddílů 11 a 12 musí být zdokumentovány a musí být zavedeny postupy, které zajistí, že dokumentace je aktuální.</w:t>
      </w:r>
    </w:p>
    <w:p w14:paraId="72149592" w14:textId="77777777" w:rsidR="00701622" w:rsidRPr="000D12B4" w:rsidRDefault="00701622" w:rsidP="00F744A0">
      <w:pPr>
        <w:pStyle w:val="Paragraftext"/>
      </w:pPr>
    </w:p>
    <w:p w14:paraId="368782BA" w14:textId="72360F21" w:rsidR="008F011B" w:rsidRPr="000D12B4" w:rsidRDefault="00E3393C" w:rsidP="008F011B">
      <w:pPr>
        <w:pStyle w:val="Paragraftext"/>
      </w:pPr>
      <w:r>
        <w:rPr>
          <w:b/>
        </w:rPr>
        <w:t>Oddíl 14</w:t>
      </w:r>
      <w:r>
        <w:t xml:space="preserve">  Veškerá příslušná dokumentace podle oddílů 10 a 13 musí být uchovávána po přiměřenou dobu, ne však kratší než šest let.</w:t>
      </w:r>
    </w:p>
    <w:p w14:paraId="5A7AE79C" w14:textId="62F5D3AA" w:rsidR="000613D1" w:rsidRPr="000D12B4" w:rsidRDefault="000613D1" w:rsidP="0025770E">
      <w:pPr>
        <w:pStyle w:val="Paragraftext"/>
      </w:pPr>
    </w:p>
    <w:p w14:paraId="09FD20C2" w14:textId="31979782" w:rsidR="000613D1" w:rsidRPr="000D12B4" w:rsidRDefault="00E3393C" w:rsidP="000613D1">
      <w:pPr>
        <w:pStyle w:val="Paragraftext"/>
      </w:pPr>
      <w:r>
        <w:rPr>
          <w:b/>
        </w:rPr>
        <w:t>Oddíl 15</w:t>
      </w:r>
      <w:r>
        <w:t xml:space="preserve">  Kontrolní orgán přijme analýzu rizik v souladu s oddílem 11. Rozhodnutí je platné nejvýše po dobu šesti let.</w:t>
      </w:r>
    </w:p>
    <w:p w14:paraId="0E4F5692" w14:textId="6CE1B87C" w:rsidR="000C7E7C" w:rsidRPr="000D12B4" w:rsidRDefault="000C02B2" w:rsidP="00AA2613">
      <w:pPr>
        <w:pStyle w:val="Heading2"/>
      </w:pPr>
      <w:r>
        <w:t>Chemické látky a filtrační média</w:t>
      </w:r>
    </w:p>
    <w:p w14:paraId="1AD2EE16" w14:textId="25F57FF7" w:rsidR="0022251B" w:rsidRPr="000D12B4" w:rsidRDefault="00F83BFE" w:rsidP="00E7483C">
      <w:pPr>
        <w:pStyle w:val="Paragraftext"/>
        <w:rPr>
          <w:noProof/>
        </w:rPr>
      </w:pPr>
      <w:r>
        <w:rPr>
          <w:b/>
        </w:rPr>
        <w:t>Oddíl 16</w:t>
      </w:r>
      <w:r>
        <w:t xml:space="preserve">  Provozovatelé vyrábějící vodu určenou k lidské spotřebě zajistí, aby chemické látky pro úpravu a filtrační média, které přicházejí do styku s vodou určenou k lidské spotřebě, přímo ani nepřímo neohrožovaly ochranu lidského zdraví, neovlivňovaly nepříznivě barvu, vůni nebo chuť vody, neúmyslně nepodporovaly mikrobiální růst a neznečišťovaly vodu více, než je nezbytné pro zamýšlený účel.</w:t>
      </w:r>
    </w:p>
    <w:p w14:paraId="7493B803" w14:textId="2C728FF7" w:rsidR="00CB07D4" w:rsidRPr="000D12B4" w:rsidRDefault="00CB07D4" w:rsidP="00CB07D4">
      <w:pPr>
        <w:pStyle w:val="Paragraftext"/>
        <w:rPr>
          <w:noProof/>
        </w:rPr>
      </w:pPr>
      <w:r>
        <w:tab/>
        <w:t>Dodatek 2 obsahuje seznam chemických látek pro ošetření, které mohou</w:t>
      </w:r>
    </w:p>
    <w:p w14:paraId="0AFBDFF8" w14:textId="4345E111" w:rsidR="00CB07D4" w:rsidRPr="000D12B4" w:rsidRDefault="00CB07D4" w:rsidP="00E7483C">
      <w:pPr>
        <w:pStyle w:val="Paragraftext"/>
        <w:rPr>
          <w:noProof/>
        </w:rPr>
      </w:pPr>
      <w:r>
        <w:t>být použity k úpravě vody určené k lidské spotřebě a k účelům a podmínkám použití.</w:t>
      </w:r>
    </w:p>
    <w:p w14:paraId="19CD74B5" w14:textId="77777777" w:rsidR="000D5F51" w:rsidRPr="000D12B4" w:rsidRDefault="000D5F51" w:rsidP="0025770E">
      <w:pPr>
        <w:pStyle w:val="Heading2"/>
        <w:rPr>
          <w:noProof/>
        </w:rPr>
      </w:pPr>
      <w:r>
        <w:t>Program monitorování</w:t>
      </w:r>
    </w:p>
    <w:p w14:paraId="7A0305B0" w14:textId="4AAE595C" w:rsidR="000D5F51" w:rsidRPr="000D12B4" w:rsidRDefault="00F83BFE" w:rsidP="0025770E">
      <w:pPr>
        <w:pStyle w:val="Paragraftext"/>
        <w:rPr>
          <w:noProof/>
        </w:rPr>
      </w:pPr>
      <w:r>
        <w:rPr>
          <w:rStyle w:val="FrstaradenChar"/>
          <w:b/>
        </w:rPr>
        <w:t>Oddíl 17</w:t>
      </w:r>
      <w:r>
        <w:rPr>
          <w:rStyle w:val="FrstaradenChar"/>
        </w:rPr>
        <w:t xml:space="preserve">  </w:t>
      </w:r>
      <w:r>
        <w:t xml:space="preserve">Provozovatelé </w:t>
      </w:r>
      <w:r>
        <w:rPr>
          <w:rStyle w:val="FrstaradenChar"/>
        </w:rPr>
        <w:t xml:space="preserve">, kteří produkují vodu určenou k lidské spotřebě, připraví písemný návrh pro pravidelné analýzy (monitorovací program) v souladu s ukazateli a četností monitorování stanovenými pro výstupní vodu určenou k lidské spotřebě v dodatku 1 a dodatku 3, oddíle A a oddíle B, tabulkách 1 a 2. Analýzy musí být </w:t>
      </w:r>
      <w:r>
        <w:t>rozděleny tak, aby byly reprezentativní pro kvalitu vody v průběhu roku</w:t>
      </w:r>
      <w:r>
        <w:rPr>
          <w:rStyle w:val="FrstaradenChar"/>
        </w:rPr>
        <w:t>.</w:t>
      </w:r>
    </w:p>
    <w:p w14:paraId="60FE2B25" w14:textId="19DF1C52" w:rsidR="000D5F51" w:rsidRPr="000D12B4" w:rsidRDefault="000D5F51" w:rsidP="0025770E">
      <w:pPr>
        <w:pStyle w:val="Paragraftext"/>
        <w:rPr>
          <w:noProof/>
        </w:rPr>
      </w:pPr>
      <w:r>
        <w:lastRenderedPageBreak/>
        <w:tab/>
        <w:t xml:space="preserve">Provozovatelé dodávající vodu určenou k lidské spotřebě z distribučního zařízení nebo nádrže musí předložit písemný návrh monitorovacího programu v souladu s ukazateli a četností monitorování uvedenými v dodatku 1 a dodatku 3 oddílu B tabulce 3 pro pitnou vodu u spotřebitele. Ukazatele pro radioaktivní látky mohou být sníženy v souladu s dodatkem 3 oddílem C částí III. Analýzy </w:t>
      </w:r>
      <w:r>
        <w:rPr>
          <w:rStyle w:val="FrstaradenChar"/>
        </w:rPr>
        <w:t xml:space="preserve">musí být </w:t>
      </w:r>
      <w:r>
        <w:t xml:space="preserve">rozděleny tak, aby byly reprezentativní pro jakost vody určené k lidské spotřebě během roku a v distribučních zařízeních se odebírají vzorky z různých reprezentativních míst. </w:t>
      </w:r>
    </w:p>
    <w:p w14:paraId="55F12903" w14:textId="26C194B9" w:rsidR="00C13B5F" w:rsidRPr="000D12B4" w:rsidRDefault="000D5F51" w:rsidP="0025770E">
      <w:pPr>
        <w:pStyle w:val="Paragraftext"/>
        <w:rPr>
          <w:noProof/>
        </w:rPr>
      </w:pPr>
      <w:r>
        <w:tab/>
        <w:t>Provozovatelé potravinářských podniků, kteří používají vodu určenou k lidské spotřebě, kterou neposkytují jiný, kromě prvního odstavce upřesní ve svém navrhovaném programu monitorování ukazatele a četnost monitorování stanovené v dodatku 1 a v dodatku 3 oddílu B tabulce 3 pro pitnou vodu u spotřebitele. Ukazatele pro radioaktivní látky mohou být sníženy v souladu s dodatkem 3 oddílem C částí III.</w:t>
      </w:r>
    </w:p>
    <w:p w14:paraId="1CF06A00" w14:textId="6790721F" w:rsidR="00710CD8" w:rsidRPr="000D12B4" w:rsidRDefault="00710CD8" w:rsidP="0025770E">
      <w:pPr>
        <w:pStyle w:val="Paragraftext"/>
        <w:rPr>
          <w:noProof/>
        </w:rPr>
      </w:pPr>
    </w:p>
    <w:p w14:paraId="68A1AAF8" w14:textId="1F6899EF" w:rsidR="000D5F51" w:rsidRPr="000D12B4" w:rsidRDefault="00772054" w:rsidP="0025770E">
      <w:pPr>
        <w:pStyle w:val="Paragraftext"/>
        <w:rPr>
          <w:noProof/>
        </w:rPr>
      </w:pPr>
      <w:r>
        <w:rPr>
          <w:b/>
        </w:rPr>
        <w:t>§ 18</w:t>
      </w:r>
      <w:r>
        <w:t xml:space="preserve">  Provozovatelé, kteří dávají vodu k lidské spotřebě do lahví nebo nádob, předloží písemný návrh monitorovacího programu v souladu s ukazateli a četností monitorování stanovenými v tabulce 4 oddílu B dodatku 3. Ukazatele pro radioaktivní látky mohou být sníženy v souladu s dodatkem 3 oddílem C částí III.  </w:t>
      </w:r>
    </w:p>
    <w:p w14:paraId="36314B50" w14:textId="77777777" w:rsidR="000D5F51" w:rsidRPr="000D12B4" w:rsidRDefault="000D5F51" w:rsidP="0025770E">
      <w:pPr>
        <w:pStyle w:val="Paragraftext"/>
        <w:rPr>
          <w:noProof/>
        </w:rPr>
      </w:pPr>
    </w:p>
    <w:p w14:paraId="1C2307AB" w14:textId="198DB079" w:rsidR="000D5F51" w:rsidRPr="000D12B4" w:rsidRDefault="00772054" w:rsidP="0025770E">
      <w:pPr>
        <w:pStyle w:val="Paragraftext"/>
        <w:rPr>
          <w:noProof/>
        </w:rPr>
      </w:pPr>
      <w:r>
        <w:rPr>
          <w:b/>
        </w:rPr>
        <w:t>§ 19</w:t>
      </w:r>
      <w:r>
        <w:t xml:space="preserve">  Při přípravě návrhů na programy monitorování podle oddílu 17 se zohlední výsledky analýzy rizik.</w:t>
      </w:r>
    </w:p>
    <w:p w14:paraId="06E9E92A" w14:textId="2CCAA414" w:rsidR="000D5F51" w:rsidRPr="000D12B4" w:rsidRDefault="000D5F51" w:rsidP="0025770E">
      <w:pPr>
        <w:pStyle w:val="Paragraftext"/>
        <w:rPr>
          <w:noProof/>
        </w:rPr>
      </w:pPr>
      <w:r>
        <w:tab/>
        <w:t>Je-li splněna některá z podmínek stanovených v dodatku 3 oddílu C části I, rozšíří se počet ukazatelů nebo se zvýší četnost odběru vzorků v programu monitorování.</w:t>
      </w:r>
    </w:p>
    <w:p w14:paraId="56A2B305" w14:textId="6CF42E97" w:rsidR="000D5F51" w:rsidRPr="000D12B4" w:rsidRDefault="000D5F51" w:rsidP="0025770E">
      <w:pPr>
        <w:pStyle w:val="Paragraftext"/>
        <w:rPr>
          <w:noProof/>
        </w:rPr>
      </w:pPr>
      <w:r>
        <w:tab/>
        <w:t xml:space="preserve">Za podmínek stanovených v dodatku 3 oddílu C části II může být počet ukazatelů nebo četnost odběru vzorků v programu monitorování snížen. </w:t>
      </w:r>
    </w:p>
    <w:p w14:paraId="3ABA9A96" w14:textId="77777777" w:rsidR="000D5F51" w:rsidRPr="000D12B4" w:rsidRDefault="000D5F51" w:rsidP="0025770E">
      <w:pPr>
        <w:pStyle w:val="Paragraftext"/>
        <w:rPr>
          <w:noProof/>
        </w:rPr>
      </w:pPr>
    </w:p>
    <w:p w14:paraId="23C9492E" w14:textId="05EED795" w:rsidR="000D5F51" w:rsidRPr="000D12B4" w:rsidRDefault="00772054" w:rsidP="0025770E">
      <w:pPr>
        <w:pStyle w:val="Paragraftext"/>
        <w:rPr>
          <w:noProof/>
        </w:rPr>
      </w:pPr>
      <w:r>
        <w:rPr>
          <w:b/>
        </w:rPr>
        <w:t>§ 20</w:t>
      </w:r>
      <w:r>
        <w:t xml:space="preserve">  Program monitorování podle oddílů 17 a 18 je pravidelně, nejméně každých šest let, přezkoumáván a podle potřeby aktualizován. </w:t>
      </w:r>
    </w:p>
    <w:p w14:paraId="7C0937A2" w14:textId="77777777" w:rsidR="000D5F51" w:rsidRPr="000D12B4" w:rsidRDefault="000D5F51" w:rsidP="0025770E">
      <w:pPr>
        <w:pStyle w:val="Paragraftext"/>
        <w:rPr>
          <w:noProof/>
        </w:rPr>
      </w:pPr>
    </w:p>
    <w:p w14:paraId="22DBEBC5" w14:textId="54A0E6A5" w:rsidR="00C05DDD" w:rsidRPr="000D12B4" w:rsidRDefault="004B0B02" w:rsidP="0025770E">
      <w:pPr>
        <w:pStyle w:val="Paragraftext"/>
        <w:rPr>
          <w:noProof/>
        </w:rPr>
      </w:pPr>
      <w:r>
        <w:rPr>
          <w:b/>
        </w:rPr>
        <w:t xml:space="preserve">§ 21 </w:t>
      </w:r>
      <w:r>
        <w:t xml:space="preserve"> Kontrolní orgán přijímá program monitorování. Rozhodnutí je platné nejvýše po dobu šesti let.</w:t>
      </w:r>
    </w:p>
    <w:p w14:paraId="589BAFD3" w14:textId="2A37E7FC" w:rsidR="000D5F51" w:rsidRPr="000D12B4" w:rsidRDefault="000D5F51" w:rsidP="0025770E">
      <w:pPr>
        <w:pStyle w:val="Heading2"/>
        <w:rPr>
          <w:noProof/>
        </w:rPr>
      </w:pPr>
      <w:r>
        <w:t>Analýzy</w:t>
      </w:r>
    </w:p>
    <w:p w14:paraId="67B5171A" w14:textId="2C9FB3FD" w:rsidR="00FA66A0" w:rsidRPr="000D12B4" w:rsidRDefault="004B0B02" w:rsidP="0025770E">
      <w:pPr>
        <w:pStyle w:val="Paragraftext"/>
      </w:pPr>
      <w:r>
        <w:rPr>
          <w:b/>
        </w:rPr>
        <w:t>§ 22</w:t>
      </w:r>
      <w:r>
        <w:t xml:space="preserve">  Provozovatelé se řídí programem monitorování přijatým kontrolním orgánem.</w:t>
      </w:r>
    </w:p>
    <w:p w14:paraId="29443E67" w14:textId="6070A8E2" w:rsidR="000D5F51" w:rsidRPr="000D12B4" w:rsidRDefault="00FA66A0" w:rsidP="0025770E">
      <w:pPr>
        <w:pStyle w:val="Paragraftext"/>
      </w:pPr>
      <w:r>
        <w:tab/>
        <w:t xml:space="preserve">Analýza mikroorganismů, parazitů a látek jiných než těch, které jsou uvedeny v programu monitorování, se provede, existuje-li důvodné podezření, že mohou být přítomny v takovém množství nebo koncentracích, které představují riziko pro lidské zdraví. </w:t>
      </w:r>
    </w:p>
    <w:p w14:paraId="3A1AB5DB" w14:textId="5AECEEBC" w:rsidR="00FA66A0" w:rsidRPr="000D12B4" w:rsidRDefault="00FA66A0" w:rsidP="0025770E">
      <w:pPr>
        <w:pStyle w:val="Paragraftext"/>
        <w:rPr>
          <w:b/>
        </w:rPr>
      </w:pPr>
    </w:p>
    <w:p w14:paraId="1DC71BB3" w14:textId="590FA8FF" w:rsidR="001F7D67" w:rsidRPr="000D12B4" w:rsidRDefault="001F7D67" w:rsidP="001F7D67">
      <w:pPr>
        <w:pStyle w:val="Paragraftext"/>
      </w:pPr>
      <w:r>
        <w:rPr>
          <w:b/>
        </w:rPr>
        <w:lastRenderedPageBreak/>
        <w:t>§ 23</w:t>
      </w:r>
      <w:r>
        <w:t xml:space="preserve">  U ukazatelů mědi, olova a niklu se odebírají vzorky vody určené k lidské spotřebě v kohoutku používaném spotřebitelem. Vzorek jednoho litru se odebere náhodně během dne a bez předchozího proplachování.</w:t>
      </w:r>
    </w:p>
    <w:p w14:paraId="4E8F89FF" w14:textId="77777777" w:rsidR="001F7D67" w:rsidRPr="000D12B4" w:rsidRDefault="001F7D67" w:rsidP="0025770E">
      <w:pPr>
        <w:pStyle w:val="Paragraftext"/>
        <w:rPr>
          <w:b/>
        </w:rPr>
      </w:pPr>
    </w:p>
    <w:p w14:paraId="10A0CD72" w14:textId="76CFA82F" w:rsidR="00FF6DF3" w:rsidRPr="000D12B4" w:rsidRDefault="004B0B02" w:rsidP="0025770E">
      <w:pPr>
        <w:pStyle w:val="Paragraftext"/>
      </w:pPr>
      <w:r>
        <w:rPr>
          <w:b/>
        </w:rPr>
        <w:t>§ 24</w:t>
      </w:r>
      <w:r>
        <w:t xml:space="preserve">  Odběr vzorků vody určené k lidské spotřebě pro mikrobiologickou analýzu se provádí v souladu s normou SS-EN ISO 19458. </w:t>
      </w:r>
    </w:p>
    <w:p w14:paraId="6B7E5E60" w14:textId="5AC391FB" w:rsidR="00952C3D" w:rsidRPr="000D12B4" w:rsidRDefault="00952C3D" w:rsidP="0025770E">
      <w:pPr>
        <w:pStyle w:val="Paragraftext"/>
      </w:pPr>
    </w:p>
    <w:p w14:paraId="245F70D2" w14:textId="06E266DE" w:rsidR="00830560" w:rsidRPr="000D12B4" w:rsidRDefault="00830560" w:rsidP="00830560">
      <w:pPr>
        <w:pStyle w:val="Paragraftext"/>
      </w:pPr>
      <w:r>
        <w:rPr>
          <w:b/>
        </w:rPr>
        <w:t>§ 25</w:t>
      </w:r>
      <w:r>
        <w:t xml:space="preserve">  Vzorky odebrané v souladu s programem monitorování se analyzují v laboratoři akreditované pro tyto analytické metody. Analýzy musí splňovat požadavky stanovené v dodatku 4.</w:t>
      </w:r>
    </w:p>
    <w:p w14:paraId="4B6064E0" w14:textId="068FE9AD" w:rsidR="00EE2094" w:rsidRPr="000D12B4" w:rsidRDefault="00830560" w:rsidP="00830560">
      <w:pPr>
        <w:pStyle w:val="Paragraftext"/>
      </w:pPr>
      <w:r>
        <w:tab/>
        <w:t>Analýzy týkající se chloru a pH odchozí vody určené k lidské spotřebě, jakož i zápachu a chuti pitné vody u spotřebitele však nemusí být prováděny v akreditované laboratoři.</w:t>
      </w:r>
    </w:p>
    <w:p w14:paraId="1FAC438E" w14:textId="77777777" w:rsidR="00830560" w:rsidRPr="000D12B4" w:rsidRDefault="00830560" w:rsidP="00830560">
      <w:pPr>
        <w:pStyle w:val="Paragraftext"/>
      </w:pPr>
    </w:p>
    <w:p w14:paraId="2EA863E5" w14:textId="2C1635A0" w:rsidR="00830560" w:rsidRPr="000D12B4" w:rsidRDefault="00830560" w:rsidP="00830560">
      <w:pPr>
        <w:pStyle w:val="Paragraftext"/>
      </w:pPr>
      <w:r>
        <w:rPr>
          <w:b/>
        </w:rPr>
        <w:t>§ 26</w:t>
      </w:r>
      <w:r>
        <w:t xml:space="preserve">  Provozovatel po analýze v souladu s oddílem 22 posoudí, zda je voda určená k lidské spotřebě zdravotně nezávadná a čistá.</w:t>
      </w:r>
    </w:p>
    <w:p w14:paraId="6BF8D19D" w14:textId="0ED6FA9D" w:rsidR="001D0B8F" w:rsidRPr="000D12B4" w:rsidRDefault="001D0B8F" w:rsidP="00830560">
      <w:pPr>
        <w:pStyle w:val="Paragraftext"/>
      </w:pPr>
      <w:r>
        <w:tab/>
        <w:t>Provozovatel zajistí, aby analýzu vykonávající laboratoř neprodleně informovala provozovatele, pokud vzorek pitné vody není nebo pravděpodobně nebude posouzen jako vyhovující mezním hodnotám pro mikroorganismy nebo chemické a radioaktivní látky stanovené v dodatku 1.</w:t>
      </w:r>
    </w:p>
    <w:p w14:paraId="4DD24AD5" w14:textId="58308E49" w:rsidR="00830560" w:rsidRPr="000D12B4" w:rsidRDefault="00830560" w:rsidP="0025770E">
      <w:pPr>
        <w:pStyle w:val="Paragraftext"/>
      </w:pPr>
      <w:r>
        <w:tab/>
      </w:r>
    </w:p>
    <w:p w14:paraId="4649AB96" w14:textId="488A7F81" w:rsidR="00952C3D" w:rsidRPr="000D12B4" w:rsidRDefault="00C00D41" w:rsidP="0025770E">
      <w:pPr>
        <w:pStyle w:val="Paragraftext"/>
      </w:pPr>
      <w:r>
        <w:rPr>
          <w:b/>
        </w:rPr>
        <w:t>§ 27</w:t>
      </w:r>
      <w:r>
        <w:t xml:space="preserve">  Požadavky na metody odběru vzorků a analýzy stanovené v § 23–25 se rovněž vztahují na kontrolní orgán během úředních kontrol.</w:t>
      </w:r>
    </w:p>
    <w:p w14:paraId="788F15D2" w14:textId="0BF5F56A" w:rsidR="000D5F51" w:rsidRPr="000D12B4" w:rsidRDefault="000D5F51" w:rsidP="0025770E">
      <w:pPr>
        <w:pStyle w:val="Heading2"/>
      </w:pPr>
      <w:r>
        <w:t>Analýzy a opatření</w:t>
      </w:r>
    </w:p>
    <w:p w14:paraId="1F0C269A" w14:textId="018DF4DF" w:rsidR="003401F6" w:rsidRPr="000D12B4" w:rsidRDefault="00C00D41" w:rsidP="003401F6">
      <w:pPr>
        <w:pStyle w:val="Paragraftext"/>
      </w:pPr>
      <w:r>
        <w:rPr>
          <w:b/>
        </w:rPr>
        <w:t xml:space="preserve">§ 28 </w:t>
      </w:r>
      <w:r>
        <w:t xml:space="preserve"> Pokud výsledky analýz ukazují, že existují odchylky od mezních hodnot uvedených v dodatku 1, provozovatelé vyrábějící vodu určenou k lidské spotřebě nebo ji dodávají z distribučního zařízení nebo nádrže okamžitě prošetří příčinu nesouladu, posoudí, zda nedodržení představuje riziko pro lidské zdraví, a přijmou nezbytná opatření k nápravě nesouladu co nejdříve. Při posuzování opatření, která mají být přijata, se zohlední rozsah nesouladu a riziko pro lidské zdraví.</w:t>
      </w:r>
    </w:p>
    <w:p w14:paraId="177A50BA" w14:textId="4B8ABFCB" w:rsidR="009E7BA5" w:rsidRPr="000D12B4" w:rsidRDefault="009E7BA5" w:rsidP="0025770E">
      <w:pPr>
        <w:pStyle w:val="Paragraftext"/>
      </w:pPr>
    </w:p>
    <w:p w14:paraId="6D5496E5" w14:textId="5FCDA8AF" w:rsidR="000D5F51" w:rsidRPr="000D12B4" w:rsidRDefault="00F66289" w:rsidP="003401F6">
      <w:pPr>
        <w:pStyle w:val="Paragraftext"/>
      </w:pPr>
      <w:r>
        <w:rPr>
          <w:b/>
        </w:rPr>
        <w:t xml:space="preserve">§ 29 </w:t>
      </w:r>
      <w:r>
        <w:t xml:space="preserve"> Pokud mikroorganismy, paraziti nebo látky ve vodě určené k lidské spotřebě, jiné než uvedené v dodatku 1, představují riziko pro lidské zdraví, provozovatelé vyrábějící vodu určenou k lidské spotřebě nebo, kteří ji dodávají z distribučního zařízení nebo z nádrží, okamžitě prošetří a pokud je to možné, určí příčinu výskytu rizika a přijmou nezbytná opatření na ochranu lidského zdraví.</w:t>
      </w:r>
    </w:p>
    <w:p w14:paraId="353DCA3B" w14:textId="78FC1B2F" w:rsidR="00602255" w:rsidRPr="000D12B4" w:rsidRDefault="00602255" w:rsidP="0025770E">
      <w:pPr>
        <w:pStyle w:val="Paragraftext"/>
      </w:pPr>
    </w:p>
    <w:p w14:paraId="1E840437" w14:textId="2F65F92C" w:rsidR="000D5F51" w:rsidRPr="000D12B4" w:rsidRDefault="00C00D41" w:rsidP="0025770E">
      <w:pPr>
        <w:pStyle w:val="Paragraftext"/>
      </w:pPr>
      <w:r>
        <w:rPr>
          <w:b/>
        </w:rPr>
        <w:t xml:space="preserve">§ 30 </w:t>
      </w:r>
      <w:r>
        <w:t xml:space="preserve"> Provozovatelé, kteří vyrábějí vodu určenou k lidské spotřebě nebo ji dodávají z distribučního zařízení, informují co nejdříve kontrolní orgán, pokud je zapotřebí přijmout okamžitá opatření na ochranu lidského zdraví.</w:t>
      </w:r>
    </w:p>
    <w:p w14:paraId="49A27019" w14:textId="77777777" w:rsidR="00602255" w:rsidRPr="000D12B4" w:rsidRDefault="00602255" w:rsidP="0025770E">
      <w:pPr>
        <w:pStyle w:val="Paragraftext"/>
      </w:pPr>
    </w:p>
    <w:p w14:paraId="77B338CF" w14:textId="5FAC660C" w:rsidR="000D5F51" w:rsidRPr="000D12B4" w:rsidRDefault="00C00D41" w:rsidP="0025770E">
      <w:pPr>
        <w:pStyle w:val="Paragraftext"/>
      </w:pPr>
      <w:r>
        <w:rPr>
          <w:b/>
        </w:rPr>
        <w:lastRenderedPageBreak/>
        <w:t xml:space="preserve">§ 31 </w:t>
      </w:r>
      <w:r>
        <w:t xml:space="preserve"> Povinnost posoudit rizika a přijmout opatření podle § 28 a 29 se neuplatňuje, pokud odchylka od mezních hodnot uvedených v dodatku 1 nebo jiná rizika pro lidské zdraví byla způsobena domovním rozvodným systémem nebo jeho údržbou. V takovém případě provozovatel co nejdříve informuje vlastníka nemovitosti a kontrolní orgán o nutnosti přijmout opatření. </w:t>
      </w:r>
    </w:p>
    <w:p w14:paraId="350152FD" w14:textId="54887820" w:rsidR="000448CB" w:rsidRPr="000D12B4" w:rsidRDefault="00CC52C2" w:rsidP="000448CB">
      <w:pPr>
        <w:pStyle w:val="Heading2"/>
      </w:pPr>
      <w:r>
        <w:t xml:space="preserve">Informace </w:t>
      </w:r>
    </w:p>
    <w:p w14:paraId="0ED9843D" w14:textId="304480E2" w:rsidR="000448CB" w:rsidRPr="000D12B4" w:rsidRDefault="001E0358" w:rsidP="000448CB">
      <w:pPr>
        <w:pStyle w:val="Paragraftext"/>
      </w:pPr>
      <w:r>
        <w:rPr>
          <w:b/>
        </w:rPr>
        <w:t xml:space="preserve">§ 32 </w:t>
      </w:r>
      <w:r>
        <w:t xml:space="preserve"> Provozovatelé, kteří vyrábějí vodu určenou k lidské spotřebě nebo ji dodávají z distribučního zařízení, musí:</w:t>
      </w:r>
    </w:p>
    <w:p w14:paraId="49B2C0D9" w14:textId="5F497887" w:rsidR="000448CB" w:rsidRPr="000D12B4" w:rsidRDefault="000448CB" w:rsidP="000448CB">
      <w:pPr>
        <w:pStyle w:val="Paragraftext"/>
      </w:pPr>
      <w:r>
        <w:t xml:space="preserve">1. neprodleně informovat spotřebitele a poskytnout jim nezbytné rady, je-li omezeno používání vody určené k lidské spotřebě nebo jsou-li přijata jiná opatření na ochranu lidského zdraví; </w:t>
      </w:r>
    </w:p>
    <w:p w14:paraId="699D1082" w14:textId="4A102507" w:rsidR="000448CB" w:rsidRPr="000D12B4" w:rsidRDefault="000448CB" w:rsidP="000448CB">
      <w:pPr>
        <w:pStyle w:val="Paragraftext"/>
      </w:pPr>
      <w:r>
        <w:t>2. informovat spotřebitele o přijetí nezbytných opatření v souladu s oddíly 28 a 29 k nápravě nedostatků, pokud kontrolní orgán neusoudí, že odchylka od požadavků na jakost má malý význam; a</w:t>
      </w:r>
    </w:p>
    <w:p w14:paraId="383D42DE" w14:textId="63C76E46" w:rsidR="000448CB" w:rsidRPr="000D12B4" w:rsidRDefault="000448CB" w:rsidP="0025770E">
      <w:pPr>
        <w:pStyle w:val="Paragraftext"/>
      </w:pPr>
      <w:r>
        <w:t xml:space="preserve">3. Informovat spotřebitele v případech, kdy již neexistuje potenciální riziko pro lidské zdraví a kdy se výroba nebo distribuce vrátí do normálního stavu. </w:t>
      </w:r>
    </w:p>
    <w:p w14:paraId="175467A5" w14:textId="1E51D31C" w:rsidR="00E54E11" w:rsidRPr="000D12B4" w:rsidRDefault="009A10E8" w:rsidP="00466748">
      <w:pPr>
        <w:pStyle w:val="Heading2"/>
      </w:pPr>
      <w:r>
        <w:t>Výjimky</w:t>
      </w:r>
    </w:p>
    <w:p w14:paraId="7F3336CE" w14:textId="5CF27574" w:rsidR="00CA011B" w:rsidRPr="000D12B4" w:rsidRDefault="00C00D41" w:rsidP="000448CB">
      <w:pPr>
        <w:pStyle w:val="Paragraftext"/>
      </w:pPr>
      <w:r>
        <w:rPr>
          <w:b/>
        </w:rPr>
        <w:t>§ 33</w:t>
      </w:r>
      <w:r>
        <w:t xml:space="preserve">  Za předpokladu, že kvalita vody určené k lidské spotřebě není ohrožena, může kontrolní orgán udělit výjimky z oddílů 11–13 hospodářským subjektům, které vyrábějí nebo dodávají v průměru 10–100 m</w:t>
      </w:r>
      <w:r>
        <w:rPr>
          <w:vertAlign w:val="superscript"/>
        </w:rPr>
        <w:t>3</w:t>
      </w:r>
      <w:r>
        <w:t>, vodu určenou k lidské spotřebě za den nebo zásobují 50–500 osob vodou určenou k lidské spotřebě. Je-li takové osvobození uděleno, § 19 se nepoužije.</w:t>
      </w:r>
    </w:p>
    <w:p w14:paraId="052C3156" w14:textId="4C0C4663" w:rsidR="000448CB" w:rsidRPr="000D12B4" w:rsidRDefault="00CA011B" w:rsidP="000448CB">
      <w:pPr>
        <w:pStyle w:val="Paragraftext"/>
      </w:pPr>
      <w:r>
        <w:tab/>
        <w:t xml:space="preserve">Pokud byla udělena výjimka v souladu s prvním odstavcem, musí být v zařízení zavedeno vybavení, které varuje, pokud dojde k selhání při úpravě pH a dezinfekci. Pokud zařízení pro zásobování vodou používá povrchovou vodu jako surovou vodu a je vybaveno filtry k oddělení zákalu, musí existovat také poplašné zařízení, které se aktivuje při zvýšeném zákalu.  </w:t>
      </w:r>
    </w:p>
    <w:p w14:paraId="19D09AB8" w14:textId="77777777" w:rsidR="000448CB" w:rsidRPr="000D12B4" w:rsidRDefault="000448CB" w:rsidP="000448CB">
      <w:pPr>
        <w:pStyle w:val="Paragraftext"/>
      </w:pPr>
    </w:p>
    <w:p w14:paraId="66F2066E" w14:textId="6D08C32A" w:rsidR="00E4168C" w:rsidRPr="000D12B4" w:rsidRDefault="00C00D41" w:rsidP="0025770E">
      <w:pPr>
        <w:pStyle w:val="Paragraftext"/>
      </w:pPr>
      <w:r>
        <w:rPr>
          <w:b/>
        </w:rPr>
        <w:t xml:space="preserve">§ 34 </w:t>
      </w:r>
      <w:r>
        <w:t xml:space="preserve"> Kontrolní orgán se může rozhodnout osvobodit provozovatele potravinářského podniku od tohoto nařízení, pokud jde o vodu určenou k lidské spotřebě, která se používá speciálně pro jeho potravinářské činnosti. </w:t>
      </w:r>
    </w:p>
    <w:p w14:paraId="3C3C4C3A" w14:textId="77777777" w:rsidR="00E4168C" w:rsidRPr="000D12B4" w:rsidRDefault="00E4168C" w:rsidP="0025770E">
      <w:pPr>
        <w:pStyle w:val="Paragraftext"/>
      </w:pPr>
      <w:r>
        <w:tab/>
        <w:t xml:space="preserve">Tato výjimka může být udělena pouze v případě, že: </w:t>
      </w:r>
    </w:p>
    <w:p w14:paraId="4088B11D" w14:textId="77777777" w:rsidR="00E4168C" w:rsidRPr="000D12B4" w:rsidRDefault="00E4168C" w:rsidP="0025770E">
      <w:pPr>
        <w:pStyle w:val="Paragraftext"/>
      </w:pPr>
      <w:r>
        <w:t xml:space="preserve">1. se má za to, že kvalita vody nemá vliv na bezpečnost hotové potraviny; a </w:t>
      </w:r>
    </w:p>
    <w:p w14:paraId="40D2EEAE" w14:textId="006D433C" w:rsidR="000A771F" w:rsidRPr="000D12B4" w:rsidRDefault="00E4168C" w:rsidP="0025770E">
      <w:pPr>
        <w:pStyle w:val="Paragraftext"/>
      </w:pPr>
      <w:r>
        <w:t>2. provozovatel potravinářského podniku může prokázat soulad s povinnostmi uvedenými v příslušném potravinovém právu Unie, zejména s ustanoveními o postupech, pokud jde o zásady v rámci analýzy rizik a kritických kontrolních bodů a nápravných opatření.</w:t>
      </w:r>
    </w:p>
    <w:p w14:paraId="6BD90906" w14:textId="77777777" w:rsidR="000448CB" w:rsidRPr="000D12B4" w:rsidRDefault="000448CB" w:rsidP="0025770E">
      <w:pPr>
        <w:pStyle w:val="Paragraftext"/>
      </w:pPr>
    </w:p>
    <w:p w14:paraId="19E34643" w14:textId="4F49FA3D" w:rsidR="00085D67" w:rsidRPr="000D12B4" w:rsidRDefault="00C00D41" w:rsidP="0025770E">
      <w:pPr>
        <w:pStyle w:val="Paragraftext"/>
      </w:pPr>
      <w:r>
        <w:rPr>
          <w:b/>
        </w:rPr>
        <w:t>§ 35</w:t>
      </w:r>
      <w:r>
        <w:t xml:space="preserve">  Za předpokladu, že pro lidské zdraví to nepředstavuje potenciální riziko a že dodávky vody určené k lidské spotřebě v dotčené oblasti nemohou být </w:t>
      </w:r>
      <w:r>
        <w:lastRenderedPageBreak/>
        <w:t>zachovány žádnými jinými přiměřenými prostředky, může Švédská potravinářská agentura povolit provozovatelům vyrábějícím vodu určenou k lidské spotřebě nebo, kteří ji dodávají z distribučního zařízení, aby se odchýlili od mezních hodnot pro chemické látky stanovených v dodatku 1. Tento souhlas lze udělit pouze v důsledku:</w:t>
      </w:r>
    </w:p>
    <w:p w14:paraId="58D5B88F" w14:textId="1CFD6A90" w:rsidR="00085D67" w:rsidRPr="000D12B4" w:rsidRDefault="00085D67" w:rsidP="0025770E">
      <w:pPr>
        <w:pStyle w:val="Paragraftext"/>
      </w:pPr>
      <w:r>
        <w:t xml:space="preserve">1. nové spádové oblasti pro místa odběru vody určené k lidské spotřebě; </w:t>
      </w:r>
    </w:p>
    <w:p w14:paraId="4F72CB32" w14:textId="20498A6D" w:rsidR="00085D67" w:rsidRPr="000D12B4" w:rsidRDefault="00085D67" w:rsidP="0025770E">
      <w:pPr>
        <w:pStyle w:val="Paragraftext"/>
      </w:pPr>
      <w:r>
        <w:t xml:space="preserve">2. toho, že byl v spádové oblasti zjištěn nový zdroj znečištění pro místa odběru vody určené k lidské spotřebě nebo ukazatele, které byly nedávno vyhledány nebo zjištěny; nebo </w:t>
      </w:r>
    </w:p>
    <w:p w14:paraId="42732F75" w14:textId="61619658" w:rsidR="00E022FF" w:rsidRPr="000D12B4" w:rsidRDefault="00085D67" w:rsidP="0025770E">
      <w:pPr>
        <w:pStyle w:val="Paragraftext"/>
      </w:pPr>
      <w:r>
        <w:t xml:space="preserve">3. nepředvídané a výjimečné situace ve stávající spádové oblasti pro místa odběru vody určené k lidské spotřebě, která by mohla vést k dočasnému a omezenému překročení mezních hodnot. </w:t>
      </w:r>
    </w:p>
    <w:p w14:paraId="36672C7C" w14:textId="0306E449" w:rsidR="0096335A" w:rsidRPr="000D12B4" w:rsidRDefault="00085D67" w:rsidP="00F15DF3">
      <w:pPr>
        <w:pStyle w:val="Paragraftext"/>
      </w:pPr>
      <w:r>
        <w:tab/>
        <w:t xml:space="preserve">Souhlas uvedený v prvním odstavci nelze udělit pro vodu určenou k lidské spotřebě stáčenou do lahví nebo nádob. </w:t>
      </w:r>
    </w:p>
    <w:p w14:paraId="05AF3244" w14:textId="77777777" w:rsidR="008336F0" w:rsidRPr="000D12B4" w:rsidRDefault="008336F0" w:rsidP="00F15DF3">
      <w:pPr>
        <w:pStyle w:val="Paragraftext"/>
      </w:pPr>
    </w:p>
    <w:p w14:paraId="2F226831" w14:textId="64786523" w:rsidR="0096335A" w:rsidRPr="000D12B4" w:rsidRDefault="00F15DF3" w:rsidP="008D695B">
      <w:r>
        <w:t>____________________________________________</w:t>
      </w:r>
    </w:p>
    <w:p w14:paraId="5603DCCB" w14:textId="77777777" w:rsidR="0096335A" w:rsidRPr="000D12B4" w:rsidRDefault="0096335A" w:rsidP="00173D26"/>
    <w:p w14:paraId="6D3A2C0A" w14:textId="309E3B7A" w:rsidR="0096335A" w:rsidRPr="000D12B4" w:rsidRDefault="0096335A" w:rsidP="00173D26">
      <w:r>
        <w:tab/>
        <w:t xml:space="preserve">1. Tyto předpisy vstupují v platnost dne 1. ledna 2023. </w:t>
      </w:r>
    </w:p>
    <w:p w14:paraId="6BB862BB" w14:textId="15E166AC" w:rsidR="0025770E" w:rsidRPr="000D12B4" w:rsidRDefault="0025770E" w:rsidP="00173D26">
      <w:r>
        <w:tab/>
        <w:t>2. Těmito předpisy se ruší nařízení Švédské potravinářské agentury (SLVFS 2001:30) o vodě určené k lidské spotřebě.</w:t>
      </w:r>
    </w:p>
    <w:p w14:paraId="032C95FA" w14:textId="711FDC10" w:rsidR="00E951A4" w:rsidRPr="000D12B4" w:rsidRDefault="00E951A4" w:rsidP="00173D26">
      <w:r>
        <w:tab/>
        <w:t>3. Od 1. ledna 2026 platí ustanovení o monitorování surové vody v příloze 3, oddíl B.</w:t>
      </w:r>
    </w:p>
    <w:p w14:paraId="0822832E" w14:textId="789F767F" w:rsidR="00837BB6" w:rsidRPr="000D12B4" w:rsidRDefault="00837BB6" w:rsidP="00173D26">
      <w:r>
        <w:tab/>
        <w:t>4. Ustanovení o monitorování a opatřeních týkajících se bisfenolu A, halogenovaných kyselin octových, chlorátu, chloritu, mikrocystinu-LR, PFAS 4, PFAS 21 a uranu v oddíle 6 a dodatku 1 se poprvé použijí dne 1. ledna 2026.</w:t>
      </w:r>
    </w:p>
    <w:p w14:paraId="1BB09DBE" w14:textId="77777777" w:rsidR="0096335A" w:rsidRPr="000D12B4" w:rsidRDefault="0096335A" w:rsidP="00173D26"/>
    <w:p w14:paraId="61A03499" w14:textId="77777777" w:rsidR="0096335A" w:rsidRPr="000D12B4" w:rsidRDefault="0096335A" w:rsidP="00173D26"/>
    <w:p w14:paraId="5A0EC2B9" w14:textId="77777777" w:rsidR="0096335A" w:rsidRPr="000D12B4" w:rsidRDefault="0096335A" w:rsidP="00173D26"/>
    <w:p w14:paraId="035117B1" w14:textId="77777777" w:rsidR="0096335A" w:rsidRPr="000D12B4" w:rsidRDefault="004F548F" w:rsidP="00173D26">
      <w:r>
        <w:t>ANNICA SOHLSTRÖM</w:t>
      </w:r>
    </w:p>
    <w:p w14:paraId="590684AA" w14:textId="77777777" w:rsidR="0096335A" w:rsidRPr="000D12B4" w:rsidRDefault="0096335A" w:rsidP="00173D26"/>
    <w:p w14:paraId="6A1C63C5" w14:textId="77777777" w:rsidR="0096335A" w:rsidRPr="000D12B4" w:rsidRDefault="0096335A" w:rsidP="00173D26"/>
    <w:p w14:paraId="5E2C70A1" w14:textId="77777777" w:rsidR="0096335A" w:rsidRPr="000D12B4" w:rsidRDefault="0096335A" w:rsidP="00173D26"/>
    <w:p w14:paraId="69E9B830" w14:textId="77777777" w:rsidR="0096335A" w:rsidRPr="000D12B4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464BF243" w14:textId="77777777" w:rsidR="002C1909" w:rsidRPr="000D12B4" w:rsidRDefault="0096335A" w:rsidP="0096335A">
      <w:pPr>
        <w:tabs>
          <w:tab w:val="clear" w:pos="283"/>
          <w:tab w:val="left" w:pos="4536"/>
        </w:tabs>
      </w:pPr>
      <w:r>
        <w:tab/>
        <w:t>(právní záležitosti)</w:t>
      </w:r>
    </w:p>
    <w:p w14:paraId="3E7F1732" w14:textId="67AD9D22" w:rsidR="008839CB" w:rsidRPr="000D12B4" w:rsidRDefault="008839CB" w:rsidP="003F6219">
      <w:pPr>
        <w:tabs>
          <w:tab w:val="clear" w:pos="283"/>
        </w:tabs>
      </w:pPr>
    </w:p>
    <w:p w14:paraId="3C915260" w14:textId="77777777" w:rsidR="008839CB" w:rsidRPr="000D12B4" w:rsidRDefault="008839CB" w:rsidP="0096335A">
      <w:pPr>
        <w:tabs>
          <w:tab w:val="clear" w:pos="283"/>
          <w:tab w:val="left" w:pos="4536"/>
        </w:tabs>
      </w:pPr>
    </w:p>
    <w:p w14:paraId="22BBECD6" w14:textId="77777777" w:rsidR="002C1909" w:rsidRPr="000D12B4" w:rsidRDefault="002C1909" w:rsidP="0096335A">
      <w:pPr>
        <w:tabs>
          <w:tab w:val="clear" w:pos="283"/>
          <w:tab w:val="left" w:pos="4536"/>
        </w:tabs>
      </w:pPr>
    </w:p>
    <w:p w14:paraId="1E799839" w14:textId="77777777" w:rsidR="002C1909" w:rsidRPr="000D12B4" w:rsidRDefault="002C1909" w:rsidP="0096335A">
      <w:pPr>
        <w:tabs>
          <w:tab w:val="clear" w:pos="283"/>
          <w:tab w:val="left" w:pos="4536"/>
        </w:tabs>
      </w:pPr>
    </w:p>
    <w:p w14:paraId="2BB261AC" w14:textId="77777777" w:rsidR="008839CB" w:rsidRPr="000D12B4" w:rsidRDefault="008839CB" w:rsidP="00173D26">
      <w:pPr>
        <w:sectPr w:rsidR="008839CB" w:rsidRPr="000D12B4" w:rsidSect="009353F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259" w:right="1134" w:bottom="1361" w:left="1701" w:header="709" w:footer="709" w:gutter="0"/>
          <w:cols w:space="708"/>
          <w:titlePg/>
          <w:docGrid w:linePitch="381"/>
        </w:sectPr>
      </w:pPr>
    </w:p>
    <w:p w14:paraId="4305BA5B" w14:textId="13F5B722" w:rsidR="008839CB" w:rsidRPr="000D12B4" w:rsidRDefault="008839CB" w:rsidP="008839CB">
      <w:pPr>
        <w:jc w:val="right"/>
        <w:rPr>
          <w:i/>
        </w:rPr>
      </w:pPr>
      <w:r>
        <w:rPr>
          <w:i/>
        </w:rPr>
        <w:lastRenderedPageBreak/>
        <w:t>Dodatek 1</w:t>
      </w:r>
    </w:p>
    <w:p w14:paraId="4DCB1557" w14:textId="2D94C0DB" w:rsidR="008839CB" w:rsidRPr="001236FA" w:rsidRDefault="008839CB" w:rsidP="008839CB">
      <w:pPr>
        <w:jc w:val="right"/>
      </w:pPr>
      <w:r>
        <w:t>(k LIVSFS 2022:12)</w:t>
      </w:r>
    </w:p>
    <w:p w14:paraId="46656D3D" w14:textId="77777777" w:rsidR="008839CB" w:rsidRPr="000D12B4" w:rsidRDefault="008839CB" w:rsidP="008839CB">
      <w:pPr>
        <w:jc w:val="right"/>
      </w:pPr>
    </w:p>
    <w:p w14:paraId="513DDCAF" w14:textId="191BC57D" w:rsidR="008839CB" w:rsidRPr="000D12B4" w:rsidRDefault="008839CB" w:rsidP="008839CB">
      <w:pPr>
        <w:pStyle w:val="Heading1"/>
      </w:pPr>
      <w:r>
        <w:t>Mezní hodnoty při posuzování jakosti vody určené k lidské spotřebě</w:t>
      </w:r>
    </w:p>
    <w:p w14:paraId="3A32E243" w14:textId="1AFDD819" w:rsidR="0037351C" w:rsidRPr="000D12B4" w:rsidRDefault="00D33E4A" w:rsidP="00C678FA">
      <w:pPr>
        <w:pStyle w:val="Heading2"/>
      </w:pPr>
      <w:r>
        <w:t xml:space="preserve">Ukazatele pro mikroorganismy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489"/>
        <w:gridCol w:w="1939"/>
        <w:gridCol w:w="2523"/>
        <w:gridCol w:w="1126"/>
        <w:gridCol w:w="1223"/>
        <w:gridCol w:w="3467"/>
      </w:tblGrid>
      <w:tr w:rsidR="000D12B4" w:rsidRPr="000D12B4" w14:paraId="0CCD2279" w14:textId="77777777" w:rsidTr="005C4563">
        <w:trPr>
          <w:tblHeader/>
        </w:trPr>
        <w:tc>
          <w:tcPr>
            <w:tcW w:w="0" w:type="auto"/>
            <w:shd w:val="clear" w:color="auto" w:fill="F2F2F2" w:themeFill="background1" w:themeFillShade="F2"/>
          </w:tcPr>
          <w:p w14:paraId="5AEFFBAE" w14:textId="77777777" w:rsidR="007F063A" w:rsidRPr="000D12B4" w:rsidRDefault="007F063A" w:rsidP="005C45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Ukazatel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972D0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Odchozí voda určená k lidské spotřebě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A8730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Pitná voda u spotřebitele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E52114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Pitná voda stáčená do lahví nebo nádob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6D0DE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Jednotka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BA692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Skupina vzorků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60ACA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Poznámky</w:t>
            </w:r>
          </w:p>
        </w:tc>
      </w:tr>
      <w:tr w:rsidR="000D12B4" w:rsidRPr="000D12B4" w14:paraId="3CABD5FC" w14:textId="77777777" w:rsidTr="005C4563">
        <w:tc>
          <w:tcPr>
            <w:tcW w:w="0" w:type="auto"/>
          </w:tcPr>
          <w:p w14:paraId="34B0234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Escherichia coli </w:t>
            </w:r>
          </w:p>
          <w:p w14:paraId="6446DBF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(E. coli)</w:t>
            </w:r>
          </w:p>
        </w:tc>
        <w:tc>
          <w:tcPr>
            <w:tcW w:w="0" w:type="auto"/>
          </w:tcPr>
          <w:p w14:paraId="0D70BBB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38DF1FE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62D8678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23090BE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2D1B411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099BE4F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Pro pitnou vodu stáčenou do lahví nebo nádob je jednotkou počet/250 ml.</w:t>
            </w:r>
          </w:p>
        </w:tc>
      </w:tr>
      <w:tr w:rsidR="007F063A" w:rsidRPr="000D12B4" w14:paraId="1DF6E2FE" w14:textId="77777777" w:rsidTr="005C4563">
        <w:tc>
          <w:tcPr>
            <w:tcW w:w="0" w:type="auto"/>
          </w:tcPr>
          <w:p w14:paraId="273D00D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Střevní enterokoky</w:t>
            </w:r>
          </w:p>
        </w:tc>
        <w:tc>
          <w:tcPr>
            <w:tcW w:w="0" w:type="auto"/>
          </w:tcPr>
          <w:p w14:paraId="6A56C95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1E78060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7D8AE23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541595B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5B1CCA9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7A94150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Pro pitnou vodu stáčenou do lahví nebo nádob je jednotkou počet/250 ml.</w:t>
            </w:r>
          </w:p>
        </w:tc>
      </w:tr>
    </w:tbl>
    <w:p w14:paraId="34884B18" w14:textId="77777777" w:rsidR="009B6D27" w:rsidRPr="000D12B4" w:rsidRDefault="009B6D27" w:rsidP="007F063A">
      <w:pPr>
        <w:pStyle w:val="Heading2"/>
        <w:rPr>
          <w:rFonts w:ascii="Times New Roman" w:hAnsi="Times New Roman" w:cs="Times New Roman"/>
          <w:szCs w:val="28"/>
        </w:rPr>
      </w:pPr>
    </w:p>
    <w:p w14:paraId="30D495E1" w14:textId="77777777" w:rsidR="009B6D27" w:rsidRPr="000D12B4" w:rsidRDefault="009B6D27">
      <w:pPr>
        <w:tabs>
          <w:tab w:val="clear" w:pos="283"/>
        </w:tabs>
        <w:rPr>
          <w:rFonts w:ascii="Times New Roman" w:eastAsiaTheme="majorEastAsia" w:hAnsi="Times New Roman" w:cs="Times New Roman"/>
          <w:b/>
        </w:rPr>
      </w:pPr>
      <w:r>
        <w:br w:type="page"/>
      </w:r>
    </w:p>
    <w:p w14:paraId="3BFAB2B0" w14:textId="6BB599A7" w:rsidR="007F063A" w:rsidRPr="000D12B4" w:rsidRDefault="007F063A" w:rsidP="007F063A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lastRenderedPageBreak/>
        <w:t>Ukazatele chemických a radioaktivních látek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340"/>
        <w:gridCol w:w="1961"/>
        <w:gridCol w:w="1004"/>
        <w:gridCol w:w="1059"/>
        <w:gridCol w:w="6653"/>
      </w:tblGrid>
      <w:tr w:rsidR="000D12B4" w:rsidRPr="000D12B4" w14:paraId="2E5527CF" w14:textId="77777777" w:rsidTr="005C4563">
        <w:trPr>
          <w:tblHeader/>
        </w:trPr>
        <w:tc>
          <w:tcPr>
            <w:tcW w:w="0" w:type="auto"/>
            <w:shd w:val="clear" w:color="auto" w:fill="F2F2F2" w:themeFill="background1" w:themeFillShade="F2"/>
          </w:tcPr>
          <w:p w14:paraId="10AEC86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Ukazatel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4BD42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Odchozí voda určená k lidské spotřebě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163B0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Pitná voda u spotřebitele a pitná voda stáčená do lahví nebo nádob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E430A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Jednotka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42A27D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Skupina vzorků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0483CE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Poznámky</w:t>
            </w:r>
          </w:p>
        </w:tc>
      </w:tr>
      <w:tr w:rsidR="000D12B4" w:rsidRPr="000D12B4" w14:paraId="688D79C8" w14:textId="77777777" w:rsidTr="005C4563">
        <w:tc>
          <w:tcPr>
            <w:tcW w:w="0" w:type="auto"/>
          </w:tcPr>
          <w:p w14:paraId="13E50B6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Akrylamid</w:t>
            </w:r>
          </w:p>
        </w:tc>
        <w:tc>
          <w:tcPr>
            <w:tcW w:w="0" w:type="auto"/>
          </w:tcPr>
          <w:p w14:paraId="54F2B0F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D7C42C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2319E17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32EAABA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FC80C51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týká zbytkové koncentrace monomeru v pitné vodě vypočítané podle specifikací maximální migrace z příslušného polymeru, který je ve styku s vodou. Parametr musí být vypočten pouze v případě, že pitná voda přijde do styku s příslušnými polymery.</w:t>
            </w:r>
          </w:p>
        </w:tc>
      </w:tr>
      <w:tr w:rsidR="000D12B4" w:rsidRPr="000D12B4" w14:paraId="4DBC64C4" w14:textId="77777777" w:rsidTr="005C4563">
        <w:tc>
          <w:tcPr>
            <w:tcW w:w="0" w:type="auto"/>
          </w:tcPr>
          <w:p w14:paraId="1685DF5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Antimon</w:t>
            </w:r>
          </w:p>
        </w:tc>
        <w:tc>
          <w:tcPr>
            <w:tcW w:w="0" w:type="auto"/>
          </w:tcPr>
          <w:p w14:paraId="28D53BA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75F7BD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0" w:type="auto"/>
          </w:tcPr>
          <w:p w14:paraId="451DF98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29FBCDB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C1005D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7C59F6D3" w14:textId="77777777" w:rsidTr="005C4563">
        <w:tc>
          <w:tcPr>
            <w:tcW w:w="0" w:type="auto"/>
          </w:tcPr>
          <w:p w14:paraId="4F72895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Arzén</w:t>
            </w:r>
          </w:p>
        </w:tc>
        <w:tc>
          <w:tcPr>
            <w:tcW w:w="0" w:type="auto"/>
          </w:tcPr>
          <w:p w14:paraId="780CD70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FA124D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0" w:type="auto"/>
          </w:tcPr>
          <w:p w14:paraId="04103AE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7DAFA89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6E3CDC6" w14:textId="45E82442" w:rsidR="007F063A" w:rsidRPr="000D12B4" w:rsidRDefault="007F063A" w:rsidP="00B858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Do 1. ledna 2026 může být uplatňována limitní hodnota 10 μg/l.</w:t>
            </w:r>
          </w:p>
        </w:tc>
      </w:tr>
      <w:tr w:rsidR="000D12B4" w:rsidRPr="000D12B4" w14:paraId="1C39AE9C" w14:textId="77777777" w:rsidTr="005C4563">
        <w:tc>
          <w:tcPr>
            <w:tcW w:w="0" w:type="auto"/>
          </w:tcPr>
          <w:p w14:paraId="225EEAF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Pesticidy – aldrin, dieldrin, heptachlor, heptachlor epoxid</w:t>
            </w:r>
          </w:p>
        </w:tc>
        <w:tc>
          <w:tcPr>
            <w:tcW w:w="0" w:type="auto"/>
          </w:tcPr>
          <w:p w14:paraId="2E682E2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BEE7F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0,030</w:t>
            </w:r>
          </w:p>
        </w:tc>
        <w:tc>
          <w:tcPr>
            <w:tcW w:w="0" w:type="auto"/>
          </w:tcPr>
          <w:p w14:paraId="4FD5636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853C96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16148FB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na každý jednotlivý pesticid.</w:t>
            </w:r>
          </w:p>
        </w:tc>
      </w:tr>
      <w:tr w:rsidR="000D12B4" w:rsidRPr="000D12B4" w14:paraId="6F1A6A45" w14:textId="77777777" w:rsidTr="005C4563">
        <w:tc>
          <w:tcPr>
            <w:tcW w:w="0" w:type="auto"/>
          </w:tcPr>
          <w:p w14:paraId="6BEC5FF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Pesticidy – individuální</w:t>
            </w:r>
          </w:p>
        </w:tc>
        <w:tc>
          <w:tcPr>
            <w:tcW w:w="0" w:type="auto"/>
          </w:tcPr>
          <w:p w14:paraId="6629DFD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F7D30F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30CC693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2CED5BF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28EEE02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na každý jednotlivý pesticid. Je třeba sledovat pouze pesticidy, u nichž je pravděpodobné, že budou přítomny v zásobování vodou. Pesticidy jsou organické látky používané jako insekticidy, herbicidy, fungicidy, nematocidy, akaricidy, algicidy, rodenticidy, prostředky proti tvorbě slizu, regulátory růstu a podobné produkty, jakož i příslušné metabolity, degradační a reakční produkty. Metabolit pesticidu se považuje za důležitý pro pitnou vodu, má-li se za to, že má vnitřní vlastnosti srovnatelné s vlastnostmi původní látky, pokud jde o specifický účinek pesticidů, nebo že sami o sobě nebo jejich transformační produkty představují zdravotní riziko pro spotřebitele.</w:t>
            </w:r>
          </w:p>
        </w:tc>
      </w:tr>
      <w:tr w:rsidR="000D12B4" w:rsidRPr="000D12B4" w14:paraId="2A0A66E1" w14:textId="77777777" w:rsidTr="005C4563">
        <w:tc>
          <w:tcPr>
            <w:tcW w:w="0" w:type="auto"/>
          </w:tcPr>
          <w:p w14:paraId="636BD00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Pesticidy – celková koncentrace</w:t>
            </w:r>
          </w:p>
        </w:tc>
        <w:tc>
          <w:tcPr>
            <w:tcW w:w="0" w:type="auto"/>
          </w:tcPr>
          <w:p w14:paraId="3A196DA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C90347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433AD90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3A3F8B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489804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Limitní hodnota se vztahuje k součtu všech jednotlivých prokázaných pesticidů.</w:t>
            </w:r>
          </w:p>
        </w:tc>
      </w:tr>
      <w:tr w:rsidR="000D12B4" w:rsidRPr="000D12B4" w14:paraId="0B8C9FA7" w14:textId="77777777" w:rsidTr="005C4563">
        <w:tc>
          <w:tcPr>
            <w:tcW w:w="0" w:type="auto"/>
          </w:tcPr>
          <w:p w14:paraId="6C1985B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Benzen</w:t>
            </w:r>
          </w:p>
        </w:tc>
        <w:tc>
          <w:tcPr>
            <w:tcW w:w="0" w:type="auto"/>
          </w:tcPr>
          <w:p w14:paraId="2A2C0F0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74A67D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0" w:type="auto"/>
          </w:tcPr>
          <w:p w14:paraId="7C7FC36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C784E1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E59869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7014FDA6" w14:textId="77777777" w:rsidTr="005C4563">
        <w:tc>
          <w:tcPr>
            <w:tcW w:w="0" w:type="auto"/>
          </w:tcPr>
          <w:p w14:paraId="2CD592E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Benzo(a)pyren</w:t>
            </w:r>
          </w:p>
        </w:tc>
        <w:tc>
          <w:tcPr>
            <w:tcW w:w="0" w:type="auto"/>
          </w:tcPr>
          <w:p w14:paraId="1870609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A37143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0,010</w:t>
            </w:r>
          </w:p>
        </w:tc>
        <w:tc>
          <w:tcPr>
            <w:tcW w:w="0" w:type="auto"/>
          </w:tcPr>
          <w:p w14:paraId="1E0F702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514D55E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EE5C721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5B209377" w14:textId="77777777" w:rsidTr="005C4563">
        <w:tc>
          <w:tcPr>
            <w:tcW w:w="0" w:type="auto"/>
          </w:tcPr>
          <w:p w14:paraId="7053C02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Bisfenol A</w:t>
            </w:r>
          </w:p>
        </w:tc>
        <w:tc>
          <w:tcPr>
            <w:tcW w:w="0" w:type="auto"/>
          </w:tcPr>
          <w:p w14:paraId="57FF023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D04C96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0" w:type="auto"/>
          </w:tcPr>
          <w:p w14:paraId="6BB0457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6465012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1EA0DD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1ECB87EB" w14:textId="77777777" w:rsidTr="005C4563">
        <w:tc>
          <w:tcPr>
            <w:tcW w:w="0" w:type="auto"/>
          </w:tcPr>
          <w:p w14:paraId="0BC6313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Olovo</w:t>
            </w:r>
          </w:p>
        </w:tc>
        <w:tc>
          <w:tcPr>
            <w:tcW w:w="0" w:type="auto"/>
          </w:tcPr>
          <w:p w14:paraId="4D5A136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3A6E76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0" w:type="auto"/>
          </w:tcPr>
          <w:p w14:paraId="0509235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A9E1CF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2ECA37CD" w14:textId="76FD7E65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Do 1. ledna 2026 může být uplatňována limitní hodnota 10 μg/l.</w:t>
            </w:r>
          </w:p>
        </w:tc>
      </w:tr>
      <w:tr w:rsidR="000D12B4" w:rsidRPr="000D12B4" w14:paraId="0571C188" w14:textId="77777777" w:rsidTr="005C4563">
        <w:tc>
          <w:tcPr>
            <w:tcW w:w="0" w:type="auto"/>
          </w:tcPr>
          <w:p w14:paraId="012A110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Bór</w:t>
            </w:r>
          </w:p>
        </w:tc>
        <w:tc>
          <w:tcPr>
            <w:tcW w:w="0" w:type="auto"/>
          </w:tcPr>
          <w:p w14:paraId="45DCC88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06EF9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0" w:type="auto"/>
          </w:tcPr>
          <w:p w14:paraId="1F2155E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5CE9830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554133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Mezní hodnota 2,4 mg/l může být použita, pokud je odsolená voda hlavním zdrojem surové vody pro příslušný napájecí systém nebo v </w:t>
            </w:r>
            <w:r>
              <w:rPr>
                <w:rFonts w:ascii="Times New Roman" w:hAnsi="Times New Roman"/>
                <w:sz w:val="22"/>
              </w:rPr>
              <w:lastRenderedPageBreak/>
              <w:t>oblastech, kde geologické podmínky mohou vést k vysokým koncentracím bóru v podzemních vodách.</w:t>
            </w:r>
          </w:p>
        </w:tc>
      </w:tr>
      <w:tr w:rsidR="000D12B4" w:rsidRPr="000D12B4" w14:paraId="33772EE7" w14:textId="77777777" w:rsidTr="005C4563">
        <w:tc>
          <w:tcPr>
            <w:tcW w:w="0" w:type="auto"/>
          </w:tcPr>
          <w:p w14:paraId="781A39B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Bromát</w:t>
            </w:r>
          </w:p>
        </w:tc>
        <w:tc>
          <w:tcPr>
            <w:tcW w:w="0" w:type="auto"/>
          </w:tcPr>
          <w:p w14:paraId="21264F3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B8FFE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0" w:type="auto"/>
          </w:tcPr>
          <w:p w14:paraId="353E8A2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3B47B5D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917DC9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719541E8" w14:textId="77777777" w:rsidTr="005C4563">
        <w:tc>
          <w:tcPr>
            <w:tcW w:w="0" w:type="auto"/>
          </w:tcPr>
          <w:p w14:paraId="7E4F32C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Kyanid</w:t>
            </w:r>
          </w:p>
        </w:tc>
        <w:tc>
          <w:tcPr>
            <w:tcW w:w="0" w:type="auto"/>
          </w:tcPr>
          <w:p w14:paraId="3F5BD47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36AF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0" w:type="auto"/>
          </w:tcPr>
          <w:p w14:paraId="555A8DD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0E007FB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42F9C8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23B38BF0" w14:textId="77777777" w:rsidTr="005C4563">
        <w:tc>
          <w:tcPr>
            <w:tcW w:w="0" w:type="auto"/>
          </w:tcPr>
          <w:p w14:paraId="060E511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1,2-dichlorethan</w:t>
            </w:r>
          </w:p>
        </w:tc>
        <w:tc>
          <w:tcPr>
            <w:tcW w:w="0" w:type="auto"/>
          </w:tcPr>
          <w:p w14:paraId="6E49200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5F0D2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w="0" w:type="auto"/>
          </w:tcPr>
          <w:p w14:paraId="078966C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3D384AD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39CDC1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525F92A3" w14:textId="77777777" w:rsidTr="005C4563">
        <w:tc>
          <w:tcPr>
            <w:tcW w:w="0" w:type="auto"/>
          </w:tcPr>
          <w:p w14:paraId="3A0C3128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Epichlorhydrin</w:t>
            </w:r>
          </w:p>
        </w:tc>
        <w:tc>
          <w:tcPr>
            <w:tcW w:w="0" w:type="auto"/>
          </w:tcPr>
          <w:p w14:paraId="00C6A38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F7B226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11E4303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7A19E4D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E6D4E3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týká zbytkové koncentrace monomeru v pitné vodě vypočítané podle specifikací maximální migrace z příslušného polymeru, který je ve styku s vodou. Parametr musí být vypočten pouze v případě, že pitná voda přijde do styku s příslušnými polymery.</w:t>
            </w:r>
          </w:p>
        </w:tc>
      </w:tr>
      <w:tr w:rsidR="000D12B4" w:rsidRPr="000D12B4" w14:paraId="14252F04" w14:textId="77777777" w:rsidTr="005C4563">
        <w:tc>
          <w:tcPr>
            <w:tcW w:w="0" w:type="auto"/>
          </w:tcPr>
          <w:p w14:paraId="3789698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Fluorid</w:t>
            </w:r>
          </w:p>
        </w:tc>
        <w:tc>
          <w:tcPr>
            <w:tcW w:w="0" w:type="auto"/>
          </w:tcPr>
          <w:p w14:paraId="2DA34D7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CDFC91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0" w:type="auto"/>
          </w:tcPr>
          <w:p w14:paraId="6033332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273F36D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F289D3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07764CB7" w14:textId="77777777" w:rsidTr="005C4563">
        <w:tc>
          <w:tcPr>
            <w:tcW w:w="0" w:type="auto"/>
          </w:tcPr>
          <w:p w14:paraId="7189579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Halogenované kyseliny octové (HAA)</w:t>
            </w:r>
          </w:p>
        </w:tc>
        <w:tc>
          <w:tcPr>
            <w:tcW w:w="0" w:type="auto"/>
          </w:tcPr>
          <w:p w14:paraId="3CF2ED7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E8DAAF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60 </w:t>
            </w:r>
          </w:p>
        </w:tc>
        <w:tc>
          <w:tcPr>
            <w:tcW w:w="0" w:type="auto"/>
          </w:tcPr>
          <w:p w14:paraId="2BE4249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6A5D69E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CB5D9EE" w14:textId="2ECBAC41" w:rsidR="007F063A" w:rsidRPr="000D12B4" w:rsidRDefault="007F063A" w:rsidP="00B535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je třeba sledovat pouze tehdy, pokud se k dezinfekci pitné vody používají metody dezinfekce, které mohou generovat HAA. Mezní hodnota se vztahuje k součtu těchto pěti reprezentativních látek: kyselina monochloroctová, kyselina dichloroctová, kyselina trichloroctová, kyselina monobromooctová a dibromoctová kyselina.</w:t>
            </w:r>
          </w:p>
        </w:tc>
      </w:tr>
      <w:tr w:rsidR="000D12B4" w:rsidRPr="000D12B4" w14:paraId="23B132AF" w14:textId="77777777" w:rsidTr="005C4563">
        <w:tc>
          <w:tcPr>
            <w:tcW w:w="0" w:type="auto"/>
          </w:tcPr>
          <w:p w14:paraId="6069C65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Indikativní dávka</w:t>
            </w:r>
          </w:p>
        </w:tc>
        <w:tc>
          <w:tcPr>
            <w:tcW w:w="0" w:type="auto"/>
          </w:tcPr>
          <w:p w14:paraId="54EC05B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DA3800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0473DB9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mSv</w:t>
            </w:r>
          </w:p>
        </w:tc>
        <w:tc>
          <w:tcPr>
            <w:tcW w:w="0" w:type="auto"/>
          </w:tcPr>
          <w:p w14:paraId="6BBB451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A5616B1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musí být sledován pouze za podmínek stanovených v dodatku 3 oddílu D.</w:t>
            </w:r>
          </w:p>
        </w:tc>
      </w:tr>
      <w:tr w:rsidR="000D12B4" w:rsidRPr="000D12B4" w14:paraId="4A063AF5" w14:textId="77777777" w:rsidTr="005C4563">
        <w:tc>
          <w:tcPr>
            <w:tcW w:w="0" w:type="auto"/>
          </w:tcPr>
          <w:p w14:paraId="5FF227C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Kadmium</w:t>
            </w:r>
          </w:p>
        </w:tc>
        <w:tc>
          <w:tcPr>
            <w:tcW w:w="0" w:type="auto"/>
          </w:tcPr>
          <w:p w14:paraId="67EC228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8F67CB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531AB41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27AF69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253202E" w14:textId="4730EC9A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Do 1. ledna 2026 může být uplatňována limitní hodnota 5 μg/l.</w:t>
            </w:r>
          </w:p>
        </w:tc>
      </w:tr>
      <w:tr w:rsidR="000D12B4" w:rsidRPr="000D12B4" w14:paraId="1506A2FD" w14:textId="77777777" w:rsidTr="005C4563">
        <w:tc>
          <w:tcPr>
            <w:tcW w:w="0" w:type="auto"/>
          </w:tcPr>
          <w:p w14:paraId="7BC2837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Chlor, celkem</w:t>
            </w:r>
          </w:p>
        </w:tc>
        <w:tc>
          <w:tcPr>
            <w:tcW w:w="0" w:type="auto"/>
          </w:tcPr>
          <w:p w14:paraId="7039F14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0,40</w:t>
            </w:r>
          </w:p>
        </w:tc>
        <w:tc>
          <w:tcPr>
            <w:tcW w:w="0" w:type="auto"/>
          </w:tcPr>
          <w:p w14:paraId="79E904A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B657EB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7FBB4E4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FB605B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je třeba sledovat pouze u pitné vody dezinfikované sloučeninami chloru.</w:t>
            </w:r>
          </w:p>
        </w:tc>
      </w:tr>
      <w:tr w:rsidR="000D12B4" w:rsidRPr="000D12B4" w14:paraId="49C57DCC" w14:textId="77777777" w:rsidTr="005C4563">
        <w:tc>
          <w:tcPr>
            <w:tcW w:w="0" w:type="auto"/>
          </w:tcPr>
          <w:p w14:paraId="3AA7856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Chlorát</w:t>
            </w:r>
          </w:p>
        </w:tc>
        <w:tc>
          <w:tcPr>
            <w:tcW w:w="0" w:type="auto"/>
          </w:tcPr>
          <w:p w14:paraId="47B56A7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5C1BA2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0,70</w:t>
            </w:r>
          </w:p>
        </w:tc>
        <w:tc>
          <w:tcPr>
            <w:tcW w:w="0" w:type="auto"/>
          </w:tcPr>
          <w:p w14:paraId="440F7E7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2172ED8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10F0F2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je třeba sledovat pouze tehdy, pokud se k dezinfekci pitné vody používá metoda dezinfekce, která vytváří chlorát, zejména oxid chloričitý.</w:t>
            </w:r>
          </w:p>
        </w:tc>
      </w:tr>
      <w:tr w:rsidR="000D12B4" w:rsidRPr="000D12B4" w14:paraId="04174674" w14:textId="77777777" w:rsidTr="005C4563">
        <w:tc>
          <w:tcPr>
            <w:tcW w:w="0" w:type="auto"/>
          </w:tcPr>
          <w:p w14:paraId="3877D62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Chlorit</w:t>
            </w:r>
          </w:p>
        </w:tc>
        <w:tc>
          <w:tcPr>
            <w:tcW w:w="0" w:type="auto"/>
          </w:tcPr>
          <w:p w14:paraId="685F3DE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8D5C4E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0,70</w:t>
            </w:r>
          </w:p>
        </w:tc>
        <w:tc>
          <w:tcPr>
            <w:tcW w:w="0" w:type="auto"/>
          </w:tcPr>
          <w:p w14:paraId="2BF03F9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3AC463F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B3CBC7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je třeba sledovat pouze tehdy, pokud se k dezinfekci pitné vody používá metoda dezinfekce, která vytváří chlorit, zejména oxid chloričitý.</w:t>
            </w:r>
          </w:p>
        </w:tc>
      </w:tr>
      <w:tr w:rsidR="000D12B4" w:rsidRPr="000D12B4" w14:paraId="29E6DC87" w14:textId="77777777" w:rsidTr="005C4563">
        <w:tc>
          <w:tcPr>
            <w:tcW w:w="0" w:type="auto"/>
          </w:tcPr>
          <w:p w14:paraId="0BF6711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Měď</w:t>
            </w:r>
          </w:p>
        </w:tc>
        <w:tc>
          <w:tcPr>
            <w:tcW w:w="0" w:type="auto"/>
          </w:tcPr>
          <w:p w14:paraId="085E160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C7F5EF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2,0</w:t>
            </w:r>
          </w:p>
        </w:tc>
        <w:tc>
          <w:tcPr>
            <w:tcW w:w="0" w:type="auto"/>
          </w:tcPr>
          <w:p w14:paraId="5D69DB9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411A888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1F5486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64540175" w14:textId="77777777" w:rsidTr="005C4563">
        <w:tc>
          <w:tcPr>
            <w:tcW w:w="0" w:type="auto"/>
          </w:tcPr>
          <w:p w14:paraId="18A6E35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Chrom</w:t>
            </w:r>
          </w:p>
        </w:tc>
        <w:tc>
          <w:tcPr>
            <w:tcW w:w="0" w:type="auto"/>
          </w:tcPr>
          <w:p w14:paraId="556D22B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6DA1F6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0" w:type="auto"/>
          </w:tcPr>
          <w:p w14:paraId="08F3602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7BBB7DD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2D6C517" w14:textId="280F96C8" w:rsidR="007F063A" w:rsidRPr="000D12B4" w:rsidRDefault="007F063A" w:rsidP="008D1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Do 1. ledna 2026 může být uplatňována limitní hodnota 50 μg/l.</w:t>
            </w:r>
          </w:p>
        </w:tc>
      </w:tr>
      <w:tr w:rsidR="000D12B4" w:rsidRPr="000D12B4" w14:paraId="7AB6AF49" w14:textId="77777777" w:rsidTr="005C4563">
        <w:tc>
          <w:tcPr>
            <w:tcW w:w="0" w:type="auto"/>
          </w:tcPr>
          <w:p w14:paraId="05C8DA3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Rtuť</w:t>
            </w:r>
          </w:p>
        </w:tc>
        <w:tc>
          <w:tcPr>
            <w:tcW w:w="0" w:type="auto"/>
          </w:tcPr>
          <w:p w14:paraId="0569563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51D3FB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0" w:type="auto"/>
          </w:tcPr>
          <w:p w14:paraId="3E22311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0C2F30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1F18CE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024A11DA" w14:textId="77777777" w:rsidTr="005C4563">
        <w:tc>
          <w:tcPr>
            <w:tcW w:w="0" w:type="auto"/>
          </w:tcPr>
          <w:p w14:paraId="7D028B8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Mikrocystin-LR</w:t>
            </w:r>
          </w:p>
        </w:tc>
        <w:tc>
          <w:tcPr>
            <w:tcW w:w="0" w:type="auto"/>
          </w:tcPr>
          <w:p w14:paraId="65AE9F8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72B5CA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0" w:type="auto"/>
          </w:tcPr>
          <w:p w14:paraId="558E659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52DCDDB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7E32EA0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je třeba sledovat pouze v případě potenciálního růstu řas ve vodním zdroji nebo úpravném zařízení (zvýšení hustoty buněk sinic nebo potenciálu růstu řas).</w:t>
            </w:r>
          </w:p>
        </w:tc>
      </w:tr>
      <w:tr w:rsidR="000D12B4" w:rsidRPr="000D12B4" w14:paraId="6A5101F8" w14:textId="77777777" w:rsidTr="005C4563">
        <w:tc>
          <w:tcPr>
            <w:tcW w:w="0" w:type="auto"/>
          </w:tcPr>
          <w:p w14:paraId="6E9B87E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Nikl</w:t>
            </w:r>
          </w:p>
        </w:tc>
        <w:tc>
          <w:tcPr>
            <w:tcW w:w="0" w:type="auto"/>
          </w:tcPr>
          <w:p w14:paraId="5FBA5DA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A69B7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0" w:type="auto"/>
          </w:tcPr>
          <w:p w14:paraId="11A703F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F50DFF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CAE005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6D361E22" w14:textId="77777777" w:rsidTr="005C4563">
        <w:tc>
          <w:tcPr>
            <w:tcW w:w="0" w:type="auto"/>
          </w:tcPr>
          <w:p w14:paraId="40C56F9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Dusičnany</w:t>
            </w:r>
          </w:p>
        </w:tc>
        <w:tc>
          <w:tcPr>
            <w:tcW w:w="0" w:type="auto"/>
          </w:tcPr>
          <w:p w14:paraId="7157E92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82E1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0" w:type="auto"/>
          </w:tcPr>
          <w:p w14:paraId="6D2D401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7C005F0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549D9D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40680927" w14:textId="77777777" w:rsidTr="005C4563">
        <w:tc>
          <w:tcPr>
            <w:tcW w:w="0" w:type="auto"/>
          </w:tcPr>
          <w:p w14:paraId="502EFE2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Dusitany</w:t>
            </w:r>
          </w:p>
        </w:tc>
        <w:tc>
          <w:tcPr>
            <w:tcW w:w="0" w:type="auto"/>
          </w:tcPr>
          <w:p w14:paraId="35DA000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0740EEA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6110672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4D51AE3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 nebo pouze B</w:t>
            </w:r>
          </w:p>
        </w:tc>
        <w:tc>
          <w:tcPr>
            <w:tcW w:w="0" w:type="auto"/>
          </w:tcPr>
          <w:p w14:paraId="519446A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musí být zařazen do skupiny vzorků A pouze tehdy, je-li při ošetření použit chloramin. Parametr NO</w:t>
            </w:r>
            <w:r>
              <w:rPr>
                <w:rFonts w:ascii="Times New Roman" w:hAnsi="Times New Roman"/>
                <w:sz w:val="22"/>
                <w:vertAlign w:val="subscript"/>
              </w:rPr>
              <w:t>3,</w:t>
            </w:r>
            <w:r>
              <w:rPr>
                <w:rFonts w:ascii="Times New Roman" w:hAnsi="Times New Roman"/>
                <w:sz w:val="22"/>
              </w:rPr>
              <w:t>/50+ NO</w:t>
            </w:r>
            <w:r>
              <w:rPr>
                <w:rFonts w:ascii="Times New Roman" w:hAnsi="Times New Roman"/>
                <w:sz w:val="22"/>
                <w:vertAlign w:val="subscript"/>
              </w:rPr>
              <w:t>2,</w:t>
            </w:r>
            <w:r>
              <w:rPr>
                <w:rFonts w:ascii="Times New Roman" w:hAnsi="Times New Roman"/>
                <w:sz w:val="22"/>
              </w:rPr>
              <w:t>/0,5, na základě NO</w:t>
            </w:r>
            <w:r>
              <w:rPr>
                <w:rFonts w:ascii="Times New Roman" w:hAnsi="Times New Roman"/>
                <w:sz w:val="22"/>
                <w:vertAlign w:val="subscript"/>
              </w:rPr>
              <w:t>3,</w:t>
            </w:r>
            <w:r>
              <w:rPr>
                <w:rFonts w:ascii="Times New Roman" w:hAnsi="Times New Roman"/>
                <w:sz w:val="22"/>
              </w:rPr>
              <w:t xml:space="preserve"> a NO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v mg/l, musí být ≤ 1.</w:t>
            </w:r>
          </w:p>
        </w:tc>
      </w:tr>
      <w:tr w:rsidR="000D12B4" w:rsidRPr="000D12B4" w14:paraId="0ADC1384" w14:textId="77777777" w:rsidTr="005C4563">
        <w:tc>
          <w:tcPr>
            <w:tcW w:w="0" w:type="auto"/>
          </w:tcPr>
          <w:p w14:paraId="723400B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4 PFAS</w:t>
            </w:r>
          </w:p>
        </w:tc>
        <w:tc>
          <w:tcPr>
            <w:tcW w:w="0" w:type="auto"/>
          </w:tcPr>
          <w:p w14:paraId="500D889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3DBD3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0" w:type="auto"/>
          </w:tcPr>
          <w:p w14:paraId="0591590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ng/L</w:t>
            </w:r>
          </w:p>
        </w:tc>
        <w:tc>
          <w:tcPr>
            <w:tcW w:w="0" w:type="auto"/>
          </w:tcPr>
          <w:p w14:paraId="3410234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A2713B1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Parametr se monitoruje, pokud analýza rizik ukazuje, že je to nezbytné. </w:t>
            </w:r>
          </w:p>
          <w:p w14:paraId="782B5B8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2DE9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k součtu těchto látek:</w:t>
            </w:r>
          </w:p>
          <w:p w14:paraId="16017E8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perfluoroktansulfonová (PFOS)</w:t>
            </w:r>
          </w:p>
          <w:p w14:paraId="5260B63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perfluorooktanová (PFOA)</w:t>
            </w:r>
          </w:p>
          <w:p w14:paraId="633A873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perfluorononanová (PFNA)</w:t>
            </w:r>
          </w:p>
          <w:p w14:paraId="5762F84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perfluorohexansulfonová (PFHxS)</w:t>
            </w:r>
          </w:p>
        </w:tc>
      </w:tr>
      <w:tr w:rsidR="000D12B4" w:rsidRPr="000D12B4" w14:paraId="479D612E" w14:textId="77777777" w:rsidTr="005C4563">
        <w:tc>
          <w:tcPr>
            <w:tcW w:w="0" w:type="auto"/>
          </w:tcPr>
          <w:p w14:paraId="37E56042" w14:textId="0B5CE7CB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21 PFAS</w:t>
            </w:r>
          </w:p>
        </w:tc>
        <w:tc>
          <w:tcPr>
            <w:tcW w:w="0" w:type="auto"/>
          </w:tcPr>
          <w:p w14:paraId="75AA8B6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AB20C6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0B9301D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ng/L</w:t>
            </w:r>
          </w:p>
        </w:tc>
        <w:tc>
          <w:tcPr>
            <w:tcW w:w="0" w:type="auto"/>
          </w:tcPr>
          <w:p w14:paraId="21BB86C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22F488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Parametr se monitoruje, pokud analýza rizik ukazuje, že je to nezbytné. </w:t>
            </w:r>
          </w:p>
          <w:p w14:paraId="5AFF408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A9BA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k součtu těchto látek:</w:t>
            </w:r>
          </w:p>
          <w:p w14:paraId="68127377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perfluorbutanová (PFBA)</w:t>
            </w:r>
          </w:p>
          <w:p w14:paraId="26E48A9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Perfluoropentanová kyselina (PFPA)</w:t>
            </w:r>
          </w:p>
          <w:p w14:paraId="28A5FEC7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perfluorohexanová (PFHxA)</w:t>
            </w:r>
          </w:p>
          <w:p w14:paraId="032BE10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perfluorheptanová (PFHpA)</w:t>
            </w:r>
          </w:p>
          <w:p w14:paraId="4565718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perfluorooktanová (PFOA)</w:t>
            </w:r>
          </w:p>
          <w:p w14:paraId="5FC0748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perfluorononanová (PFNA)</w:t>
            </w:r>
          </w:p>
          <w:p w14:paraId="75422F0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perfluorodekanová (PFDA)</w:t>
            </w:r>
          </w:p>
          <w:p w14:paraId="071352A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perfluoroundekanová (PFUnDA)</w:t>
            </w:r>
          </w:p>
          <w:p w14:paraId="0B557C6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perfluorododekanová (PFDoDA)</w:t>
            </w:r>
          </w:p>
          <w:p w14:paraId="69921857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perfluortridekanová (PFTrDA)</w:t>
            </w:r>
          </w:p>
          <w:p w14:paraId="24BC9FCB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perfluorobutansulfonová (PFBS)</w:t>
            </w:r>
          </w:p>
          <w:p w14:paraId="734AEE95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perfluoropentansulfonová (PFPS)</w:t>
            </w:r>
          </w:p>
          <w:p w14:paraId="1CAFC10B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perfluorohexansulfonová (PFHxS)</w:t>
            </w:r>
          </w:p>
          <w:p w14:paraId="1D8D80A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perfluoroheptansulfonová (PFHpS)</w:t>
            </w:r>
          </w:p>
          <w:p w14:paraId="588DC00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perfluoroktansulfonová (PFOS)</w:t>
            </w:r>
          </w:p>
          <w:p w14:paraId="510D280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Kyselina perfluorononansulfonová (PFNS)</w:t>
            </w:r>
          </w:p>
          <w:p w14:paraId="00C4AF8B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perfluorodekansulfonová (PFDS)</w:t>
            </w:r>
          </w:p>
          <w:p w14:paraId="148F20AB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perfluoroundekansulfonová (PFUnDS)</w:t>
            </w:r>
          </w:p>
          <w:p w14:paraId="51E50A4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perfluorododekansulfonová (PFDoDS)</w:t>
            </w:r>
          </w:p>
          <w:p w14:paraId="5AC90A91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perfluorotridekansulfonová (PFTrDS)</w:t>
            </w:r>
          </w:p>
          <w:p w14:paraId="6DA7560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Kyselina fluorotelomer sulfonová (6:2 FTS)</w:t>
            </w:r>
          </w:p>
        </w:tc>
      </w:tr>
      <w:tr w:rsidR="000D12B4" w:rsidRPr="000D12B4" w14:paraId="0333C539" w14:textId="77777777" w:rsidTr="005C4563">
        <w:tc>
          <w:tcPr>
            <w:tcW w:w="0" w:type="auto"/>
          </w:tcPr>
          <w:p w14:paraId="7BA5F28E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Polycyklické aromatické uhlovodíky (PAH)</w:t>
            </w:r>
          </w:p>
        </w:tc>
        <w:tc>
          <w:tcPr>
            <w:tcW w:w="0" w:type="auto"/>
          </w:tcPr>
          <w:p w14:paraId="2857316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40F84D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526874C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0C54475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840A62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Součet koncentrací těchto specifikovaných sloučenin: benzo(b)fluorethylen, benzo(k)fluoranten, benzo(ghi)perylen a indeno(1,2,3-cd)pyren.</w:t>
            </w:r>
          </w:p>
        </w:tc>
      </w:tr>
      <w:tr w:rsidR="000D12B4" w:rsidRPr="000D12B4" w14:paraId="592BEF75" w14:textId="77777777" w:rsidTr="005C4563">
        <w:tc>
          <w:tcPr>
            <w:tcW w:w="0" w:type="auto"/>
          </w:tcPr>
          <w:p w14:paraId="7421CA0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Radon</w:t>
            </w:r>
          </w:p>
        </w:tc>
        <w:tc>
          <w:tcPr>
            <w:tcW w:w="0" w:type="auto"/>
          </w:tcPr>
          <w:p w14:paraId="4F4FB8A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6C785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1C50D9D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Bq/l</w:t>
            </w:r>
          </w:p>
        </w:tc>
        <w:tc>
          <w:tcPr>
            <w:tcW w:w="0" w:type="auto"/>
          </w:tcPr>
          <w:p w14:paraId="64C14D0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6B56D38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je třeba sledovat pouze tehdy, pokud pitná voda pochází z podzemních vod nebo z podzemních vod zasažených povrchovou vodou.</w:t>
            </w:r>
          </w:p>
        </w:tc>
      </w:tr>
      <w:tr w:rsidR="000D12B4" w:rsidRPr="000D12B4" w14:paraId="5047306C" w14:textId="77777777" w:rsidTr="005C4563">
        <w:tc>
          <w:tcPr>
            <w:tcW w:w="0" w:type="auto"/>
          </w:tcPr>
          <w:p w14:paraId="058E4DD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Selen</w:t>
            </w:r>
          </w:p>
        </w:tc>
        <w:tc>
          <w:tcPr>
            <w:tcW w:w="0" w:type="auto"/>
          </w:tcPr>
          <w:p w14:paraId="3F4D385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077A93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0" w:type="auto"/>
          </w:tcPr>
          <w:p w14:paraId="59A3789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6F575D3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59F6DE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30 μg/l se použije v oblastech, kde geologické podmínky mohou vést k vysokým koncentracím selenu v podzemních vodách.</w:t>
            </w:r>
          </w:p>
        </w:tc>
      </w:tr>
      <w:tr w:rsidR="000D12B4" w:rsidRPr="000D12B4" w14:paraId="42B1078C" w14:textId="77777777" w:rsidTr="005C4563">
        <w:tc>
          <w:tcPr>
            <w:tcW w:w="0" w:type="auto"/>
          </w:tcPr>
          <w:p w14:paraId="5619775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Tetrachlorethylen a trichlorethylen</w:t>
            </w:r>
          </w:p>
        </w:tc>
        <w:tc>
          <w:tcPr>
            <w:tcW w:w="0" w:type="auto"/>
          </w:tcPr>
          <w:p w14:paraId="2A04828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A11204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0" w:type="auto"/>
          </w:tcPr>
          <w:p w14:paraId="4E113C4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064372B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494FCB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Součet koncentrací těchto dvou ukazatelů.</w:t>
            </w:r>
          </w:p>
        </w:tc>
      </w:tr>
      <w:tr w:rsidR="000D12B4" w:rsidRPr="000D12B4" w14:paraId="3A7EA7DF" w14:textId="77777777" w:rsidTr="005C4563">
        <w:tc>
          <w:tcPr>
            <w:tcW w:w="0" w:type="auto"/>
          </w:tcPr>
          <w:p w14:paraId="0E553D5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Trihalomethany (THM) – celkem</w:t>
            </w:r>
          </w:p>
        </w:tc>
        <w:tc>
          <w:tcPr>
            <w:tcW w:w="0" w:type="auto"/>
          </w:tcPr>
          <w:p w14:paraId="771FC48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8C3E55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2E41C9D1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2CE82BE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61E8C948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Jedná se o součet koncentrací těchto specifikovaných sloučenin: chloroform, bromoform, dibromochlormethan a bromchlormethan.</w:t>
            </w:r>
          </w:p>
        </w:tc>
      </w:tr>
      <w:tr w:rsidR="000D12B4" w:rsidRPr="000D12B4" w14:paraId="4A8AC2BA" w14:textId="77777777" w:rsidTr="005C4563">
        <w:tc>
          <w:tcPr>
            <w:tcW w:w="0" w:type="auto"/>
          </w:tcPr>
          <w:p w14:paraId="38C627B8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Uran</w:t>
            </w:r>
          </w:p>
        </w:tc>
        <w:tc>
          <w:tcPr>
            <w:tcW w:w="0" w:type="auto"/>
          </w:tcPr>
          <w:p w14:paraId="24EE964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00748B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0" w:type="auto"/>
          </w:tcPr>
          <w:p w14:paraId="627CFC5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6FE9F65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7D9B514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je třeba sledovat pouze tehdy, pokud pitná voda pochází z podzemních vod nebo z podzemních vod zasažených povrchovou vodou.</w:t>
            </w:r>
          </w:p>
        </w:tc>
      </w:tr>
      <w:tr w:rsidR="007F063A" w:rsidRPr="000D12B4" w14:paraId="615820F3" w14:textId="77777777" w:rsidTr="005C4563">
        <w:tc>
          <w:tcPr>
            <w:tcW w:w="0" w:type="auto"/>
          </w:tcPr>
          <w:p w14:paraId="485D259F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Vinylchlorid</w:t>
            </w:r>
          </w:p>
        </w:tc>
        <w:tc>
          <w:tcPr>
            <w:tcW w:w="0" w:type="auto"/>
          </w:tcPr>
          <w:p w14:paraId="38792C9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BB1537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7CDA9F57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6A1FBA8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E439280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týká zbytkové koncentrace monomeru v pitné vodě vypočítané podle specifikací maximální migrace z příslušného polymeru, který je ve styku s vodou. Parametr musí být vypočten pouze v případě, že pitná voda přijde do styku s příslušnými polymery.</w:t>
            </w:r>
          </w:p>
        </w:tc>
      </w:tr>
    </w:tbl>
    <w:p w14:paraId="363707E5" w14:textId="77777777" w:rsidR="007F063A" w:rsidRPr="000D12B4" w:rsidRDefault="007F063A">
      <w:pPr>
        <w:tabs>
          <w:tab w:val="clear" w:pos="283"/>
        </w:tabs>
      </w:pPr>
    </w:p>
    <w:p w14:paraId="3C0B933F" w14:textId="1A25F391" w:rsidR="007F063A" w:rsidRPr="000D12B4" w:rsidRDefault="007F063A" w:rsidP="00945265">
      <w:pPr>
        <w:pStyle w:val="Heading2"/>
      </w:pPr>
      <w:r>
        <w:lastRenderedPageBreak/>
        <w:t>Indikátorové ukazatele</w:t>
      </w:r>
    </w:p>
    <w:tbl>
      <w:tblPr>
        <w:tblStyle w:val="TableGrid"/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795"/>
        <w:gridCol w:w="1648"/>
        <w:gridCol w:w="1804"/>
        <w:gridCol w:w="1080"/>
        <w:gridCol w:w="1032"/>
        <w:gridCol w:w="4943"/>
      </w:tblGrid>
      <w:tr w:rsidR="000D12B4" w:rsidRPr="000D12B4" w14:paraId="36240AFE" w14:textId="77777777" w:rsidTr="005C4563">
        <w:trPr>
          <w:tblHeader/>
        </w:trPr>
        <w:tc>
          <w:tcPr>
            <w:tcW w:w="0" w:type="auto"/>
            <w:shd w:val="clear" w:color="auto" w:fill="F2F2F2" w:themeFill="background1" w:themeFillShade="F2"/>
          </w:tcPr>
          <w:p w14:paraId="72B24300" w14:textId="77777777" w:rsidR="007F063A" w:rsidRPr="000D12B4" w:rsidRDefault="007F063A" w:rsidP="005C45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Ukazatel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C138D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Odchozí voda určená k lidské spotřebě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EAF0C1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Pitná voda u spotřebitele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6FA2B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Pitná voda stáčená do lahví nebo nádob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C2816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Jednotka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DEC13D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Skupina vzorků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C28990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Poznámky</w:t>
            </w:r>
          </w:p>
        </w:tc>
      </w:tr>
      <w:tr w:rsidR="000D12B4" w:rsidRPr="000D12B4" w14:paraId="0505B452" w14:textId="77777777" w:rsidTr="005C4563">
        <w:tc>
          <w:tcPr>
            <w:tcW w:w="0" w:type="auto"/>
          </w:tcPr>
          <w:p w14:paraId="1FC6762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Aktinomycety</w:t>
            </w:r>
          </w:p>
        </w:tc>
        <w:tc>
          <w:tcPr>
            <w:tcW w:w="0" w:type="auto"/>
          </w:tcPr>
          <w:p w14:paraId="1BAFCC1A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35C6A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2413D4C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5DE4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52BC644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205F59D3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04641B8A" w14:textId="77777777" w:rsidTr="005C4563">
        <w:tc>
          <w:tcPr>
            <w:tcW w:w="0" w:type="auto"/>
          </w:tcPr>
          <w:p w14:paraId="46E357E6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Hliník</w:t>
            </w:r>
          </w:p>
        </w:tc>
        <w:tc>
          <w:tcPr>
            <w:tcW w:w="0" w:type="auto"/>
          </w:tcPr>
          <w:p w14:paraId="1AAFEF8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56AEE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1B64189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6A0FEA1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7F9445A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 nebo</w:t>
            </w:r>
          </w:p>
          <w:p w14:paraId="7640F49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pouze B</w:t>
            </w:r>
          </w:p>
        </w:tc>
        <w:tc>
          <w:tcPr>
            <w:tcW w:w="0" w:type="auto"/>
          </w:tcPr>
          <w:p w14:paraId="34F3B49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Parametr musí být zařazen do skupiny vzorků A pouze v případě, že se při ošetření používá hliník. </w:t>
            </w:r>
          </w:p>
        </w:tc>
      </w:tr>
      <w:tr w:rsidR="000D12B4" w:rsidRPr="000D12B4" w14:paraId="03B4BD85" w14:textId="77777777" w:rsidTr="005C4563">
        <w:tc>
          <w:tcPr>
            <w:tcW w:w="0" w:type="auto"/>
          </w:tcPr>
          <w:p w14:paraId="0F813B5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Čpavek</w:t>
            </w:r>
          </w:p>
        </w:tc>
        <w:tc>
          <w:tcPr>
            <w:tcW w:w="0" w:type="auto"/>
          </w:tcPr>
          <w:p w14:paraId="6BCDAFD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CE009B9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49E1DBA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0,50</w:t>
            </w:r>
          </w:p>
        </w:tc>
        <w:tc>
          <w:tcPr>
            <w:tcW w:w="0" w:type="auto"/>
          </w:tcPr>
          <w:p w14:paraId="78B40FD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2ECFE50D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 nebo</w:t>
            </w:r>
          </w:p>
          <w:p w14:paraId="7892DDA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pouze B</w:t>
            </w:r>
          </w:p>
        </w:tc>
        <w:tc>
          <w:tcPr>
            <w:tcW w:w="0" w:type="auto"/>
          </w:tcPr>
          <w:p w14:paraId="354DC614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musí být zařazen do skupiny vzorků A pouze v případě, že se při ošetření používá chloramin.</w:t>
            </w:r>
          </w:p>
        </w:tc>
      </w:tr>
      <w:tr w:rsidR="000D12B4" w:rsidRPr="000D12B4" w14:paraId="19AADE49" w14:textId="77777777" w:rsidTr="005C4563">
        <w:tc>
          <w:tcPr>
            <w:tcW w:w="0" w:type="auto"/>
          </w:tcPr>
          <w:p w14:paraId="47D73909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Clostridium perfringens (včetně spor)</w:t>
            </w:r>
          </w:p>
        </w:tc>
        <w:tc>
          <w:tcPr>
            <w:tcW w:w="0" w:type="auto"/>
          </w:tcPr>
          <w:p w14:paraId="26B3DE1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D5B1D2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0B7B0983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A28A8F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54E7561C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9DF6177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se monitoruje, pokud surová voda pochází z povrchových vod nebo je jimi zasažena, nebo pokud analýza rizik ukazuje, že je to nezbytné.</w:t>
            </w:r>
          </w:p>
        </w:tc>
      </w:tr>
      <w:tr w:rsidR="000D12B4" w:rsidRPr="000D12B4" w14:paraId="0A819127" w14:textId="77777777" w:rsidTr="005C4563">
        <w:tc>
          <w:tcPr>
            <w:tcW w:w="0" w:type="auto"/>
          </w:tcPr>
          <w:p w14:paraId="4B1E5802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Barva</w:t>
            </w:r>
          </w:p>
        </w:tc>
        <w:tc>
          <w:tcPr>
            <w:tcW w:w="0" w:type="auto"/>
          </w:tcPr>
          <w:p w14:paraId="6623151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0" w:type="auto"/>
          </w:tcPr>
          <w:p w14:paraId="6AEE42A4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0" w:type="auto"/>
          </w:tcPr>
          <w:p w14:paraId="517F7B7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0" w:type="auto"/>
          </w:tcPr>
          <w:p w14:paraId="22B1A2F6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13C5797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19D138ED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Příčina abnormálních změn musí být vždy vyšetřena.</w:t>
            </w:r>
          </w:p>
        </w:tc>
      </w:tr>
      <w:tr w:rsidR="000D12B4" w:rsidRPr="000D12B4" w14:paraId="1163F1A2" w14:textId="77777777" w:rsidTr="005C4563">
        <w:tc>
          <w:tcPr>
            <w:tcW w:w="0" w:type="auto"/>
          </w:tcPr>
          <w:p w14:paraId="27AA295C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Železo</w:t>
            </w:r>
          </w:p>
        </w:tc>
        <w:tc>
          <w:tcPr>
            <w:tcW w:w="0" w:type="auto"/>
          </w:tcPr>
          <w:p w14:paraId="46017DFF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424B75BB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63F05575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160B5122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B3440D8" w14:textId="77777777" w:rsidR="007F063A" w:rsidRPr="000D12B4" w:rsidRDefault="007F063A" w:rsidP="005C45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 nebo pouze B</w:t>
            </w:r>
          </w:p>
        </w:tc>
        <w:tc>
          <w:tcPr>
            <w:tcW w:w="0" w:type="auto"/>
          </w:tcPr>
          <w:p w14:paraId="2EA880DA" w14:textId="77777777" w:rsidR="007F063A" w:rsidRPr="000D12B4" w:rsidRDefault="007F063A" w:rsidP="005C45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Parametr musí být zařazen do skupiny vzorků A pouze v případě, že se při ošetření používá železo. </w:t>
            </w:r>
          </w:p>
        </w:tc>
      </w:tr>
      <w:tr w:rsidR="000D12B4" w:rsidRPr="000D12B4" w14:paraId="06013CED" w14:textId="77777777" w:rsidTr="005C4563">
        <w:tc>
          <w:tcPr>
            <w:tcW w:w="0" w:type="auto"/>
          </w:tcPr>
          <w:p w14:paraId="6B119A9E" w14:textId="4B3E95C2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Vápník</w:t>
            </w:r>
          </w:p>
        </w:tc>
        <w:tc>
          <w:tcPr>
            <w:tcW w:w="0" w:type="auto"/>
          </w:tcPr>
          <w:p w14:paraId="1D657E7C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B221DA" w14:textId="3B040586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21C99AFD" w14:textId="52C1AF1A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4E4B99E0" w14:textId="44901DAA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455B0888" w14:textId="24644EC5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063214C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73560972" w14:textId="77777777" w:rsidTr="005C4563">
        <w:tc>
          <w:tcPr>
            <w:tcW w:w="0" w:type="auto"/>
          </w:tcPr>
          <w:p w14:paraId="42397D70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Chlorid</w:t>
            </w:r>
          </w:p>
        </w:tc>
        <w:tc>
          <w:tcPr>
            <w:tcW w:w="0" w:type="auto"/>
          </w:tcPr>
          <w:p w14:paraId="328E0442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6384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250</w:t>
            </w:r>
          </w:p>
        </w:tc>
        <w:tc>
          <w:tcPr>
            <w:tcW w:w="0" w:type="auto"/>
          </w:tcPr>
          <w:p w14:paraId="59E9257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250</w:t>
            </w:r>
          </w:p>
        </w:tc>
        <w:tc>
          <w:tcPr>
            <w:tcW w:w="0" w:type="auto"/>
          </w:tcPr>
          <w:p w14:paraId="604F8991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665D6E1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29566B10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Pitná voda by neměla být žíravá.</w:t>
            </w:r>
          </w:p>
        </w:tc>
      </w:tr>
      <w:tr w:rsidR="000D12B4" w:rsidRPr="000D12B4" w14:paraId="0E82AAD3" w14:textId="77777777" w:rsidTr="005C4563">
        <w:tc>
          <w:tcPr>
            <w:tcW w:w="0" w:type="auto"/>
          </w:tcPr>
          <w:p w14:paraId="46B542F0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Koliformní baktérie</w:t>
            </w:r>
          </w:p>
        </w:tc>
        <w:tc>
          <w:tcPr>
            <w:tcW w:w="0" w:type="auto"/>
          </w:tcPr>
          <w:p w14:paraId="32D5DA0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5119835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5AD0DA80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Demonstrováno</w:t>
            </w:r>
          </w:p>
        </w:tc>
        <w:tc>
          <w:tcPr>
            <w:tcW w:w="0" w:type="auto"/>
          </w:tcPr>
          <w:p w14:paraId="195B534B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5F97223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440853C6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Pro pitnou vodu stáčenou do lahví nebo nádob je jednotkou počet/250 ml.</w:t>
            </w:r>
          </w:p>
        </w:tc>
      </w:tr>
      <w:tr w:rsidR="000D12B4" w:rsidRPr="000D12B4" w14:paraId="07EA1E43" w14:textId="77777777" w:rsidTr="005C4563">
        <w:tc>
          <w:tcPr>
            <w:tcW w:w="0" w:type="auto"/>
          </w:tcPr>
          <w:p w14:paraId="45E0169A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Vodivost</w:t>
            </w:r>
          </w:p>
        </w:tc>
        <w:tc>
          <w:tcPr>
            <w:tcW w:w="0" w:type="auto"/>
          </w:tcPr>
          <w:p w14:paraId="40CFE365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2535E2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2 500</w:t>
            </w:r>
          </w:p>
        </w:tc>
        <w:tc>
          <w:tcPr>
            <w:tcW w:w="0" w:type="auto"/>
          </w:tcPr>
          <w:p w14:paraId="5350BEE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2 500</w:t>
            </w:r>
          </w:p>
        </w:tc>
        <w:tc>
          <w:tcPr>
            <w:tcW w:w="0" w:type="auto"/>
          </w:tcPr>
          <w:p w14:paraId="5BB9C7D1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µs/cm při </w:t>
            </w:r>
          </w:p>
          <w:p w14:paraId="01338A7A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 °C</w:t>
            </w:r>
          </w:p>
        </w:tc>
        <w:tc>
          <w:tcPr>
            <w:tcW w:w="0" w:type="auto"/>
          </w:tcPr>
          <w:p w14:paraId="31540CDD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007E4A04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Pitná voda by neměla být agresivní.</w:t>
            </w:r>
          </w:p>
        </w:tc>
      </w:tr>
      <w:tr w:rsidR="000D12B4" w:rsidRPr="000D12B4" w14:paraId="6F1F628D" w14:textId="77777777" w:rsidTr="005C4563">
        <w:tc>
          <w:tcPr>
            <w:tcW w:w="0" w:type="auto"/>
          </w:tcPr>
          <w:p w14:paraId="3B979EE9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Vůně</w:t>
            </w:r>
          </w:p>
        </w:tc>
        <w:tc>
          <w:tcPr>
            <w:tcW w:w="0" w:type="auto"/>
          </w:tcPr>
          <w:p w14:paraId="42B81E92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C799D48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Čistá</w:t>
            </w:r>
          </w:p>
          <w:p w14:paraId="5093AF9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CC51FC8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Čistá</w:t>
            </w:r>
          </w:p>
          <w:p w14:paraId="41611E4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5D2CBAD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2DC95CC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236B86CE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k monitorování při 20 °C. Důvody abnormálních změn musí být vždy vyšetřeny. Mezní hodnota se použije, pokud jasný cizí zápach ukazuje, že voda je tak znečištěná, že by neměla být používána jako pitná voda.</w:t>
            </w:r>
          </w:p>
        </w:tc>
      </w:tr>
      <w:tr w:rsidR="000D12B4" w:rsidRPr="000D12B4" w14:paraId="33B3905F" w14:textId="77777777" w:rsidTr="005C4563">
        <w:tc>
          <w:tcPr>
            <w:tcW w:w="0" w:type="auto"/>
          </w:tcPr>
          <w:p w14:paraId="2214B3A2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Pomalu se množící bakterie</w:t>
            </w:r>
          </w:p>
        </w:tc>
        <w:tc>
          <w:tcPr>
            <w:tcW w:w="0" w:type="auto"/>
          </w:tcPr>
          <w:p w14:paraId="0F3C23CC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13609B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611EE188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8BEFF83" w14:textId="2A580F08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25D2E0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5BBB18CE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19610F3A" w14:textId="77777777" w:rsidTr="005C4563">
        <w:tc>
          <w:tcPr>
            <w:tcW w:w="0" w:type="auto"/>
          </w:tcPr>
          <w:p w14:paraId="0F938EA7" w14:textId="7724A043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Hořčík</w:t>
            </w:r>
          </w:p>
        </w:tc>
        <w:tc>
          <w:tcPr>
            <w:tcW w:w="0" w:type="auto"/>
          </w:tcPr>
          <w:p w14:paraId="2AD4613B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0A2CFA1" w14:textId="53252D63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0" w:type="auto"/>
          </w:tcPr>
          <w:p w14:paraId="710419FE" w14:textId="06A10D2F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0" w:type="auto"/>
          </w:tcPr>
          <w:p w14:paraId="4566228E" w14:textId="0F6806EA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7A487008" w14:textId="16A8CF10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7FEE9ED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4033EE1D" w14:textId="77777777" w:rsidTr="005C4563">
        <w:tc>
          <w:tcPr>
            <w:tcW w:w="0" w:type="auto"/>
          </w:tcPr>
          <w:p w14:paraId="0AB657D1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Mangan</w:t>
            </w:r>
          </w:p>
        </w:tc>
        <w:tc>
          <w:tcPr>
            <w:tcW w:w="0" w:type="auto"/>
          </w:tcPr>
          <w:p w14:paraId="1053B57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6651CB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0" w:type="auto"/>
          </w:tcPr>
          <w:p w14:paraId="200CC40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0" w:type="auto"/>
          </w:tcPr>
          <w:p w14:paraId="24C8DEB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µg/l</w:t>
            </w:r>
          </w:p>
        </w:tc>
        <w:tc>
          <w:tcPr>
            <w:tcW w:w="0" w:type="auto"/>
          </w:tcPr>
          <w:p w14:paraId="4915DA37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66615CD9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3D555ADC" w14:textId="77777777" w:rsidTr="005C4563">
        <w:tc>
          <w:tcPr>
            <w:tcW w:w="0" w:type="auto"/>
          </w:tcPr>
          <w:p w14:paraId="23429CFD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Mikromycety</w:t>
            </w:r>
          </w:p>
        </w:tc>
        <w:tc>
          <w:tcPr>
            <w:tcW w:w="0" w:type="auto"/>
          </w:tcPr>
          <w:p w14:paraId="4D8D5034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14AC0D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6BD5E6A7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7FE84FD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počet/100 ml</w:t>
            </w:r>
          </w:p>
        </w:tc>
        <w:tc>
          <w:tcPr>
            <w:tcW w:w="0" w:type="auto"/>
          </w:tcPr>
          <w:p w14:paraId="4A409C2D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2BB44204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3FC9F654" w14:textId="77777777" w:rsidTr="005C4563">
        <w:tc>
          <w:tcPr>
            <w:tcW w:w="0" w:type="auto"/>
          </w:tcPr>
          <w:p w14:paraId="0E8B87BC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Sodík</w:t>
            </w:r>
          </w:p>
        </w:tc>
        <w:tc>
          <w:tcPr>
            <w:tcW w:w="0" w:type="auto"/>
          </w:tcPr>
          <w:p w14:paraId="19E2FAA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3B6E42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0A5CC12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0" w:type="auto"/>
          </w:tcPr>
          <w:p w14:paraId="236AEC75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57FDFE92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61C1E7A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2B4" w:rsidRPr="000D12B4" w14:paraId="6BF3D3F1" w14:textId="77777777" w:rsidTr="005C4563">
        <w:tc>
          <w:tcPr>
            <w:tcW w:w="0" w:type="auto"/>
          </w:tcPr>
          <w:p w14:paraId="35766C25" w14:textId="77777777" w:rsidR="00A112E9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Kultivovatelné mikroorganismy při </w:t>
            </w:r>
          </w:p>
          <w:p w14:paraId="41FBBD59" w14:textId="5A70D3B3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22 °C</w:t>
            </w:r>
          </w:p>
        </w:tc>
        <w:tc>
          <w:tcPr>
            <w:tcW w:w="0" w:type="auto"/>
          </w:tcPr>
          <w:p w14:paraId="719BC81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0057DC2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45A53D80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6F352AF8" w14:textId="6F7AE741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5BE61A7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53B543B8" w14:textId="1BEFF6EB" w:rsidR="00EC6D90" w:rsidRPr="000D12B4" w:rsidRDefault="00EC6D90" w:rsidP="005258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Mezní hodnota pro odchozí pitnou vodu se vztahuje na dezinfikovanou pitnou vodu. </w:t>
            </w:r>
          </w:p>
        </w:tc>
      </w:tr>
      <w:tr w:rsidR="000D12B4" w:rsidRPr="000D12B4" w14:paraId="6760B681" w14:textId="77777777" w:rsidTr="005C4563">
        <w:tc>
          <w:tcPr>
            <w:tcW w:w="0" w:type="auto"/>
          </w:tcPr>
          <w:p w14:paraId="0416A630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Oxidovatelnost (permanganátový index)</w:t>
            </w:r>
          </w:p>
        </w:tc>
        <w:tc>
          <w:tcPr>
            <w:tcW w:w="0" w:type="auto"/>
          </w:tcPr>
          <w:p w14:paraId="73F2269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BC0A1E4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0" w:type="auto"/>
          </w:tcPr>
          <w:p w14:paraId="180F72A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0" w:type="auto"/>
          </w:tcPr>
          <w:p w14:paraId="23AF68A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 O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</w:tcPr>
          <w:p w14:paraId="1B4EE101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3C1AB363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nemusí být monitorován, pokud se analyzuje celkový organický uhlík (TOC).</w:t>
            </w:r>
          </w:p>
        </w:tc>
      </w:tr>
      <w:tr w:rsidR="000D12B4" w:rsidRPr="000D12B4" w14:paraId="2A45F4CA" w14:textId="77777777" w:rsidTr="005C4563">
        <w:tc>
          <w:tcPr>
            <w:tcW w:w="0" w:type="auto"/>
          </w:tcPr>
          <w:p w14:paraId="04464F07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Koncentrace vodíkových iontů (pH)</w:t>
            </w:r>
          </w:p>
        </w:tc>
        <w:tc>
          <w:tcPr>
            <w:tcW w:w="0" w:type="auto"/>
          </w:tcPr>
          <w:p w14:paraId="1852830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10,5</w:t>
            </w:r>
          </w:p>
        </w:tc>
        <w:tc>
          <w:tcPr>
            <w:tcW w:w="0" w:type="auto"/>
          </w:tcPr>
          <w:p w14:paraId="307A7CD0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≥ 6,5 a ≤ 9,5</w:t>
            </w:r>
          </w:p>
        </w:tc>
        <w:tc>
          <w:tcPr>
            <w:tcW w:w="0" w:type="auto"/>
          </w:tcPr>
          <w:p w14:paraId="6613116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≥ 6,5 a ≤ 9,5</w:t>
            </w:r>
          </w:p>
        </w:tc>
        <w:tc>
          <w:tcPr>
            <w:tcW w:w="0" w:type="auto"/>
          </w:tcPr>
          <w:p w14:paraId="048F6E18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jednotky pH</w:t>
            </w:r>
          </w:p>
        </w:tc>
        <w:tc>
          <w:tcPr>
            <w:tcW w:w="0" w:type="auto"/>
          </w:tcPr>
          <w:p w14:paraId="0D7F41C0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660A0A9C" w14:textId="03E69327" w:rsidR="00EC6D90" w:rsidRPr="000D12B4" w:rsidRDefault="00EC6D90" w:rsidP="005B1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Pitná voda by neměla být agresivní. U nesycené pitné vody stáčené do lahví nebo nádob může být minimální hodnota snížena na 4,5 pH jednotek. U pitné vody stáčené do lahví nebo nádob a přirozeně bohaté nebo uměle obohacené oxidem uhličitým může být minimální hodnota nižší. Použije se mezní hodnota pro výstupní pitnou vodu, pokud je úprava pH zahrnuta do úpravy.</w:t>
            </w:r>
          </w:p>
        </w:tc>
      </w:tr>
      <w:tr w:rsidR="000D12B4" w:rsidRPr="000D12B4" w14:paraId="335FBB8F" w14:textId="77777777" w:rsidTr="005C4563">
        <w:tc>
          <w:tcPr>
            <w:tcW w:w="0" w:type="auto"/>
          </w:tcPr>
          <w:p w14:paraId="58CCB55C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Chuť</w:t>
            </w:r>
          </w:p>
        </w:tc>
        <w:tc>
          <w:tcPr>
            <w:tcW w:w="0" w:type="auto"/>
          </w:tcPr>
          <w:p w14:paraId="40566B4E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E5F63DB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Čistá</w:t>
            </w:r>
          </w:p>
          <w:p w14:paraId="3C869E34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36FFBF9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Čistá</w:t>
            </w:r>
          </w:p>
          <w:p w14:paraId="4A223315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D0E8C3D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226D14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363892AD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Mezní hodnota se vztahuje k monitorování při 20°C. Důvody abnormálních změn musí být vždy vyšetřeny. Mezní hodnota se použije, pokud jasná cizí chuť ukazuje, že voda je tak znečištěná, že by neměla být používána jako pitná voda.</w:t>
            </w:r>
          </w:p>
        </w:tc>
      </w:tr>
      <w:tr w:rsidR="000D12B4" w:rsidRPr="000D12B4" w14:paraId="64A2A307" w14:textId="77777777" w:rsidTr="005C4563">
        <w:tc>
          <w:tcPr>
            <w:tcW w:w="0" w:type="auto"/>
          </w:tcPr>
          <w:p w14:paraId="7AAB2613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Síran</w:t>
            </w:r>
          </w:p>
        </w:tc>
        <w:tc>
          <w:tcPr>
            <w:tcW w:w="0" w:type="auto"/>
          </w:tcPr>
          <w:p w14:paraId="12E0B1E6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11575EF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250</w:t>
            </w:r>
          </w:p>
        </w:tc>
        <w:tc>
          <w:tcPr>
            <w:tcW w:w="0" w:type="auto"/>
          </w:tcPr>
          <w:p w14:paraId="3F5A2033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250</w:t>
            </w:r>
          </w:p>
        </w:tc>
        <w:tc>
          <w:tcPr>
            <w:tcW w:w="0" w:type="auto"/>
          </w:tcPr>
          <w:p w14:paraId="7F921E37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mg/l</w:t>
            </w:r>
          </w:p>
        </w:tc>
        <w:tc>
          <w:tcPr>
            <w:tcW w:w="0" w:type="auto"/>
          </w:tcPr>
          <w:p w14:paraId="239E0E15" w14:textId="77777777" w:rsidR="00EC6D90" w:rsidRPr="000D12B4" w:rsidRDefault="00EC6D90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018EF6E7" w14:textId="77777777" w:rsidR="00EC6D90" w:rsidRPr="000D12B4" w:rsidRDefault="00EC6D90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Pitná voda by neměla být žíravá.</w:t>
            </w:r>
          </w:p>
        </w:tc>
      </w:tr>
      <w:tr w:rsidR="000D12B4" w:rsidRPr="000D12B4" w14:paraId="04473453" w14:textId="77777777" w:rsidTr="005C4563">
        <w:tc>
          <w:tcPr>
            <w:tcW w:w="0" w:type="auto"/>
          </w:tcPr>
          <w:p w14:paraId="5D6C73DE" w14:textId="549EE62A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Celková alfa aktivita</w:t>
            </w:r>
          </w:p>
        </w:tc>
        <w:tc>
          <w:tcPr>
            <w:tcW w:w="0" w:type="auto"/>
          </w:tcPr>
          <w:p w14:paraId="24A5FE4A" w14:textId="7777777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F193347" w14:textId="203FC042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54D0EED4" w14:textId="63D61BDC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0,10</w:t>
            </w:r>
          </w:p>
        </w:tc>
        <w:tc>
          <w:tcPr>
            <w:tcW w:w="0" w:type="auto"/>
          </w:tcPr>
          <w:p w14:paraId="6E671228" w14:textId="4154022E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Bq/l</w:t>
            </w:r>
          </w:p>
        </w:tc>
        <w:tc>
          <w:tcPr>
            <w:tcW w:w="0" w:type="auto"/>
          </w:tcPr>
          <w:p w14:paraId="03306BE4" w14:textId="4C16FADB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73A7B7E8" w14:textId="4988DA54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Ukazatel je třeba sledovat pouze tehdy, pokud pitná voda pochází z podzemních vod, podzemních vod zasažených povrchovými vodami nebo pokud existuje zdroj tritia, který lze přičíst lidské činnosti (zdroj antropogenního tritia) nebo zdroj jiných umělých radionuklidů ve spádové oblasti. Je-li mezní hodnota </w:t>
            </w:r>
            <w:r>
              <w:rPr>
                <w:rFonts w:ascii="Times New Roman" w:hAnsi="Times New Roman"/>
                <w:sz w:val="22"/>
              </w:rPr>
              <w:lastRenderedPageBreak/>
              <w:t>překročena, musí být dodrženy podmínky stanovené v dodatku 3 oddílu D.</w:t>
            </w:r>
          </w:p>
        </w:tc>
      </w:tr>
      <w:tr w:rsidR="000D12B4" w:rsidRPr="000D12B4" w14:paraId="131AA44B" w14:textId="77777777" w:rsidTr="005C4563">
        <w:tc>
          <w:tcPr>
            <w:tcW w:w="0" w:type="auto"/>
          </w:tcPr>
          <w:p w14:paraId="6CF7B0A0" w14:textId="467379F7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Celková aktivita beta</w:t>
            </w:r>
          </w:p>
        </w:tc>
        <w:tc>
          <w:tcPr>
            <w:tcW w:w="0" w:type="auto"/>
          </w:tcPr>
          <w:p w14:paraId="753FDA97" w14:textId="7777777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1C56C" w14:textId="671A600E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0" w:type="auto"/>
          </w:tcPr>
          <w:p w14:paraId="17EF8FBC" w14:textId="21C59856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1,0</w:t>
            </w:r>
          </w:p>
        </w:tc>
        <w:tc>
          <w:tcPr>
            <w:tcW w:w="0" w:type="auto"/>
          </w:tcPr>
          <w:p w14:paraId="5C69EE6B" w14:textId="5C5AC0C0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Bq/l</w:t>
            </w:r>
          </w:p>
        </w:tc>
        <w:tc>
          <w:tcPr>
            <w:tcW w:w="0" w:type="auto"/>
          </w:tcPr>
          <w:p w14:paraId="66EC77E1" w14:textId="2E509638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18BFD9FE" w14:textId="03CA13D0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je třeba sledovat pouze v případě, že pitná voda pochází z podzemních vod, podzemních vod zasažených povrchovými vodami nebo pokud existuje zdroj tritia, který lze přičíst lidské činnosti (zdroj antropogenního tritia) nebo zdroj jiných umělých radionuklidů ve spádové oblasti. Je-li mezní hodnota překročena, musí být dodrženy podmínky stanovené v dodatku 3 oddílu D.</w:t>
            </w:r>
          </w:p>
        </w:tc>
      </w:tr>
      <w:tr w:rsidR="000D12B4" w:rsidRPr="000D12B4" w14:paraId="179494F7" w14:textId="77777777" w:rsidTr="005C4563">
        <w:tc>
          <w:tcPr>
            <w:tcW w:w="0" w:type="auto"/>
          </w:tcPr>
          <w:p w14:paraId="57312B44" w14:textId="5617B2FC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Celkový organický uhlík (TOC)</w:t>
            </w:r>
          </w:p>
        </w:tc>
        <w:tc>
          <w:tcPr>
            <w:tcW w:w="0" w:type="auto"/>
          </w:tcPr>
          <w:p w14:paraId="1455C3D9" w14:textId="7777777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9470C29" w14:textId="096265A5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75AA60CD" w14:textId="26C7D9FA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Žádné abnormální změny</w:t>
            </w:r>
          </w:p>
        </w:tc>
        <w:tc>
          <w:tcPr>
            <w:tcW w:w="0" w:type="auto"/>
          </w:tcPr>
          <w:p w14:paraId="2450857F" w14:textId="7777777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1E17B4" w14:textId="3EF4E2E5" w:rsidR="005B00BD" w:rsidRPr="000D12B4" w:rsidRDefault="00527E06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5D802191" w14:textId="3252F846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Parametr nemusí být monitorován u dodávek vody s méně než 10 000 m</w:t>
            </w:r>
            <w:r>
              <w:rPr>
                <w:rFonts w:ascii="Times New Roman" w:hAnsi="Times New Roman"/>
                <w:sz w:val="22"/>
                <w:vertAlign w:val="superscript"/>
              </w:rPr>
              <w:t>3</w:t>
            </w:r>
            <w:r>
              <w:rPr>
                <w:rFonts w:ascii="Times New Roman" w:hAnsi="Times New Roman"/>
                <w:sz w:val="22"/>
              </w:rPr>
              <w:t>/den.</w:t>
            </w:r>
          </w:p>
        </w:tc>
      </w:tr>
      <w:tr w:rsidR="000D12B4" w:rsidRPr="000D12B4" w14:paraId="1E0D74B3" w14:textId="77777777" w:rsidTr="005C4563">
        <w:tc>
          <w:tcPr>
            <w:tcW w:w="0" w:type="auto"/>
          </w:tcPr>
          <w:p w14:paraId="660A6B0B" w14:textId="22BA9981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Tritium</w:t>
            </w:r>
          </w:p>
        </w:tc>
        <w:tc>
          <w:tcPr>
            <w:tcW w:w="0" w:type="auto"/>
          </w:tcPr>
          <w:p w14:paraId="38B96E32" w14:textId="7777777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CC54EE7" w14:textId="185228D6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7870CC7B" w14:textId="5641F3B7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0" w:type="auto"/>
          </w:tcPr>
          <w:p w14:paraId="1A617F59" w14:textId="76A32498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Bq/l</w:t>
            </w:r>
          </w:p>
        </w:tc>
        <w:tc>
          <w:tcPr>
            <w:tcW w:w="0" w:type="auto"/>
          </w:tcPr>
          <w:p w14:paraId="295F4C21" w14:textId="12C51DF3" w:rsidR="005B00BD" w:rsidRPr="000D12B4" w:rsidRDefault="005B00BD" w:rsidP="00EC6D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</w:p>
        </w:tc>
        <w:tc>
          <w:tcPr>
            <w:tcW w:w="0" w:type="auto"/>
          </w:tcPr>
          <w:p w14:paraId="47F85CD0" w14:textId="2FC19BD9" w:rsidR="005B00BD" w:rsidRPr="000D12B4" w:rsidRDefault="005B00BD" w:rsidP="00EC6D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Ukazatel je třeba sledovat pouze v případě, že ve spádové oblasti existuje antropogenní zdroj tritia. Je-li mezní hodnota překročena, musí být dodrženy podmínky stanovené v dodatku 3 oddílu D.</w:t>
            </w:r>
          </w:p>
        </w:tc>
      </w:tr>
      <w:tr w:rsidR="000D12B4" w:rsidRPr="000D12B4" w14:paraId="547EEDDD" w14:textId="77777777" w:rsidTr="005C4563">
        <w:tc>
          <w:tcPr>
            <w:tcW w:w="0" w:type="auto"/>
          </w:tcPr>
          <w:p w14:paraId="0009434B" w14:textId="2FB3CCC6" w:rsidR="005B00BD" w:rsidRPr="000D12B4" w:rsidRDefault="005B00BD" w:rsidP="005B00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Zákal</w:t>
            </w:r>
          </w:p>
        </w:tc>
        <w:tc>
          <w:tcPr>
            <w:tcW w:w="0" w:type="auto"/>
          </w:tcPr>
          <w:p w14:paraId="7E673835" w14:textId="7C8B4696" w:rsidR="005B00BD" w:rsidRPr="000D12B4" w:rsidRDefault="005B00BD" w:rsidP="005B00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0,5</w:t>
            </w:r>
          </w:p>
        </w:tc>
        <w:tc>
          <w:tcPr>
            <w:tcW w:w="0" w:type="auto"/>
          </w:tcPr>
          <w:p w14:paraId="58E450A6" w14:textId="5B9013B5" w:rsidR="005B00BD" w:rsidRPr="000D12B4" w:rsidRDefault="005B00BD" w:rsidP="005B00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0" w:type="auto"/>
          </w:tcPr>
          <w:p w14:paraId="49F6E079" w14:textId="21681665" w:rsidR="005B00BD" w:rsidRPr="000D12B4" w:rsidRDefault="005B00BD" w:rsidP="005B00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0" w:type="auto"/>
          </w:tcPr>
          <w:p w14:paraId="1F0E5894" w14:textId="51362CD1" w:rsidR="005B00BD" w:rsidRPr="000D12B4" w:rsidRDefault="005B00BD" w:rsidP="00773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FNU/ FTU/ NTU</w:t>
            </w:r>
          </w:p>
        </w:tc>
        <w:tc>
          <w:tcPr>
            <w:tcW w:w="0" w:type="auto"/>
          </w:tcPr>
          <w:p w14:paraId="0468D859" w14:textId="557BA9A8" w:rsidR="005B00BD" w:rsidRPr="000D12B4" w:rsidRDefault="005B00BD" w:rsidP="005B00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 a B</w:t>
            </w:r>
          </w:p>
        </w:tc>
        <w:tc>
          <w:tcPr>
            <w:tcW w:w="0" w:type="auto"/>
          </w:tcPr>
          <w:p w14:paraId="454072BF" w14:textId="3E8BCC64" w:rsidR="005B00BD" w:rsidRPr="000D12B4" w:rsidRDefault="005B00BD" w:rsidP="005B00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Příčina abnormálních změn musí být vždy vyšetřena.</w:t>
            </w:r>
          </w:p>
        </w:tc>
      </w:tr>
    </w:tbl>
    <w:p w14:paraId="1757FDAB" w14:textId="581845B5" w:rsidR="007F063A" w:rsidRPr="000D12B4" w:rsidRDefault="007F063A">
      <w:pPr>
        <w:tabs>
          <w:tab w:val="clear" w:pos="283"/>
        </w:tabs>
      </w:pPr>
      <w:r>
        <w:br w:type="page"/>
      </w:r>
    </w:p>
    <w:p w14:paraId="68D1E268" w14:textId="6FAC3069" w:rsidR="008839CB" w:rsidRPr="000D12B4" w:rsidRDefault="008839CB" w:rsidP="00173D26">
      <w:pPr>
        <w:sectPr w:rsidR="008839CB" w:rsidRPr="000D12B4" w:rsidSect="00225F23">
          <w:pgSz w:w="16838" w:h="11906" w:orient="landscape" w:code="9"/>
          <w:pgMar w:top="1701" w:right="1259" w:bottom="1134" w:left="1361" w:header="709" w:footer="709" w:gutter="0"/>
          <w:cols w:space="708"/>
          <w:docGrid w:linePitch="381"/>
        </w:sectPr>
      </w:pPr>
    </w:p>
    <w:p w14:paraId="40C1E15F" w14:textId="4F707896" w:rsidR="008839CB" w:rsidRPr="000D12B4" w:rsidRDefault="008839CB" w:rsidP="008839CB">
      <w:pPr>
        <w:jc w:val="right"/>
        <w:rPr>
          <w:i/>
        </w:rPr>
      </w:pPr>
      <w:r>
        <w:rPr>
          <w:i/>
        </w:rPr>
        <w:lastRenderedPageBreak/>
        <w:t>Dodatek 2</w:t>
      </w:r>
    </w:p>
    <w:p w14:paraId="68EFBE85" w14:textId="57C05BE6" w:rsidR="008839CB" w:rsidRPr="000D12B4" w:rsidRDefault="008839CB" w:rsidP="008839CB">
      <w:pPr>
        <w:jc w:val="right"/>
      </w:pPr>
      <w:r>
        <w:t>(k LIVSFS 2022:12)</w:t>
      </w:r>
    </w:p>
    <w:p w14:paraId="7DC31FB6" w14:textId="7645A956" w:rsidR="001B3500" w:rsidRPr="000D12B4" w:rsidRDefault="001B3500" w:rsidP="008839CB">
      <w:pPr>
        <w:jc w:val="right"/>
      </w:pPr>
    </w:p>
    <w:p w14:paraId="28C35CA8" w14:textId="2941A1CC" w:rsidR="001B3500" w:rsidRPr="000D12B4" w:rsidRDefault="0069693F" w:rsidP="00AA48DC">
      <w:pPr>
        <w:pStyle w:val="Heading1"/>
      </w:pPr>
      <w:r>
        <w:t>Chemické látky pro úpravu vody určené k lidské spotřebě v souladu s oddílem 16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4747"/>
      </w:tblGrid>
      <w:tr w:rsidR="000D12B4" w:rsidRPr="000D12B4" w14:paraId="347C8078" w14:textId="77777777" w:rsidTr="00AF01AF">
        <w:trPr>
          <w:cantSplit/>
          <w:tblHeader/>
        </w:trPr>
        <w:tc>
          <w:tcPr>
            <w:tcW w:w="4395" w:type="dxa"/>
            <w:shd w:val="clear" w:color="auto" w:fill="F2F2F2" w:themeFill="background1" w:themeFillShade="F2"/>
          </w:tcPr>
          <w:p w14:paraId="69C6592B" w14:textId="44090840" w:rsidR="001B3500" w:rsidRPr="000D12B4" w:rsidRDefault="0069693F" w:rsidP="00101D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Chemické látky a jejich účely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7957B30A" w14:textId="77777777" w:rsidR="001B3500" w:rsidRPr="000D12B4" w:rsidRDefault="001B3500" w:rsidP="00101D43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Podmínky</w:t>
            </w:r>
          </w:p>
        </w:tc>
      </w:tr>
      <w:tr w:rsidR="000D12B4" w:rsidRPr="000D12B4" w14:paraId="148B4054" w14:textId="77777777" w:rsidTr="00AF01AF">
        <w:trPr>
          <w:cantSplit/>
        </w:trPr>
        <w:tc>
          <w:tcPr>
            <w:tcW w:w="4395" w:type="dxa"/>
          </w:tcPr>
          <w:p w14:paraId="27593C8F" w14:textId="77777777" w:rsidR="001B3500" w:rsidRPr="000D12B4" w:rsidRDefault="001B3500" w:rsidP="00F70E3E">
            <w:pPr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Pro inhibici povlaku před membránami reverzní osmózy</w:t>
            </w:r>
          </w:p>
        </w:tc>
        <w:tc>
          <w:tcPr>
            <w:tcW w:w="4747" w:type="dxa"/>
          </w:tcPr>
          <w:p w14:paraId="2574FFEF" w14:textId="77777777" w:rsidR="001B3500" w:rsidRPr="000D12B4" w:rsidRDefault="001B3500" w:rsidP="002750B0">
            <w:pPr>
              <w:tabs>
                <w:tab w:val="clear" w:pos="283"/>
              </w:tabs>
              <w:ind w:left="28"/>
              <w:rPr>
                <w:sz w:val="22"/>
                <w:szCs w:val="22"/>
              </w:rPr>
            </w:pPr>
          </w:p>
        </w:tc>
      </w:tr>
      <w:tr w:rsidR="000D12B4" w:rsidRPr="000D12B4" w14:paraId="50B85CCE" w14:textId="77777777" w:rsidTr="00AF01AF">
        <w:trPr>
          <w:cantSplit/>
        </w:trPr>
        <w:tc>
          <w:tcPr>
            <w:tcW w:w="4395" w:type="dxa"/>
          </w:tcPr>
          <w:p w14:paraId="3D2F9B73" w14:textId="57195EF4" w:rsidR="001B3500" w:rsidRPr="000D12B4" w:rsidRDefault="001B3500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„Ameroyal 363“</w:t>
            </w:r>
            <w:r>
              <w:rPr>
                <w:sz w:val="22"/>
                <w:u w:val="single"/>
              </w:rPr>
              <w:t xml:space="preserve"> </w:t>
            </w:r>
          </w:p>
          <w:p w14:paraId="6807CF83" w14:textId="77777777" w:rsidR="001B3500" w:rsidRPr="000D12B4" w:rsidRDefault="001B3500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„Ameroyal 642“</w:t>
            </w:r>
          </w:p>
          <w:p w14:paraId="666B68CF" w14:textId="39BC6913" w:rsidR="006D60DF" w:rsidRPr="000D12B4" w:rsidRDefault="006D60DF" w:rsidP="002750B0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Přípravek „Ameroyal 710“</w:t>
            </w:r>
          </w:p>
        </w:tc>
        <w:tc>
          <w:tcPr>
            <w:tcW w:w="4747" w:type="dxa"/>
          </w:tcPr>
          <w:p w14:paraId="41A0CBD4" w14:textId="44910FD8" w:rsidR="001B3500" w:rsidRPr="000D12B4" w:rsidRDefault="001B3500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43AB0086" w14:textId="77777777" w:rsidTr="00AF01AF">
        <w:trPr>
          <w:cantSplit/>
        </w:trPr>
        <w:tc>
          <w:tcPr>
            <w:tcW w:w="4395" w:type="dxa"/>
          </w:tcPr>
          <w:p w14:paraId="08B04454" w14:textId="7C328C47" w:rsidR="001B3500" w:rsidRPr="00791468" w:rsidRDefault="001B3500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„Kemguard 5800“</w:t>
            </w:r>
            <w:r>
              <w:rPr>
                <w:sz w:val="22"/>
                <w:u w:val="single"/>
              </w:rPr>
              <w:t xml:space="preserve"> </w:t>
            </w:r>
          </w:p>
          <w:p w14:paraId="6D3A040F" w14:textId="77777777" w:rsidR="001B3500" w:rsidRPr="00791468" w:rsidRDefault="001B3500" w:rsidP="002750B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Přípravek „Kemguard 5802E“</w:t>
            </w:r>
          </w:p>
        </w:tc>
        <w:tc>
          <w:tcPr>
            <w:tcW w:w="4747" w:type="dxa"/>
          </w:tcPr>
          <w:p w14:paraId="65BAA078" w14:textId="5DCE7808" w:rsidR="001B3500" w:rsidRPr="000D12B4" w:rsidRDefault="001B3500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1AB1862A" w14:textId="77777777" w:rsidTr="00AF01AF">
        <w:trPr>
          <w:cantSplit/>
        </w:trPr>
        <w:tc>
          <w:tcPr>
            <w:tcW w:w="4395" w:type="dxa"/>
          </w:tcPr>
          <w:p w14:paraId="0B7FB783" w14:textId="1A0391C8" w:rsidR="00857263" w:rsidRPr="000D12B4" w:rsidRDefault="00857263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</w:t>
            </w:r>
            <w:r>
              <w:t xml:space="preserve"> </w:t>
            </w:r>
            <w:r>
              <w:rPr>
                <w:sz w:val="22"/>
              </w:rPr>
              <w:t>Vitec 1141“</w:t>
            </w:r>
          </w:p>
        </w:tc>
        <w:tc>
          <w:tcPr>
            <w:tcW w:w="4747" w:type="dxa"/>
          </w:tcPr>
          <w:p w14:paraId="3DAFC1FB" w14:textId="290DA692" w:rsidR="00857263" w:rsidRPr="000D12B4" w:rsidRDefault="00857263" w:rsidP="002750B0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1EDE1CC8" w14:textId="77777777" w:rsidTr="00AF01AF">
        <w:trPr>
          <w:cantSplit/>
        </w:trPr>
        <w:tc>
          <w:tcPr>
            <w:tcW w:w="4395" w:type="dxa"/>
          </w:tcPr>
          <w:p w14:paraId="123FE1DC" w14:textId="77777777" w:rsidR="001B3500" w:rsidRPr="000D12B4" w:rsidRDefault="001B3500" w:rsidP="00F70E3E">
            <w:pPr>
              <w:spacing w:before="240" w:after="240"/>
              <w:rPr>
                <w:i/>
                <w:noProof/>
                <w:sz w:val="22"/>
                <w:szCs w:val="22"/>
              </w:rPr>
            </w:pPr>
            <w:r>
              <w:rPr>
                <w:i/>
                <w:sz w:val="22"/>
              </w:rPr>
              <w:t>Pro inhibici povlaku před nanofiltrací</w:t>
            </w:r>
          </w:p>
        </w:tc>
        <w:tc>
          <w:tcPr>
            <w:tcW w:w="4747" w:type="dxa"/>
          </w:tcPr>
          <w:p w14:paraId="37C86BD8" w14:textId="77777777" w:rsidR="001B3500" w:rsidRPr="000D12B4" w:rsidRDefault="001B3500" w:rsidP="002750B0">
            <w:pPr>
              <w:rPr>
                <w:bCs/>
                <w:sz w:val="22"/>
                <w:szCs w:val="22"/>
              </w:rPr>
            </w:pPr>
          </w:p>
        </w:tc>
      </w:tr>
      <w:tr w:rsidR="000D12B4" w:rsidRPr="000D12B4" w14:paraId="4D9946F2" w14:textId="77777777" w:rsidTr="00AF01AF">
        <w:trPr>
          <w:cantSplit/>
        </w:trPr>
        <w:tc>
          <w:tcPr>
            <w:tcW w:w="4395" w:type="dxa"/>
          </w:tcPr>
          <w:p w14:paraId="18D7848D" w14:textId="77777777" w:rsidR="001B3500" w:rsidRPr="000D12B4" w:rsidRDefault="001B3500" w:rsidP="002750B0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Přípravek „Ameroyal 363“</w:t>
            </w:r>
            <w:r>
              <w:rPr>
                <w:sz w:val="22"/>
                <w:u w:val="single"/>
              </w:rPr>
              <w:t xml:space="preserve"> </w:t>
            </w:r>
          </w:p>
          <w:p w14:paraId="4A02D9EE" w14:textId="649774B0" w:rsidR="006D60DF" w:rsidRPr="000D12B4" w:rsidRDefault="006D60DF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„Ameroyal 710“</w:t>
            </w:r>
          </w:p>
        </w:tc>
        <w:tc>
          <w:tcPr>
            <w:tcW w:w="4747" w:type="dxa"/>
          </w:tcPr>
          <w:p w14:paraId="6A6F5EEB" w14:textId="4C3720DE" w:rsidR="001B3500" w:rsidRPr="000D12B4" w:rsidRDefault="001B3500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536738B0" w14:textId="77777777" w:rsidTr="00AF01AF">
        <w:trPr>
          <w:cantSplit/>
        </w:trPr>
        <w:tc>
          <w:tcPr>
            <w:tcW w:w="4395" w:type="dxa"/>
          </w:tcPr>
          <w:p w14:paraId="2151C746" w14:textId="26F012BD" w:rsidR="001B3500" w:rsidRPr="00791468" w:rsidRDefault="001B3500" w:rsidP="002750B0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„Kemguard 5800“</w:t>
            </w:r>
            <w:r>
              <w:rPr>
                <w:sz w:val="22"/>
                <w:u w:val="single"/>
              </w:rPr>
              <w:t xml:space="preserve"> </w:t>
            </w:r>
          </w:p>
          <w:p w14:paraId="59569C59" w14:textId="77777777" w:rsidR="001B3500" w:rsidRPr="00791468" w:rsidRDefault="001B3500" w:rsidP="002750B0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>
              <w:rPr>
                <w:sz w:val="22"/>
              </w:rPr>
              <w:t>Přípravek „Kemguard 5802E“</w:t>
            </w:r>
          </w:p>
        </w:tc>
        <w:tc>
          <w:tcPr>
            <w:tcW w:w="4747" w:type="dxa"/>
          </w:tcPr>
          <w:p w14:paraId="6AB8ECF4" w14:textId="1828DC11" w:rsidR="001B3500" w:rsidRPr="000D12B4" w:rsidRDefault="001B3500" w:rsidP="002750B0">
            <w:pPr>
              <w:tabs>
                <w:tab w:val="clear" w:pos="283"/>
              </w:tabs>
              <w:rPr>
                <w:bCs/>
                <w:sz w:val="22"/>
                <w:szCs w:val="22"/>
                <w:vertAlign w:val="superscript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5365E5AD" w14:textId="77777777" w:rsidTr="00AF01AF">
        <w:trPr>
          <w:cantSplit/>
        </w:trPr>
        <w:tc>
          <w:tcPr>
            <w:tcW w:w="4395" w:type="dxa"/>
          </w:tcPr>
          <w:p w14:paraId="6AD2BB00" w14:textId="09404536" w:rsidR="00B846E8" w:rsidRPr="000D12B4" w:rsidRDefault="00B846E8" w:rsidP="00B846E8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</w:t>
            </w:r>
            <w:r>
              <w:t xml:space="preserve"> </w:t>
            </w:r>
            <w:r>
              <w:rPr>
                <w:sz w:val="22"/>
              </w:rPr>
              <w:t>Vitec 1141“</w:t>
            </w:r>
          </w:p>
        </w:tc>
        <w:tc>
          <w:tcPr>
            <w:tcW w:w="4747" w:type="dxa"/>
          </w:tcPr>
          <w:p w14:paraId="315CE264" w14:textId="3210C6B1" w:rsidR="00B846E8" w:rsidRPr="000D12B4" w:rsidRDefault="00B846E8" w:rsidP="00B846E8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2A123547" w14:textId="77777777" w:rsidTr="00AF01AF">
        <w:trPr>
          <w:cantSplit/>
        </w:trPr>
        <w:tc>
          <w:tcPr>
            <w:tcW w:w="4395" w:type="dxa"/>
          </w:tcPr>
          <w:p w14:paraId="39F68EEE" w14:textId="77777777" w:rsidR="00B846E8" w:rsidRPr="000D12B4" w:rsidRDefault="00B846E8" w:rsidP="00B846E8">
            <w:pPr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Pro dezinfekci a oxidaci</w:t>
            </w:r>
          </w:p>
        </w:tc>
        <w:tc>
          <w:tcPr>
            <w:tcW w:w="4747" w:type="dxa"/>
          </w:tcPr>
          <w:p w14:paraId="42D615E1" w14:textId="77777777" w:rsidR="00B846E8" w:rsidRPr="000D12B4" w:rsidRDefault="00B846E8" w:rsidP="00B846E8">
            <w:pPr>
              <w:tabs>
                <w:tab w:val="clear" w:pos="283"/>
              </w:tabs>
              <w:spacing w:before="120" w:after="60"/>
              <w:ind w:left="30"/>
              <w:jc w:val="center"/>
              <w:rPr>
                <w:sz w:val="22"/>
                <w:szCs w:val="22"/>
              </w:rPr>
            </w:pPr>
          </w:p>
        </w:tc>
      </w:tr>
      <w:tr w:rsidR="000D12B4" w:rsidRPr="000D12B4" w14:paraId="76C31FCA" w14:textId="77777777" w:rsidTr="00AF01AF">
        <w:trPr>
          <w:cantSplit/>
        </w:trPr>
        <w:tc>
          <w:tcPr>
            <w:tcW w:w="4395" w:type="dxa"/>
          </w:tcPr>
          <w:p w14:paraId="6731E1C9" w14:textId="77777777" w:rsidR="00B846E8" w:rsidRPr="007B482C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Chlornan vápenatý</w:t>
            </w:r>
          </w:p>
          <w:p w14:paraId="614D595C" w14:textId="656398C5" w:rsidR="00B846E8" w:rsidRPr="007B482C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</w:t>
            </w:r>
          </w:p>
          <w:p w14:paraId="1792A4C9" w14:textId="55365690" w:rsidR="00B846E8" w:rsidRPr="007B482C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Chlornan sodný</w:t>
            </w:r>
          </w:p>
        </w:tc>
        <w:tc>
          <w:tcPr>
            <w:tcW w:w="4747" w:type="dxa"/>
          </w:tcPr>
          <w:p w14:paraId="6FC86B23" w14:textId="5896EED4" w:rsidR="00B846E8" w:rsidRPr="000D12B4" w:rsidRDefault="00B846E8" w:rsidP="00B846E8">
            <w:pPr>
              <w:tabs>
                <w:tab w:val="clear" w:pos="283"/>
              </w:tabs>
              <w:spacing w:before="40" w:after="60"/>
              <w:ind w:left="30"/>
              <w:rPr>
                <w:sz w:val="22"/>
                <w:szCs w:val="22"/>
              </w:rPr>
            </w:pPr>
            <w:r>
              <w:rPr>
                <w:sz w:val="22"/>
              </w:rPr>
              <w:t>Dávka nesmí za normálních okolností překročit 1,0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, počítáno jako Cl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, pokud neexistuje zvláštní postup pro redukci sloučenin chloru.</w:t>
            </w:r>
          </w:p>
        </w:tc>
      </w:tr>
      <w:tr w:rsidR="000D12B4" w:rsidRPr="000D12B4" w14:paraId="16841E22" w14:textId="77777777" w:rsidTr="00AF01AF">
        <w:trPr>
          <w:cantSplit/>
        </w:trPr>
        <w:tc>
          <w:tcPr>
            <w:tcW w:w="4395" w:type="dxa"/>
          </w:tcPr>
          <w:p w14:paraId="36A76ED0" w14:textId="1A82F9A5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Oxid chloričitý </w:t>
            </w:r>
          </w:p>
        </w:tc>
        <w:tc>
          <w:tcPr>
            <w:tcW w:w="4747" w:type="dxa"/>
          </w:tcPr>
          <w:p w14:paraId="5052E0BA" w14:textId="17EB26D3" w:rsidR="00B846E8" w:rsidRPr="000D12B4" w:rsidRDefault="00B846E8" w:rsidP="00B846E8">
            <w:pPr>
              <w:tabs>
                <w:tab w:val="clear" w:pos="283"/>
              </w:tabs>
              <w:spacing w:before="40" w:after="60"/>
              <w:ind w:left="30"/>
              <w:rPr>
                <w:sz w:val="22"/>
                <w:szCs w:val="22"/>
              </w:rPr>
            </w:pPr>
            <w:r>
              <w:rPr>
                <w:sz w:val="22"/>
              </w:rPr>
              <w:t>Dávkování chloridu sodného (NaClO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 a chlorátu sodného (NaClO</w:t>
            </w:r>
            <w:r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 pro výrobu oxidu chloričitého nesmí za normálních okolností překročit 0,7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, pokud neexistuje zvláštní postup pro redukci sloučenin chloru.</w:t>
            </w:r>
          </w:p>
        </w:tc>
      </w:tr>
      <w:tr w:rsidR="000D12B4" w:rsidRPr="000D12B4" w14:paraId="27EE7F6D" w14:textId="77777777" w:rsidTr="00AF01AF">
        <w:trPr>
          <w:cantSplit/>
        </w:trPr>
        <w:tc>
          <w:tcPr>
            <w:tcW w:w="4395" w:type="dxa"/>
          </w:tcPr>
          <w:p w14:paraId="6584BAAB" w14:textId="42033F72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Manganistan draselný</w:t>
            </w:r>
          </w:p>
        </w:tc>
        <w:tc>
          <w:tcPr>
            <w:tcW w:w="4747" w:type="dxa"/>
          </w:tcPr>
          <w:p w14:paraId="2FFA146E" w14:textId="43BB593C" w:rsidR="00F76876" w:rsidRPr="000D12B4" w:rsidRDefault="00B846E8" w:rsidP="00F76876">
            <w:pPr>
              <w:tabs>
                <w:tab w:val="clear" w:pos="283"/>
                <w:tab w:val="left" w:pos="1134"/>
                <w:tab w:val="left" w:pos="3402"/>
                <w:tab w:val="center" w:pos="4819"/>
                <w:tab w:val="right" w:pos="9071"/>
              </w:tabs>
              <w:spacing w:before="40" w:after="60"/>
              <w:ind w:left="30"/>
              <w:rPr>
                <w:sz w:val="22"/>
                <w:szCs w:val="22"/>
              </w:rPr>
            </w:pPr>
            <w:r>
              <w:rPr>
                <w:sz w:val="22"/>
              </w:rPr>
              <w:t>Pouze pro oxidaci.</w:t>
            </w:r>
          </w:p>
        </w:tc>
      </w:tr>
      <w:tr w:rsidR="000D12B4" w:rsidRPr="000D12B4" w14:paraId="667C2ECF" w14:textId="77777777" w:rsidTr="00AF01AF">
        <w:trPr>
          <w:cantSplit/>
        </w:trPr>
        <w:tc>
          <w:tcPr>
            <w:tcW w:w="4395" w:type="dxa"/>
          </w:tcPr>
          <w:p w14:paraId="261E53C1" w14:textId="19AE6681" w:rsidR="00F76876" w:rsidRPr="000D12B4" w:rsidRDefault="00F76876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Chlorid sodný</w:t>
            </w:r>
          </w:p>
        </w:tc>
        <w:tc>
          <w:tcPr>
            <w:tcW w:w="4747" w:type="dxa"/>
          </w:tcPr>
          <w:p w14:paraId="747FD0DA" w14:textId="385B0F09" w:rsidR="00F76876" w:rsidRPr="000D12B4" w:rsidRDefault="00F76876" w:rsidP="00F76876">
            <w:pPr>
              <w:tabs>
                <w:tab w:val="clear" w:pos="283"/>
                <w:tab w:val="left" w:pos="1134"/>
                <w:tab w:val="left" w:pos="3402"/>
                <w:tab w:val="center" w:pos="4819"/>
                <w:tab w:val="right" w:pos="9071"/>
              </w:tabs>
              <w:spacing w:before="40" w:after="60"/>
              <w:ind w:left="30"/>
              <w:rPr>
                <w:sz w:val="22"/>
                <w:szCs w:val="22"/>
              </w:rPr>
            </w:pPr>
            <w:r>
              <w:rPr>
                <w:sz w:val="22"/>
              </w:rPr>
              <w:t>Pro výrobu chloru nebo chlornanu sodného elektrolýzou.</w:t>
            </w:r>
          </w:p>
        </w:tc>
      </w:tr>
      <w:tr w:rsidR="000D12B4" w:rsidRPr="000D12B4" w14:paraId="760EA5C1" w14:textId="77777777" w:rsidTr="00AF01AF">
        <w:trPr>
          <w:cantSplit/>
        </w:trPr>
        <w:tc>
          <w:tcPr>
            <w:tcW w:w="4395" w:type="dxa"/>
          </w:tcPr>
          <w:p w14:paraId="30A105D7" w14:textId="3ADEC7C7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Ozon</w:t>
            </w:r>
          </w:p>
        </w:tc>
        <w:tc>
          <w:tcPr>
            <w:tcW w:w="4747" w:type="dxa"/>
          </w:tcPr>
          <w:p w14:paraId="2C69E8A4" w14:textId="77777777" w:rsidR="00B846E8" w:rsidRPr="000D12B4" w:rsidRDefault="00B846E8" w:rsidP="00B846E8">
            <w:pPr>
              <w:tabs>
                <w:tab w:val="clear" w:pos="283"/>
                <w:tab w:val="left" w:pos="1134"/>
                <w:tab w:val="left" w:pos="3402"/>
                <w:tab w:val="center" w:pos="4819"/>
                <w:tab w:val="right" w:pos="9071"/>
              </w:tabs>
              <w:spacing w:before="40" w:after="60"/>
              <w:ind w:left="30"/>
              <w:rPr>
                <w:sz w:val="22"/>
                <w:szCs w:val="22"/>
              </w:rPr>
            </w:pPr>
          </w:p>
        </w:tc>
      </w:tr>
      <w:tr w:rsidR="000D12B4" w:rsidRPr="000D12B4" w14:paraId="3B80EE42" w14:textId="77777777" w:rsidTr="00AF01AF">
        <w:trPr>
          <w:cantSplit/>
        </w:trPr>
        <w:tc>
          <w:tcPr>
            <w:tcW w:w="4395" w:type="dxa"/>
          </w:tcPr>
          <w:p w14:paraId="175078E6" w14:textId="18969C21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Peroxid vodíku</w:t>
            </w:r>
          </w:p>
        </w:tc>
        <w:tc>
          <w:tcPr>
            <w:tcW w:w="4747" w:type="dxa"/>
          </w:tcPr>
          <w:p w14:paraId="053ACAC1" w14:textId="77777777" w:rsidR="00B846E8" w:rsidRPr="000D12B4" w:rsidRDefault="00B846E8" w:rsidP="00B846E8">
            <w:pPr>
              <w:tabs>
                <w:tab w:val="clear" w:pos="283"/>
                <w:tab w:val="left" w:pos="1134"/>
                <w:tab w:val="left" w:pos="3402"/>
                <w:tab w:val="center" w:pos="4819"/>
                <w:tab w:val="right" w:pos="9071"/>
              </w:tabs>
              <w:spacing w:before="40" w:after="60"/>
              <w:ind w:left="30"/>
              <w:rPr>
                <w:sz w:val="22"/>
                <w:szCs w:val="22"/>
              </w:rPr>
            </w:pPr>
          </w:p>
        </w:tc>
      </w:tr>
      <w:tr w:rsidR="000D12B4" w:rsidRPr="000D12B4" w14:paraId="2501D8C7" w14:textId="77777777" w:rsidTr="00AF01AF">
        <w:trPr>
          <w:cantSplit/>
        </w:trPr>
        <w:tc>
          <w:tcPr>
            <w:tcW w:w="4395" w:type="dxa"/>
          </w:tcPr>
          <w:p w14:paraId="23CA496B" w14:textId="7E618F85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Kyslík</w:t>
            </w:r>
          </w:p>
        </w:tc>
        <w:tc>
          <w:tcPr>
            <w:tcW w:w="4747" w:type="dxa"/>
          </w:tcPr>
          <w:p w14:paraId="226F5AF9" w14:textId="4DCBFE9B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výrobu ozonu a pro oxidaci provzdušňováním.</w:t>
            </w:r>
          </w:p>
        </w:tc>
      </w:tr>
      <w:tr w:rsidR="000D12B4" w:rsidRPr="000D12B4" w14:paraId="388F226B" w14:textId="77777777" w:rsidTr="00AF01AF">
        <w:trPr>
          <w:cantSplit/>
        </w:trPr>
        <w:tc>
          <w:tcPr>
            <w:tcW w:w="4395" w:type="dxa"/>
          </w:tcPr>
          <w:p w14:paraId="6211249B" w14:textId="77777777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Amoniak</w:t>
            </w:r>
          </w:p>
          <w:p w14:paraId="46B630D7" w14:textId="77777777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Chlorid amonný</w:t>
            </w:r>
          </w:p>
          <w:p w14:paraId="7FD65A47" w14:textId="21E2B67A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Síran amonný</w:t>
            </w:r>
          </w:p>
        </w:tc>
        <w:tc>
          <w:tcPr>
            <w:tcW w:w="4747" w:type="dxa"/>
          </w:tcPr>
          <w:p w14:paraId="0019E7A1" w14:textId="4732753C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výrobu monochloraminu.</w:t>
            </w:r>
          </w:p>
          <w:p w14:paraId="0FF05902" w14:textId="77777777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  <w:p w14:paraId="5D524788" w14:textId="2C785613" w:rsidR="00B846E8" w:rsidRPr="000D12B4" w:rsidRDefault="00B846E8" w:rsidP="00B846E8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</w:tbl>
    <w:p w14:paraId="055ADF32" w14:textId="77777777" w:rsidR="00AF01AF" w:rsidRPr="000D12B4" w:rsidRDefault="00AF01AF">
      <w:pPr>
        <w:tabs>
          <w:tab w:val="clear" w:pos="283"/>
        </w:tabs>
      </w:pPr>
      <w: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4747"/>
      </w:tblGrid>
      <w:tr w:rsidR="000D12B4" w:rsidRPr="000D12B4" w14:paraId="16DFE099" w14:textId="77777777" w:rsidTr="00AF01AF">
        <w:trPr>
          <w:cantSplit/>
        </w:trPr>
        <w:tc>
          <w:tcPr>
            <w:tcW w:w="4395" w:type="dxa"/>
            <w:shd w:val="clear" w:color="auto" w:fill="F2F2F2" w:themeFill="background1" w:themeFillShade="F2"/>
          </w:tcPr>
          <w:p w14:paraId="7E2A23DC" w14:textId="088D6205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Chemické látky a jejich účely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31AEB844" w14:textId="32F60BB8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Podmínky</w:t>
            </w:r>
          </w:p>
        </w:tc>
      </w:tr>
      <w:tr w:rsidR="000D12B4" w:rsidRPr="000D12B4" w14:paraId="217CEAEA" w14:textId="77777777" w:rsidTr="002C2B4C">
        <w:trPr>
          <w:cantSplit/>
        </w:trPr>
        <w:tc>
          <w:tcPr>
            <w:tcW w:w="4395" w:type="dxa"/>
          </w:tcPr>
          <w:p w14:paraId="27746E7C" w14:textId="58E53F9F" w:rsidR="0014531F" w:rsidRPr="000D12B4" w:rsidRDefault="0014531F" w:rsidP="0014531F">
            <w:pPr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Pro srážení a koagulaci</w:t>
            </w:r>
          </w:p>
        </w:tc>
        <w:tc>
          <w:tcPr>
            <w:tcW w:w="4747" w:type="dxa"/>
          </w:tcPr>
          <w:p w14:paraId="38BF6470" w14:textId="77777777" w:rsidR="0014531F" w:rsidRPr="000D12B4" w:rsidRDefault="0014531F" w:rsidP="0014531F">
            <w:pPr>
              <w:tabs>
                <w:tab w:val="clear" w:pos="283"/>
              </w:tabs>
              <w:spacing w:before="120" w:after="60"/>
              <w:ind w:left="30"/>
              <w:rPr>
                <w:sz w:val="22"/>
                <w:szCs w:val="22"/>
              </w:rPr>
            </w:pPr>
          </w:p>
        </w:tc>
      </w:tr>
      <w:tr w:rsidR="000D12B4" w:rsidRPr="000D12B4" w14:paraId="29C17D15" w14:textId="77777777" w:rsidTr="001B3500">
        <w:trPr>
          <w:cantSplit/>
        </w:trPr>
        <w:tc>
          <w:tcPr>
            <w:tcW w:w="4395" w:type="dxa"/>
          </w:tcPr>
          <w:p w14:paraId="2B175DC2" w14:textId="7EE8605F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i/>
                <w:sz w:val="22"/>
                <w:szCs w:val="22"/>
              </w:rPr>
            </w:pPr>
            <w:r>
              <w:rPr>
                <w:sz w:val="22"/>
              </w:rPr>
              <w:t>Síran hlinitý</w:t>
            </w:r>
          </w:p>
        </w:tc>
        <w:tc>
          <w:tcPr>
            <w:tcW w:w="4747" w:type="dxa"/>
          </w:tcPr>
          <w:p w14:paraId="3A74B145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7C41329B" w14:textId="77777777" w:rsidTr="001B3500">
        <w:trPr>
          <w:cantSplit/>
        </w:trPr>
        <w:tc>
          <w:tcPr>
            <w:tcW w:w="4395" w:type="dxa"/>
          </w:tcPr>
          <w:p w14:paraId="3910EFCA" w14:textId="6C3F5A05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Síran hlinitodraselný</w:t>
            </w:r>
          </w:p>
        </w:tc>
        <w:tc>
          <w:tcPr>
            <w:tcW w:w="4747" w:type="dxa"/>
          </w:tcPr>
          <w:p w14:paraId="59CBD898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27E6C6F4" w14:textId="77777777" w:rsidTr="001B3500">
        <w:trPr>
          <w:cantSplit/>
        </w:trPr>
        <w:tc>
          <w:tcPr>
            <w:tcW w:w="4395" w:type="dxa"/>
          </w:tcPr>
          <w:p w14:paraId="1676F789" w14:textId="5B6B4DB0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Chlorid/síran železitý (II)</w:t>
            </w:r>
          </w:p>
        </w:tc>
        <w:tc>
          <w:tcPr>
            <w:tcW w:w="4747" w:type="dxa"/>
          </w:tcPr>
          <w:p w14:paraId="6D030514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79CB9058" w14:textId="77777777" w:rsidTr="001B3500">
        <w:trPr>
          <w:cantSplit/>
        </w:trPr>
        <w:tc>
          <w:tcPr>
            <w:tcW w:w="4395" w:type="dxa"/>
          </w:tcPr>
          <w:p w14:paraId="52D9F0CE" w14:textId="116D8605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Chlorid/síran železitý (III)</w:t>
            </w:r>
          </w:p>
        </w:tc>
        <w:tc>
          <w:tcPr>
            <w:tcW w:w="4747" w:type="dxa"/>
          </w:tcPr>
          <w:p w14:paraId="0DF7E2FC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499007AE" w14:textId="77777777" w:rsidTr="001B3500">
        <w:trPr>
          <w:cantSplit/>
        </w:trPr>
        <w:tc>
          <w:tcPr>
            <w:tcW w:w="4395" w:type="dxa"/>
          </w:tcPr>
          <w:p w14:paraId="5D3DF62A" w14:textId="35838563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Chlorid vápenatý</w:t>
            </w:r>
          </w:p>
        </w:tc>
        <w:tc>
          <w:tcPr>
            <w:tcW w:w="4747" w:type="dxa"/>
          </w:tcPr>
          <w:p w14:paraId="2D1995AE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312C2A76" w14:textId="77777777" w:rsidTr="001B3500">
        <w:trPr>
          <w:cantSplit/>
        </w:trPr>
        <w:tc>
          <w:tcPr>
            <w:tcW w:w="4395" w:type="dxa"/>
          </w:tcPr>
          <w:p w14:paraId="714F7FF2" w14:textId="0665CCE2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Hlinitan sodný</w:t>
            </w:r>
          </w:p>
        </w:tc>
        <w:tc>
          <w:tcPr>
            <w:tcW w:w="4747" w:type="dxa"/>
          </w:tcPr>
          <w:p w14:paraId="11EC4BFF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7A111EDB" w14:textId="77777777" w:rsidTr="001B3500">
        <w:trPr>
          <w:cantSplit/>
        </w:trPr>
        <w:tc>
          <w:tcPr>
            <w:tcW w:w="4395" w:type="dxa"/>
          </w:tcPr>
          <w:p w14:paraId="6B5BAF03" w14:textId="7DD9A866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Polyaluminiumchlorid křemičitý</w:t>
            </w:r>
          </w:p>
        </w:tc>
        <w:tc>
          <w:tcPr>
            <w:tcW w:w="4747" w:type="dxa"/>
          </w:tcPr>
          <w:p w14:paraId="3756052B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43187365" w14:textId="77777777" w:rsidTr="001B3500">
        <w:trPr>
          <w:cantSplit/>
        </w:trPr>
        <w:tc>
          <w:tcPr>
            <w:tcW w:w="4395" w:type="dxa"/>
          </w:tcPr>
          <w:p w14:paraId="352AA47F" w14:textId="77C38821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Polyaluminiumchlorid/síranový</w:t>
            </w:r>
          </w:p>
        </w:tc>
        <w:tc>
          <w:tcPr>
            <w:tcW w:w="4747" w:type="dxa"/>
          </w:tcPr>
          <w:p w14:paraId="3FF55DB3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5FA425D4" w14:textId="77777777" w:rsidTr="001B3500">
        <w:trPr>
          <w:cantSplit/>
        </w:trPr>
        <w:tc>
          <w:tcPr>
            <w:tcW w:w="4395" w:type="dxa"/>
          </w:tcPr>
          <w:p w14:paraId="5EBD17C3" w14:textId="374C1028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Křemičitan sodný (vodní sklo)</w:t>
            </w:r>
          </w:p>
        </w:tc>
        <w:tc>
          <w:tcPr>
            <w:tcW w:w="4747" w:type="dxa"/>
          </w:tcPr>
          <w:p w14:paraId="17457B9E" w14:textId="5F90486A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Může být aktivován jinou chemickou úpravou, která může být použita pro pitnou vodu.</w:t>
            </w:r>
          </w:p>
        </w:tc>
      </w:tr>
      <w:tr w:rsidR="000D12B4" w:rsidRPr="000D12B4" w14:paraId="0F88D588" w14:textId="77777777" w:rsidTr="001B3500">
        <w:trPr>
          <w:cantSplit/>
        </w:trPr>
        <w:tc>
          <w:tcPr>
            <w:tcW w:w="4395" w:type="dxa"/>
          </w:tcPr>
          <w:p w14:paraId="0F747A4E" w14:textId="7777777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Polyakrylamid</w:t>
            </w:r>
          </w:p>
          <w:p w14:paraId="6B349AD6" w14:textId="0284C926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Kopolymer polyakrylamidu akrylové kyseliny</w:t>
            </w:r>
          </w:p>
        </w:tc>
        <w:tc>
          <w:tcPr>
            <w:tcW w:w="4747" w:type="dxa"/>
          </w:tcPr>
          <w:p w14:paraId="5C24EC44" w14:textId="3B255CDE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Průměrná dávka nesmí překročit 0,5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počítaná jako aktivní látka. Koncentrace monomerů v polyakrylamidu nesmí překročit 500 mg/kg.</w:t>
            </w:r>
          </w:p>
        </w:tc>
      </w:tr>
      <w:tr w:rsidR="000D12B4" w:rsidRPr="000D12B4" w14:paraId="72FF9FA8" w14:textId="77777777" w:rsidTr="001B3500">
        <w:trPr>
          <w:cantSplit/>
        </w:trPr>
        <w:tc>
          <w:tcPr>
            <w:tcW w:w="4395" w:type="dxa"/>
          </w:tcPr>
          <w:p w14:paraId="539CD3E9" w14:textId="7777777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Přípravek „Hydrex 3841“ </w:t>
            </w:r>
          </w:p>
          <w:p w14:paraId="675EF302" w14:textId="66378F54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„Hydrex 3842“</w:t>
            </w:r>
          </w:p>
        </w:tc>
        <w:tc>
          <w:tcPr>
            <w:tcW w:w="4747" w:type="dxa"/>
          </w:tcPr>
          <w:p w14:paraId="409D70DD" w14:textId="6E37FD2E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Dávkování přípravku nesmí přesáhnout 5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.</w:t>
            </w:r>
          </w:p>
        </w:tc>
      </w:tr>
      <w:tr w:rsidR="000D12B4" w:rsidRPr="000D12B4" w14:paraId="75748BA4" w14:textId="77777777" w:rsidTr="001B3500">
        <w:trPr>
          <w:cantSplit/>
        </w:trPr>
        <w:tc>
          <w:tcPr>
            <w:tcW w:w="4395" w:type="dxa"/>
          </w:tcPr>
          <w:p w14:paraId="2A7F593C" w14:textId="131DFF2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„Sobra 10“</w:t>
            </w:r>
          </w:p>
        </w:tc>
        <w:tc>
          <w:tcPr>
            <w:tcW w:w="4747" w:type="dxa"/>
          </w:tcPr>
          <w:p w14:paraId="728F1063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219FD231" w14:textId="77777777" w:rsidTr="001B3500">
        <w:trPr>
          <w:cantSplit/>
        </w:trPr>
        <w:tc>
          <w:tcPr>
            <w:tcW w:w="4395" w:type="dxa"/>
          </w:tcPr>
          <w:p w14:paraId="1D742E47" w14:textId="0B4F7670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Přípravek „Sobra 20“</w:t>
            </w:r>
          </w:p>
        </w:tc>
        <w:tc>
          <w:tcPr>
            <w:tcW w:w="4747" w:type="dxa"/>
          </w:tcPr>
          <w:p w14:paraId="0D200D03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3DE3BA32" w14:textId="77777777" w:rsidTr="001B3500">
        <w:trPr>
          <w:cantSplit/>
        </w:trPr>
        <w:tc>
          <w:tcPr>
            <w:tcW w:w="4395" w:type="dxa"/>
          </w:tcPr>
          <w:p w14:paraId="1A46FFB7" w14:textId="646AF803" w:rsidR="00AF01AF" w:rsidRPr="000D12B4" w:rsidRDefault="00AF01AF" w:rsidP="00AF01AF">
            <w:pPr>
              <w:spacing w:before="240" w:after="240"/>
              <w:rPr>
                <w:sz w:val="22"/>
                <w:szCs w:val="22"/>
              </w:rPr>
            </w:pPr>
            <w:r>
              <w:rPr>
                <w:i/>
                <w:sz w:val="22"/>
              </w:rPr>
              <w:t>Pro úpravu pH a alkalizaci</w:t>
            </w:r>
          </w:p>
        </w:tc>
        <w:tc>
          <w:tcPr>
            <w:tcW w:w="4747" w:type="dxa"/>
          </w:tcPr>
          <w:p w14:paraId="30CCDA69" w14:textId="77777777" w:rsidR="00AF01AF" w:rsidRPr="000D12B4" w:rsidRDefault="00AF01AF" w:rsidP="00AF01AF">
            <w:pPr>
              <w:tabs>
                <w:tab w:val="clear" w:pos="283"/>
              </w:tabs>
              <w:spacing w:before="240" w:after="240"/>
              <w:rPr>
                <w:sz w:val="22"/>
                <w:szCs w:val="22"/>
              </w:rPr>
            </w:pPr>
          </w:p>
        </w:tc>
      </w:tr>
      <w:tr w:rsidR="000D12B4" w:rsidRPr="000D12B4" w14:paraId="08903370" w14:textId="77777777" w:rsidTr="001B3500">
        <w:trPr>
          <w:cantSplit/>
        </w:trPr>
        <w:tc>
          <w:tcPr>
            <w:tcW w:w="4395" w:type="dxa"/>
          </w:tcPr>
          <w:p w14:paraId="26A62B8A" w14:textId="1F120F3B" w:rsidR="00AF01AF" w:rsidRPr="000D12B4" w:rsidRDefault="00AF01AF" w:rsidP="00AF01AF">
            <w:pPr>
              <w:rPr>
                <w:i/>
                <w:sz w:val="22"/>
                <w:szCs w:val="22"/>
              </w:rPr>
            </w:pPr>
            <w:r>
              <w:rPr>
                <w:sz w:val="22"/>
              </w:rPr>
              <w:t>Hydroxid vápenatý (hašené vápno)</w:t>
            </w:r>
          </w:p>
        </w:tc>
        <w:tc>
          <w:tcPr>
            <w:tcW w:w="4747" w:type="dxa"/>
          </w:tcPr>
          <w:p w14:paraId="4FE11284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3437CED3" w14:textId="77777777" w:rsidTr="001B3500">
        <w:trPr>
          <w:cantSplit/>
        </w:trPr>
        <w:tc>
          <w:tcPr>
            <w:tcW w:w="4395" w:type="dxa"/>
          </w:tcPr>
          <w:p w14:paraId="2A9C8C11" w14:textId="5C06503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Uhličitan vápenatý (vápenec,</w:t>
            </w:r>
            <w:r>
              <w:rPr>
                <w:sz w:val="22"/>
              </w:rPr>
              <w:br/>
              <w:t>drcený mramor, křída)</w:t>
            </w:r>
          </w:p>
        </w:tc>
        <w:tc>
          <w:tcPr>
            <w:tcW w:w="4747" w:type="dxa"/>
          </w:tcPr>
          <w:p w14:paraId="52B63C65" w14:textId="79402678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Uhličitan vápenatý, který je podáván před chemickým srážením nebo infiltrací, může obsahovat aditiva nejvýše 0,5 % polychlorátu sodného počítáno na suchý uhličitan vápenatý. Koncentrace monomeru (kyselina akrylová) v polyakrylátu sodném nesmí překročit 0,1 % a dávka disperze nesmí překročit 75 g/m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0D12B4" w:rsidRPr="000D12B4" w14:paraId="069015D9" w14:textId="77777777" w:rsidTr="001B3500">
        <w:trPr>
          <w:cantSplit/>
        </w:trPr>
        <w:tc>
          <w:tcPr>
            <w:tcW w:w="4395" w:type="dxa"/>
          </w:tcPr>
          <w:p w14:paraId="60A2DCC1" w14:textId="7777777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Uhličitan vápenatý oxid hořečnatý</w:t>
            </w:r>
          </w:p>
          <w:p w14:paraId="42426F0D" w14:textId="62FBB76C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(polovypálený dolomit)</w:t>
            </w:r>
          </w:p>
        </w:tc>
        <w:tc>
          <w:tcPr>
            <w:tcW w:w="4747" w:type="dxa"/>
          </w:tcPr>
          <w:p w14:paraId="09AB2AA8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409CCBFF" w14:textId="77777777" w:rsidTr="001B3500">
        <w:trPr>
          <w:cantSplit/>
        </w:trPr>
        <w:tc>
          <w:tcPr>
            <w:tcW w:w="4395" w:type="dxa"/>
          </w:tcPr>
          <w:p w14:paraId="5A4AD47F" w14:textId="7777777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Uhličitan vápenatohořečnatý</w:t>
            </w:r>
          </w:p>
          <w:p w14:paraId="74FD3451" w14:textId="03C6E455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(dolomit)</w:t>
            </w:r>
          </w:p>
        </w:tc>
        <w:tc>
          <w:tcPr>
            <w:tcW w:w="4747" w:type="dxa"/>
          </w:tcPr>
          <w:p w14:paraId="30CCEC95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00AC9CAF" w14:textId="77777777" w:rsidTr="001B3500">
        <w:trPr>
          <w:cantSplit/>
        </w:trPr>
        <w:tc>
          <w:tcPr>
            <w:tcW w:w="4395" w:type="dxa"/>
          </w:tcPr>
          <w:p w14:paraId="493A2506" w14:textId="79038544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Oxid vápenatý (pálené vápno)</w:t>
            </w:r>
          </w:p>
        </w:tc>
        <w:tc>
          <w:tcPr>
            <w:tcW w:w="4747" w:type="dxa"/>
          </w:tcPr>
          <w:p w14:paraId="56AB3211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305F71F7" w14:textId="77777777" w:rsidTr="001B3500">
        <w:trPr>
          <w:cantSplit/>
        </w:trPr>
        <w:tc>
          <w:tcPr>
            <w:tcW w:w="4395" w:type="dxa"/>
          </w:tcPr>
          <w:p w14:paraId="5F905768" w14:textId="58A3F090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Uhličitan draselný</w:t>
            </w:r>
          </w:p>
        </w:tc>
        <w:tc>
          <w:tcPr>
            <w:tcW w:w="4747" w:type="dxa"/>
          </w:tcPr>
          <w:p w14:paraId="3F76170F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6E903EAE" w14:textId="77777777" w:rsidTr="001B3500">
        <w:trPr>
          <w:cantSplit/>
        </w:trPr>
        <w:tc>
          <w:tcPr>
            <w:tcW w:w="4395" w:type="dxa"/>
          </w:tcPr>
          <w:p w14:paraId="56D1F0AC" w14:textId="2EC19CDC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Oxid uhličitý (kyselina uhličitá)</w:t>
            </w:r>
          </w:p>
        </w:tc>
        <w:tc>
          <w:tcPr>
            <w:tcW w:w="4747" w:type="dxa"/>
          </w:tcPr>
          <w:p w14:paraId="4F0ADB6A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0C4DB15B" w14:textId="77777777" w:rsidTr="001B3500">
        <w:trPr>
          <w:cantSplit/>
        </w:trPr>
        <w:tc>
          <w:tcPr>
            <w:tcW w:w="4395" w:type="dxa"/>
          </w:tcPr>
          <w:p w14:paraId="702ADDE3" w14:textId="1B99AD5A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Hydroxid sodný (louh, louh sodný)</w:t>
            </w:r>
          </w:p>
        </w:tc>
        <w:tc>
          <w:tcPr>
            <w:tcW w:w="4747" w:type="dxa"/>
          </w:tcPr>
          <w:p w14:paraId="378F376A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3B233395" w14:textId="77777777" w:rsidTr="001B3500">
        <w:trPr>
          <w:cantSplit/>
        </w:trPr>
        <w:tc>
          <w:tcPr>
            <w:tcW w:w="4395" w:type="dxa"/>
          </w:tcPr>
          <w:p w14:paraId="4DE87FD6" w14:textId="507EA4EF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Uhličitan sodný (prací soda)</w:t>
            </w:r>
          </w:p>
        </w:tc>
        <w:tc>
          <w:tcPr>
            <w:tcW w:w="4747" w:type="dxa"/>
          </w:tcPr>
          <w:p w14:paraId="6B7D25E2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7B482C" w14:paraId="62A3B0B1" w14:textId="77777777" w:rsidTr="001B3500">
        <w:trPr>
          <w:cantSplit/>
        </w:trPr>
        <w:tc>
          <w:tcPr>
            <w:tcW w:w="4395" w:type="dxa"/>
          </w:tcPr>
          <w:p w14:paraId="6CA5790D" w14:textId="3CBE7348" w:rsidR="00AF01AF" w:rsidRPr="007B482C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Hydrogenuhličitan sodný (bikarbonát sodný)</w:t>
            </w:r>
          </w:p>
        </w:tc>
        <w:tc>
          <w:tcPr>
            <w:tcW w:w="4747" w:type="dxa"/>
          </w:tcPr>
          <w:p w14:paraId="2321CC34" w14:textId="77777777" w:rsidR="00AF01AF" w:rsidRPr="007B482C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  <w:lang w:val="it-IT"/>
              </w:rPr>
            </w:pPr>
          </w:p>
        </w:tc>
      </w:tr>
      <w:tr w:rsidR="000D12B4" w:rsidRPr="000D12B4" w14:paraId="78C3FD62" w14:textId="77777777" w:rsidTr="001B3500">
        <w:trPr>
          <w:cantSplit/>
        </w:trPr>
        <w:tc>
          <w:tcPr>
            <w:tcW w:w="4395" w:type="dxa"/>
          </w:tcPr>
          <w:p w14:paraId="7CFBDB8C" w14:textId="11DC845A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Kyselina chlorovodíková</w:t>
            </w:r>
          </w:p>
        </w:tc>
        <w:tc>
          <w:tcPr>
            <w:tcW w:w="4747" w:type="dxa"/>
          </w:tcPr>
          <w:p w14:paraId="652287E3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  <w:tr w:rsidR="000D12B4" w:rsidRPr="000D12B4" w14:paraId="690508FE" w14:textId="77777777" w:rsidTr="001B3500">
        <w:trPr>
          <w:cantSplit/>
        </w:trPr>
        <w:tc>
          <w:tcPr>
            <w:tcW w:w="4395" w:type="dxa"/>
          </w:tcPr>
          <w:p w14:paraId="78D2740C" w14:textId="0136F003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Kyselina sírová</w:t>
            </w:r>
          </w:p>
        </w:tc>
        <w:tc>
          <w:tcPr>
            <w:tcW w:w="4747" w:type="dxa"/>
          </w:tcPr>
          <w:p w14:paraId="3CBAE58C" w14:textId="77777777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</w:p>
        </w:tc>
      </w:tr>
    </w:tbl>
    <w:p w14:paraId="37922FA5" w14:textId="77777777" w:rsidR="00750639" w:rsidRPr="000D12B4" w:rsidRDefault="00750639">
      <w: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4747"/>
      </w:tblGrid>
      <w:tr w:rsidR="000D12B4" w:rsidRPr="000D12B4" w14:paraId="148335E7" w14:textId="77777777" w:rsidTr="00AF01AF">
        <w:trPr>
          <w:cantSplit/>
        </w:trPr>
        <w:tc>
          <w:tcPr>
            <w:tcW w:w="4395" w:type="dxa"/>
            <w:shd w:val="clear" w:color="auto" w:fill="F2F2F2" w:themeFill="background1" w:themeFillShade="F2"/>
          </w:tcPr>
          <w:p w14:paraId="36DEA056" w14:textId="287A816B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Chemické látky a jejich účely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15B9D092" w14:textId="7EC3B85D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Podmínky</w:t>
            </w:r>
          </w:p>
        </w:tc>
      </w:tr>
      <w:tr w:rsidR="000D12B4" w:rsidRPr="000D12B4" w14:paraId="4F93185D" w14:textId="77777777" w:rsidTr="002C2B4C">
        <w:trPr>
          <w:cantSplit/>
        </w:trPr>
        <w:tc>
          <w:tcPr>
            <w:tcW w:w="4395" w:type="dxa"/>
          </w:tcPr>
          <w:p w14:paraId="03CABD7E" w14:textId="14E20006" w:rsidR="0014531F" w:rsidRPr="000D12B4" w:rsidRDefault="0014531F" w:rsidP="0014531F">
            <w:pPr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Pro jiné účely</w:t>
            </w:r>
          </w:p>
        </w:tc>
        <w:tc>
          <w:tcPr>
            <w:tcW w:w="4747" w:type="dxa"/>
          </w:tcPr>
          <w:p w14:paraId="13D438C8" w14:textId="77777777" w:rsidR="0014531F" w:rsidRPr="000D12B4" w:rsidRDefault="0014531F" w:rsidP="0014531F">
            <w:pPr>
              <w:tabs>
                <w:tab w:val="clear" w:pos="283"/>
              </w:tabs>
              <w:spacing w:before="120" w:after="60"/>
              <w:ind w:left="30"/>
              <w:rPr>
                <w:sz w:val="22"/>
                <w:szCs w:val="22"/>
              </w:rPr>
            </w:pPr>
          </w:p>
        </w:tc>
      </w:tr>
      <w:tr w:rsidR="000D12B4" w:rsidRPr="000D12B4" w14:paraId="791B7976" w14:textId="77777777" w:rsidTr="001B3500">
        <w:trPr>
          <w:cantSplit/>
        </w:trPr>
        <w:tc>
          <w:tcPr>
            <w:tcW w:w="4395" w:type="dxa"/>
          </w:tcPr>
          <w:p w14:paraId="64771BE6" w14:textId="2E0F966F" w:rsidR="00AF01AF" w:rsidRPr="000D12B4" w:rsidRDefault="00AF01AF" w:rsidP="00AF01AF">
            <w:pPr>
              <w:rPr>
                <w:i/>
                <w:sz w:val="22"/>
                <w:szCs w:val="22"/>
              </w:rPr>
            </w:pPr>
            <w:r>
              <w:rPr>
                <w:sz w:val="22"/>
              </w:rPr>
              <w:t>Aktivní uhlí</w:t>
            </w:r>
          </w:p>
        </w:tc>
        <w:tc>
          <w:tcPr>
            <w:tcW w:w="4747" w:type="dxa"/>
          </w:tcPr>
          <w:p w14:paraId="48762FFB" w14:textId="270AEFD3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adsorpční účely.</w:t>
            </w:r>
          </w:p>
        </w:tc>
      </w:tr>
      <w:tr w:rsidR="000D12B4" w:rsidRPr="000D12B4" w14:paraId="3DA854CD" w14:textId="77777777" w:rsidTr="001B3500">
        <w:trPr>
          <w:cantSplit/>
        </w:trPr>
        <w:tc>
          <w:tcPr>
            <w:tcW w:w="4395" w:type="dxa"/>
          </w:tcPr>
          <w:p w14:paraId="0E4FB271" w14:textId="7DCA0107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Chlorid vápenatý</w:t>
            </w:r>
          </w:p>
        </w:tc>
        <w:tc>
          <w:tcPr>
            <w:tcW w:w="4747" w:type="dxa"/>
          </w:tcPr>
          <w:p w14:paraId="227D5811" w14:textId="49967176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úpravu koncentrace vápníku. Dávka nesmí překročit 30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vody.</w:t>
            </w:r>
          </w:p>
        </w:tc>
      </w:tr>
      <w:tr w:rsidR="000D12B4" w:rsidRPr="000D12B4" w14:paraId="007CB8EF" w14:textId="77777777" w:rsidTr="001B3500">
        <w:trPr>
          <w:cantSplit/>
        </w:trPr>
        <w:tc>
          <w:tcPr>
            <w:tcW w:w="4395" w:type="dxa"/>
          </w:tcPr>
          <w:p w14:paraId="15689D00" w14:textId="4BCF619F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Manganistan draselný</w:t>
            </w:r>
          </w:p>
        </w:tc>
        <w:tc>
          <w:tcPr>
            <w:tcW w:w="4747" w:type="dxa"/>
          </w:tcPr>
          <w:p w14:paraId="695BC40B" w14:textId="6DE0DE76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obnovu železných a manganových filtrů.</w:t>
            </w:r>
          </w:p>
        </w:tc>
      </w:tr>
      <w:tr w:rsidR="000D12B4" w:rsidRPr="000D12B4" w14:paraId="7A40EE63" w14:textId="77777777" w:rsidTr="001B3500">
        <w:trPr>
          <w:cantSplit/>
        </w:trPr>
        <w:tc>
          <w:tcPr>
            <w:tcW w:w="4395" w:type="dxa"/>
          </w:tcPr>
          <w:p w14:paraId="199588E8" w14:textId="28064C52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Chlorid sodný</w:t>
            </w:r>
          </w:p>
        </w:tc>
        <w:tc>
          <w:tcPr>
            <w:tcW w:w="4747" w:type="dxa"/>
          </w:tcPr>
          <w:p w14:paraId="18B1DB90" w14:textId="14AA9F1D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obnovu iontových výměnných filtrů.</w:t>
            </w:r>
          </w:p>
        </w:tc>
      </w:tr>
      <w:tr w:rsidR="00AF01AF" w:rsidRPr="000D12B4" w14:paraId="3580958D" w14:textId="77777777" w:rsidTr="001B3500">
        <w:trPr>
          <w:cantSplit/>
        </w:trPr>
        <w:tc>
          <w:tcPr>
            <w:tcW w:w="4395" w:type="dxa"/>
          </w:tcPr>
          <w:p w14:paraId="098BC9D3" w14:textId="20F61C24" w:rsidR="00AF01AF" w:rsidRPr="000D12B4" w:rsidRDefault="00AF01AF" w:rsidP="00AF01AF">
            <w:pPr>
              <w:rPr>
                <w:sz w:val="22"/>
                <w:szCs w:val="22"/>
              </w:rPr>
            </w:pPr>
            <w:r>
              <w:rPr>
                <w:sz w:val="22"/>
              </w:rPr>
              <w:t>Hydrogensiřičitan sodný</w:t>
            </w:r>
          </w:p>
        </w:tc>
        <w:tc>
          <w:tcPr>
            <w:tcW w:w="4747" w:type="dxa"/>
          </w:tcPr>
          <w:p w14:paraId="52CA49DD" w14:textId="1CA2435C" w:rsidR="00AF01AF" w:rsidRPr="000D12B4" w:rsidRDefault="00AF01AF" w:rsidP="00AF01AF">
            <w:pPr>
              <w:tabs>
                <w:tab w:val="clear" w:pos="283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</w:rPr>
              <w:t>Pro snížení oxidačních činidel spojených s membránovou filtrací. Dávka hydrogensiřičitanu sodného nesmí překročit 2 g/m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vody.</w:t>
            </w:r>
          </w:p>
        </w:tc>
      </w:tr>
    </w:tbl>
    <w:p w14:paraId="03030299" w14:textId="77777777" w:rsidR="002750B0" w:rsidRPr="000D12B4" w:rsidRDefault="002750B0" w:rsidP="00B96BC0"/>
    <w:p w14:paraId="4EB73F1B" w14:textId="77777777" w:rsidR="002750B0" w:rsidRPr="000D12B4" w:rsidRDefault="002750B0" w:rsidP="00173D26">
      <w:pPr>
        <w:sectPr w:rsidR="002750B0" w:rsidRPr="000D12B4" w:rsidSect="008839CB">
          <w:pgSz w:w="11906" w:h="16838" w:code="9"/>
          <w:pgMar w:top="1259" w:right="1134" w:bottom="1361" w:left="1701" w:header="709" w:footer="709" w:gutter="0"/>
          <w:cols w:space="708"/>
          <w:docGrid w:linePitch="381"/>
        </w:sectPr>
      </w:pPr>
    </w:p>
    <w:p w14:paraId="672FB8A4" w14:textId="7C425F86" w:rsidR="002750B0" w:rsidRPr="000D12B4" w:rsidRDefault="002750B0" w:rsidP="002750B0">
      <w:pPr>
        <w:jc w:val="right"/>
        <w:rPr>
          <w:i/>
        </w:rPr>
      </w:pPr>
      <w:r>
        <w:rPr>
          <w:i/>
        </w:rPr>
        <w:lastRenderedPageBreak/>
        <w:t>Dodatek 3</w:t>
      </w:r>
    </w:p>
    <w:p w14:paraId="3ADFE845" w14:textId="3AEE801A" w:rsidR="002750B0" w:rsidRPr="000D12B4" w:rsidRDefault="002750B0" w:rsidP="009F27B0">
      <w:pPr>
        <w:jc w:val="right"/>
      </w:pPr>
      <w:r>
        <w:t>(k LIVSFS 2022:12)</w:t>
      </w:r>
    </w:p>
    <w:p w14:paraId="780D7462" w14:textId="617F3492" w:rsidR="00A25F89" w:rsidRPr="000D12B4" w:rsidRDefault="004755B1" w:rsidP="008E7949">
      <w:pPr>
        <w:pStyle w:val="Heading1"/>
      </w:pPr>
      <w:r>
        <w:t>Oddíl A – Programy provozní kontroly</w:t>
      </w:r>
    </w:p>
    <w:p w14:paraId="53C8C885" w14:textId="2263D437" w:rsidR="00A25F89" w:rsidRPr="000D12B4" w:rsidRDefault="00A25F89" w:rsidP="00A25F89"/>
    <w:p w14:paraId="0C51E15F" w14:textId="32839438" w:rsidR="00AD4BF1" w:rsidRPr="000D12B4" w:rsidRDefault="00181D04" w:rsidP="00AD4BF1">
      <w:r>
        <w:t>Program monitorování uvedený v oddíle 17 prvním odstavci zahrnuje program provozní kontroly, který poskytuje rychlý přehled o provozní výkonnosti a problémech s kvalitou vody a umožňuje rychlá a předem plánovaná nápravná opatření. Operační kontrolní program je specifický pro dodávky s přihlédnutím k výsledkům analýzy rizik a má potvrdit účinnost všech kontrolních opatření souvisejících s odběrem, zpracováním, distribucí a skladováním.</w:t>
      </w:r>
    </w:p>
    <w:p w14:paraId="6444DEE4" w14:textId="77777777" w:rsidR="00AD4BF1" w:rsidRPr="000D12B4" w:rsidRDefault="00AD4BF1" w:rsidP="00AD4BF1"/>
    <w:p w14:paraId="6AD0F42E" w14:textId="6BEB6E05" w:rsidR="00A25F89" w:rsidRPr="000D12B4" w:rsidRDefault="00AD4BF1" w:rsidP="00AD4BF1">
      <w:r>
        <w:t xml:space="preserve">Program provozní kontroly zahrnuje sledování parametru </w:t>
      </w:r>
      <w:r>
        <w:rPr>
          <w:i/>
        </w:rPr>
        <w:t>zákalu v zařízení pro zásobování vodou,</w:t>
      </w:r>
      <w:r>
        <w:t xml:space="preserve"> s cílem pravidelně kontrolovat účinnost fyzického čištění filtrací v souladu s četností uvedenou v následující tabulce (nevztahuje se na zdroje podzemních vod, kde je zákal způsoben železem a manganem). Mezní hodnota je 0,3 FNU/FTU/NTU v 95 % vzorků (z nichž žádný nesmí překročit 1 FNU/FTU/NTU).</w:t>
      </w:r>
    </w:p>
    <w:p w14:paraId="54680F6C" w14:textId="77777777" w:rsidR="00AD4BF1" w:rsidRPr="000D12B4" w:rsidRDefault="00AD4BF1" w:rsidP="00AD4BF1"/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0D12B4" w:rsidRPr="000D12B4" w14:paraId="14E8A655" w14:textId="77777777" w:rsidTr="00AD4BF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34B65" w14:textId="38ECEF39" w:rsidR="00AD4BF1" w:rsidRPr="000D12B4" w:rsidRDefault="00737D18" w:rsidP="007E68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Vyprodukovaný objem pitné vody za den (m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>) v oblasti dodávky vody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05E25" w14:textId="354E0129" w:rsidR="00AD4BF1" w:rsidRPr="000D12B4" w:rsidRDefault="00737D18" w:rsidP="00AD4B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Minimální četnost odběru vzorků</w:t>
            </w:r>
          </w:p>
        </w:tc>
      </w:tr>
      <w:tr w:rsidR="000D12B4" w:rsidRPr="000D12B4" w14:paraId="4CA87626" w14:textId="77777777" w:rsidTr="00AD4BF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78C" w14:textId="522D02E9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≤ 1 000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09A" w14:textId="2E1501BB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Každý týden</w:t>
            </w:r>
          </w:p>
        </w:tc>
      </w:tr>
      <w:tr w:rsidR="000D12B4" w:rsidRPr="000D12B4" w14:paraId="592070FD" w14:textId="77777777" w:rsidTr="00AD4BF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512" w14:textId="5D079F8A" w:rsidR="00AD4BF1" w:rsidRPr="000D12B4" w:rsidRDefault="00AD4BF1" w:rsidP="00012294">
            <w:pPr>
              <w:tabs>
                <w:tab w:val="clear" w:pos="283"/>
              </w:tabs>
              <w:spacing w:before="60" w:after="12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&gt; 1000–10 000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0B8" w14:textId="5E9259C7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Každý den</w:t>
            </w:r>
          </w:p>
        </w:tc>
      </w:tr>
      <w:tr w:rsidR="00AD4BF1" w:rsidRPr="000D12B4" w14:paraId="2564A57F" w14:textId="77777777" w:rsidTr="00AD4BF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CF6" w14:textId="263B58B0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&gt; 10 000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F0B" w14:textId="0964C191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Nepřetržitě</w:t>
            </w:r>
          </w:p>
        </w:tc>
      </w:tr>
    </w:tbl>
    <w:p w14:paraId="21BB2F20" w14:textId="551ECEA2" w:rsidR="00AD4BF1" w:rsidRPr="000D12B4" w:rsidRDefault="00AD4BF1" w:rsidP="00AD4BF1"/>
    <w:p w14:paraId="19EA072D" w14:textId="140163AD" w:rsidR="00AD4BF1" w:rsidRPr="000D12B4" w:rsidRDefault="008556B0" w:rsidP="00340D89">
      <w:r>
        <w:t>Pokud z analýzy rizik vyplyne, že je to nezbytné, program provozní kontroly zahrnuje rovněž monitorování somatických kolifágů v surové vodě, aby se ověřila účinnost procesu zpracování proti mikrobiologickým rizikům.</w:t>
      </w:r>
    </w:p>
    <w:p w14:paraId="3F59C2FB" w14:textId="75657AAF" w:rsidR="00AD4BF1" w:rsidRPr="000D12B4" w:rsidRDefault="00AD4BF1" w:rsidP="00AD4BF1"/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2220"/>
        <w:gridCol w:w="2220"/>
        <w:gridCol w:w="2220"/>
      </w:tblGrid>
      <w:tr w:rsidR="000D12B4" w:rsidRPr="000D12B4" w14:paraId="1DD4820F" w14:textId="45F8FEA6" w:rsidTr="00AD4BF1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32AE0" w14:textId="5DADB852" w:rsidR="00AD4BF1" w:rsidRPr="000D12B4" w:rsidRDefault="002A7563" w:rsidP="00AD4B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0B10A" w14:textId="20ECCF58" w:rsidR="00AD4BF1" w:rsidRPr="000D12B4" w:rsidRDefault="002A7563" w:rsidP="00AD4B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Mezní hodnoty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CB195" w14:textId="1807C621" w:rsidR="00AD4BF1" w:rsidRPr="000D12B4" w:rsidRDefault="00AD4BF1" w:rsidP="00AD4B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Jednotka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E0DDB" w14:textId="108ABF85" w:rsidR="00AD4BF1" w:rsidRPr="000D12B4" w:rsidRDefault="005D5BB0" w:rsidP="00AD4B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Poznámky</w:t>
            </w:r>
          </w:p>
        </w:tc>
      </w:tr>
      <w:tr w:rsidR="00AD4BF1" w:rsidRPr="000D12B4" w14:paraId="2C3DC17F" w14:textId="59767C73" w:rsidTr="00AD4BF1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07A" w14:textId="1BC437C0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Somatické kolifágy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003" w14:textId="7FCA6137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50 (pro surovou vodu)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95A" w14:textId="2D94F250" w:rsidR="00AD4BF1" w:rsidRPr="000D12B4" w:rsidRDefault="00AD4BF1" w:rsidP="00AD4BF1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Plaky tvořící jednotky (PFU)/100 ml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537" w14:textId="2EE0A5E8" w:rsidR="00AD4BF1" w:rsidRPr="000D12B4" w:rsidRDefault="00AD4BF1" w:rsidP="008556B0">
            <w:pPr>
              <w:tabs>
                <w:tab w:val="clear" w:pos="283"/>
              </w:tabs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</w:rPr>
              <w:t>Pokud se ukazatel nachází v surové vodě v koncentracích &gt; 50 PFU/100 ml, měl by být analyzován po určitých fázích procesu úpravy, aby bylo možné stanovit log redukci pomocí stávajících překážek a posoudit, zda je riziko selhání eliminace patogenních virů dostatečně pod kontrolou.</w:t>
            </w:r>
          </w:p>
        </w:tc>
      </w:tr>
    </w:tbl>
    <w:p w14:paraId="51208D0D" w14:textId="77777777" w:rsidR="00AD4BF1" w:rsidRPr="000D12B4" w:rsidRDefault="00AD4BF1" w:rsidP="00AD4BF1"/>
    <w:p w14:paraId="644EB1A7" w14:textId="769F3657" w:rsidR="008E7949" w:rsidRPr="000D12B4" w:rsidRDefault="004755B1" w:rsidP="008E7949">
      <w:pPr>
        <w:pStyle w:val="Heading1"/>
      </w:pPr>
      <w:r>
        <w:t>Oddíl B – Minimální četnost monitorování</w:t>
      </w:r>
    </w:p>
    <w:p w14:paraId="75FF32EB" w14:textId="77777777" w:rsidR="00F43445" w:rsidRPr="000D12B4" w:rsidRDefault="00F43445" w:rsidP="00AB3344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b/>
          <w:spacing w:val="5"/>
          <w:szCs w:val="20"/>
          <w:lang w:eastAsia="sv-SE"/>
        </w:rPr>
      </w:pPr>
    </w:p>
    <w:p w14:paraId="3E662B3F" w14:textId="525EF437" w:rsidR="00AB3344" w:rsidRPr="000D12B4" w:rsidRDefault="00AB3344" w:rsidP="00AB3344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b/>
          <w:spacing w:val="5"/>
          <w:szCs w:val="20"/>
        </w:rPr>
      </w:pPr>
      <w:r>
        <w:rPr>
          <w:rFonts w:ascii="Times New Roman" w:hAnsi="Times New Roman"/>
          <w:b/>
        </w:rPr>
        <w:t>Tabulka 1 – Surová voda (ukazatele a počet vzorků za rok)</w:t>
      </w:r>
    </w:p>
    <w:p w14:paraId="135128B7" w14:textId="571B0B18" w:rsidR="00270B91" w:rsidRPr="000D12B4" w:rsidRDefault="00270B91" w:rsidP="00270B91">
      <w:pPr>
        <w:rPr>
          <w:rFonts w:ascii="Times New Roman" w:eastAsia="Times New Roman" w:hAnsi="Times New Roman" w:cs="Times New Roman"/>
          <w:i/>
          <w:spacing w:val="5"/>
        </w:rPr>
      </w:pPr>
      <w:r>
        <w:rPr>
          <w:rFonts w:ascii="Times New Roman" w:hAnsi="Times New Roman"/>
        </w:rPr>
        <w:t>Ukazatele, které musí být sledovány jako minimum, jsou Escherichia coli (E. coli), střevní enterokoky, koliformní bakterie, somatické kolifágy</w:t>
      </w:r>
      <w:r w:rsidRPr="000D12B4">
        <w:rPr>
          <w:rStyle w:val="FootnoteReference"/>
          <w:rFonts w:ascii="Times New Roman" w:eastAsia="Times New Roman" w:hAnsi="Times New Roman" w:cs="Times New Roman"/>
          <w:spacing w:val="5"/>
          <w:lang w:eastAsia="sv-SE"/>
        </w:rPr>
        <w:footnoteReference w:id="2"/>
      </w:r>
      <w:r>
        <w:rPr>
          <w:rFonts w:ascii="Times New Roman" w:hAnsi="Times New Roman"/>
        </w:rPr>
        <w:t>, barva, vodivost, mangan (pokud se používá podzemní voda), pH a zákal.</w:t>
      </w:r>
    </w:p>
    <w:p w14:paraId="5045349B" w14:textId="77777777" w:rsidR="00270B91" w:rsidRPr="000D12B4" w:rsidRDefault="00270B91" w:rsidP="002F289D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spacing w:val="5"/>
          <w:szCs w:val="20"/>
          <w:lang w:eastAsia="sv-SE"/>
        </w:rPr>
      </w:pPr>
    </w:p>
    <w:p w14:paraId="0212E2BF" w14:textId="61BF7AFD" w:rsidR="0041281C" w:rsidRPr="000D12B4" w:rsidRDefault="002F289D" w:rsidP="002F289D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spacing w:val="5"/>
          <w:szCs w:val="20"/>
        </w:rPr>
      </w:pPr>
      <w:r>
        <w:rPr>
          <w:rFonts w:ascii="Times New Roman" w:hAnsi="Times New Roman"/>
        </w:rPr>
        <w:t>Monitorování se provádí v místě, kde je do zařízení pro zásobování vodou přiváděna surová voda. Monitorování se nevyžaduje, pokud není pitná voda upravena a objem vyprodukované pitné vody je menší než 10 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denně.</w:t>
      </w:r>
    </w:p>
    <w:p w14:paraId="65224FE6" w14:textId="77777777" w:rsidR="008D088A" w:rsidRPr="000D12B4" w:rsidRDefault="008D088A" w:rsidP="00AB3344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spacing w:val="5"/>
          <w:szCs w:val="20"/>
          <w:lang w:eastAsia="sv-SE"/>
        </w:rPr>
      </w:pP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1843"/>
        <w:gridCol w:w="1843"/>
      </w:tblGrid>
      <w:tr w:rsidR="000D12B4" w:rsidRPr="000D12B4" w14:paraId="1F20F499" w14:textId="77777777" w:rsidTr="00C06CE1">
        <w:trPr>
          <w:cantSplit/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7095D964" w14:textId="77777777" w:rsidR="00AC3910" w:rsidRPr="000D12B4" w:rsidRDefault="00AC3910" w:rsidP="00AC0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Vyprodukovaný objem pitné vody za den (m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>)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4E735C1" w14:textId="2E62F2DF" w:rsidR="00AC3910" w:rsidRPr="000D12B4" w:rsidRDefault="00C57418" w:rsidP="00AC3910">
            <w:pPr>
              <w:ind w:left="30"/>
              <w:outlineLvl w:val="6"/>
              <w:rPr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Podzemní vody</w:t>
            </w:r>
          </w:p>
          <w:p w14:paraId="17149118" w14:textId="5FDDD300" w:rsidR="00AC3910" w:rsidRPr="000D12B4" w:rsidRDefault="00AC3910" w:rsidP="00AC0CA8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B0A8F1C" w14:textId="656AD2A2" w:rsidR="00AC3910" w:rsidRPr="000D12B4" w:rsidRDefault="00AC3910" w:rsidP="00AC0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Povrchové vody a podzemní vody ovlivněné povrchovými vodami</w:t>
            </w:r>
          </w:p>
        </w:tc>
      </w:tr>
      <w:tr w:rsidR="000D12B4" w:rsidRPr="000D12B4" w14:paraId="42160279" w14:textId="77777777" w:rsidTr="00AC3910">
        <w:trPr>
          <w:cantSplit/>
        </w:trPr>
        <w:tc>
          <w:tcPr>
            <w:tcW w:w="2263" w:type="dxa"/>
          </w:tcPr>
          <w:p w14:paraId="4E5459BD" w14:textId="77777777" w:rsidR="00AC3910" w:rsidRPr="000D12B4" w:rsidRDefault="00AC3910" w:rsidP="00AC0CA8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&lt; 10</w:t>
            </w:r>
          </w:p>
        </w:tc>
        <w:tc>
          <w:tcPr>
            <w:tcW w:w="1843" w:type="dxa"/>
            <w:shd w:val="clear" w:color="auto" w:fill="auto"/>
          </w:tcPr>
          <w:p w14:paraId="660FB0A5" w14:textId="4C5820BB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5037E6E" w14:textId="23E0D880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0D12B4" w:rsidRPr="000D12B4" w14:paraId="11890A12" w14:textId="77777777" w:rsidTr="00AC3910">
        <w:trPr>
          <w:cantSplit/>
        </w:trPr>
        <w:tc>
          <w:tcPr>
            <w:tcW w:w="2263" w:type="dxa"/>
          </w:tcPr>
          <w:p w14:paraId="6169C4DB" w14:textId="4988243B" w:rsidR="00AC3910" w:rsidRPr="000D12B4" w:rsidRDefault="00AC3910" w:rsidP="00887913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10–100</w:t>
            </w:r>
          </w:p>
        </w:tc>
        <w:tc>
          <w:tcPr>
            <w:tcW w:w="1843" w:type="dxa"/>
            <w:shd w:val="clear" w:color="auto" w:fill="auto"/>
          </w:tcPr>
          <w:p w14:paraId="434347FA" w14:textId="1560F45B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1B1EACA" w14:textId="70E619B3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</w:tr>
      <w:tr w:rsidR="000D12B4" w:rsidRPr="000D12B4" w14:paraId="62AD9B0F" w14:textId="77777777" w:rsidTr="00AC3910">
        <w:trPr>
          <w:cantSplit/>
        </w:trPr>
        <w:tc>
          <w:tcPr>
            <w:tcW w:w="2263" w:type="dxa"/>
          </w:tcPr>
          <w:p w14:paraId="51542157" w14:textId="29C2D43D" w:rsidR="00AC3910" w:rsidRPr="000D12B4" w:rsidRDefault="00AC3910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100–1 000</w:t>
            </w:r>
          </w:p>
        </w:tc>
        <w:tc>
          <w:tcPr>
            <w:tcW w:w="1843" w:type="dxa"/>
            <w:shd w:val="clear" w:color="auto" w:fill="auto"/>
          </w:tcPr>
          <w:p w14:paraId="74780CEF" w14:textId="3BACBD78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38FE76A" w14:textId="10A419AD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24</w:t>
            </w:r>
          </w:p>
        </w:tc>
      </w:tr>
      <w:tr w:rsidR="000D12B4" w:rsidRPr="000D12B4" w14:paraId="6BC6A715" w14:textId="77777777" w:rsidTr="00AC3910">
        <w:trPr>
          <w:cantSplit/>
        </w:trPr>
        <w:tc>
          <w:tcPr>
            <w:tcW w:w="2263" w:type="dxa"/>
          </w:tcPr>
          <w:p w14:paraId="39226837" w14:textId="1DFCCBA0" w:rsidR="00AC3910" w:rsidRPr="000D12B4" w:rsidRDefault="00AC3910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1000–10 000</w:t>
            </w:r>
          </w:p>
        </w:tc>
        <w:tc>
          <w:tcPr>
            <w:tcW w:w="1843" w:type="dxa"/>
            <w:shd w:val="clear" w:color="auto" w:fill="auto"/>
          </w:tcPr>
          <w:p w14:paraId="02210B53" w14:textId="0EB00638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804D0AE" w14:textId="3FE47B1C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36</w:t>
            </w:r>
          </w:p>
        </w:tc>
      </w:tr>
      <w:tr w:rsidR="000D12B4" w:rsidRPr="000D12B4" w14:paraId="6AB57679" w14:textId="77777777" w:rsidTr="00AC3910">
        <w:trPr>
          <w:cantSplit/>
        </w:trPr>
        <w:tc>
          <w:tcPr>
            <w:tcW w:w="2263" w:type="dxa"/>
          </w:tcPr>
          <w:p w14:paraId="3F04C4D8" w14:textId="5AA342DA" w:rsidR="00AC3910" w:rsidRPr="000D12B4" w:rsidRDefault="00AC3910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&gt; 10 000–100 000 </w:t>
            </w:r>
          </w:p>
        </w:tc>
        <w:tc>
          <w:tcPr>
            <w:tcW w:w="1843" w:type="dxa"/>
            <w:shd w:val="clear" w:color="auto" w:fill="auto"/>
          </w:tcPr>
          <w:p w14:paraId="03DAA43E" w14:textId="7FDB28AE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50061D2" w14:textId="6C32A448" w:rsidR="00AC3910" w:rsidRPr="000D12B4" w:rsidRDefault="00AC3910" w:rsidP="00AC0CA8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52</w:t>
            </w:r>
          </w:p>
        </w:tc>
      </w:tr>
      <w:tr w:rsidR="00AC3910" w:rsidRPr="000D12B4" w14:paraId="0AAABC8A" w14:textId="77777777" w:rsidTr="00AC3910">
        <w:trPr>
          <w:cantSplit/>
        </w:trPr>
        <w:tc>
          <w:tcPr>
            <w:tcW w:w="2263" w:type="dxa"/>
          </w:tcPr>
          <w:p w14:paraId="4E8F0135" w14:textId="77777777" w:rsidR="00AC3910" w:rsidRPr="000D12B4" w:rsidRDefault="00AC3910" w:rsidP="00AC0CA8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100 000</w:t>
            </w:r>
          </w:p>
        </w:tc>
        <w:tc>
          <w:tcPr>
            <w:tcW w:w="1843" w:type="dxa"/>
            <w:shd w:val="clear" w:color="auto" w:fill="auto"/>
          </w:tcPr>
          <w:p w14:paraId="7FC1AECA" w14:textId="17DF7B1C" w:rsidR="00AC3910" w:rsidRPr="000D12B4" w:rsidRDefault="00AC3910" w:rsidP="00AC0CA8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5F2E34C1" w14:textId="067F6BC9" w:rsidR="00AC3910" w:rsidRPr="000D12B4" w:rsidRDefault="00AC3910" w:rsidP="00AC0CA8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52</w:t>
            </w:r>
          </w:p>
        </w:tc>
      </w:tr>
    </w:tbl>
    <w:p w14:paraId="61F045C9" w14:textId="77777777" w:rsidR="002A7563" w:rsidRPr="000D12B4" w:rsidRDefault="002A7563" w:rsidP="00AB3344">
      <w:pPr>
        <w:rPr>
          <w:rFonts w:ascii="Times New Roman" w:eastAsia="Times New Roman" w:hAnsi="Times New Roman" w:cs="Times New Roman"/>
          <w:spacing w:val="5"/>
          <w:sz w:val="22"/>
          <w:szCs w:val="22"/>
          <w:lang w:eastAsia="sv-SE"/>
        </w:rPr>
      </w:pPr>
    </w:p>
    <w:p w14:paraId="37BE9AEF" w14:textId="2E777678" w:rsidR="00AB3344" w:rsidRPr="000D12B4" w:rsidRDefault="002A7563" w:rsidP="00AB3344">
      <w:pPr>
        <w:rPr>
          <w:rFonts w:ascii="Times New Roman" w:eastAsia="Times New Roman" w:hAnsi="Times New Roman" w:cs="Times New Roman"/>
          <w:spacing w:val="5"/>
          <w:sz w:val="22"/>
          <w:szCs w:val="22"/>
        </w:rPr>
      </w:pPr>
      <w:r>
        <w:rPr>
          <w:rFonts w:ascii="Times New Roman" w:hAnsi="Times New Roman"/>
          <w:sz w:val="22"/>
        </w:rPr>
        <w:t>1) Objemy se vypočítají jako průměrná hodnota za kalendářní rok. Jako základ pro výpočet objemu vyprodukované vody lze použít počet zásobovaných osob. V takovém případě se předpokládá, že spotřeba pitné vody je 200 litrů na den na osobu.</w:t>
      </w:r>
    </w:p>
    <w:p w14:paraId="5E8C1543" w14:textId="77777777" w:rsidR="00314BD2" w:rsidRPr="000D12B4" w:rsidRDefault="00314BD2" w:rsidP="00A8276F">
      <w:pPr>
        <w:tabs>
          <w:tab w:val="clear" w:pos="283"/>
        </w:tabs>
      </w:pPr>
    </w:p>
    <w:p w14:paraId="505F3BE4" w14:textId="77777777" w:rsidR="00314BD2" w:rsidRPr="000D12B4" w:rsidRDefault="00314BD2">
      <w:pPr>
        <w:tabs>
          <w:tab w:val="clear" w:pos="283"/>
        </w:tabs>
      </w:pPr>
      <w:r>
        <w:br w:type="page"/>
      </w:r>
    </w:p>
    <w:p w14:paraId="200745F7" w14:textId="70C9BAFC" w:rsidR="008E7949" w:rsidRPr="000D12B4" w:rsidRDefault="008E7949" w:rsidP="00A8276F">
      <w:pPr>
        <w:keepNext/>
        <w:keepLines/>
        <w:spacing w:after="120"/>
        <w:outlineLvl w:val="2"/>
        <w:rPr>
          <w:rFonts w:ascii="Times New Roman" w:eastAsia="Times New Roman" w:hAnsi="Times New Roman" w:cs="Times New Roman"/>
          <w:spacing w:val="5"/>
          <w:szCs w:val="20"/>
        </w:rPr>
      </w:pPr>
      <w:r>
        <w:rPr>
          <w:rFonts w:ascii="Times New Roman" w:hAnsi="Times New Roman"/>
          <w:b/>
        </w:rPr>
        <w:lastRenderedPageBreak/>
        <w:t>Tabulka 2 – Odchozí pitná voda (počet vzorků za rok)</w:t>
      </w:r>
    </w:p>
    <w:tbl>
      <w:tblPr>
        <w:tblW w:w="43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9"/>
        <w:gridCol w:w="2336"/>
        <w:gridCol w:w="1917"/>
        <w:gridCol w:w="1842"/>
      </w:tblGrid>
      <w:tr w:rsidR="000D12B4" w:rsidRPr="000D12B4" w14:paraId="39248BE2" w14:textId="77777777" w:rsidTr="00EB30BE">
        <w:trPr>
          <w:cantSplit/>
          <w:trHeight w:val="461"/>
          <w:tblHeader/>
        </w:trPr>
        <w:tc>
          <w:tcPr>
            <w:tcW w:w="1158" w:type="pct"/>
            <w:vMerge w:val="restart"/>
            <w:shd w:val="clear" w:color="auto" w:fill="F2F2F2" w:themeFill="background1" w:themeFillShade="F2"/>
          </w:tcPr>
          <w:p w14:paraId="5213DADD" w14:textId="77777777" w:rsidR="00AC3910" w:rsidRPr="000D12B4" w:rsidRDefault="00AC3910" w:rsidP="00A80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Vyprodukovaný objem pitné vody za den (m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>)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2680" w:type="pct"/>
            <w:gridSpan w:val="2"/>
            <w:shd w:val="clear" w:color="auto" w:fill="F2F2F2" w:themeFill="background1" w:themeFillShade="F2"/>
          </w:tcPr>
          <w:p w14:paraId="23998FD9" w14:textId="74BD3F8F" w:rsidR="00AC3910" w:rsidRPr="000D12B4" w:rsidRDefault="00EB30BE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Ukazatele pro mikroorganismy, koliformní bakterie a kultivovatelné mikroorganismy při 22 °C dle uvedení v dodatku 1</w:t>
            </w:r>
          </w:p>
        </w:tc>
        <w:tc>
          <w:tcPr>
            <w:tcW w:w="1161" w:type="pct"/>
            <w:vMerge w:val="restart"/>
            <w:shd w:val="clear" w:color="auto" w:fill="F2F2F2" w:themeFill="background1" w:themeFillShade="F2"/>
          </w:tcPr>
          <w:p w14:paraId="55304DC6" w14:textId="3334E137" w:rsidR="00AC3910" w:rsidRPr="000D12B4" w:rsidRDefault="00A66D22" w:rsidP="00A66D22">
            <w:pPr>
              <w:ind w:left="30"/>
              <w:outlineLvl w:val="6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</w:rPr>
              <w:t>Ukazatele chemických látek, barvy, železa, pH a zákalu dle uvedení v dodatku 1</w:t>
            </w:r>
          </w:p>
        </w:tc>
      </w:tr>
      <w:tr w:rsidR="000D12B4" w:rsidRPr="000D12B4" w14:paraId="52D8D488" w14:textId="77777777" w:rsidTr="00EB30BE">
        <w:trPr>
          <w:cantSplit/>
          <w:trHeight w:val="460"/>
          <w:tblHeader/>
        </w:trPr>
        <w:tc>
          <w:tcPr>
            <w:tcW w:w="1158" w:type="pct"/>
            <w:vMerge/>
            <w:shd w:val="clear" w:color="auto" w:fill="F2F2F2" w:themeFill="background1" w:themeFillShade="F2"/>
          </w:tcPr>
          <w:p w14:paraId="5DC8745D" w14:textId="77777777" w:rsidR="00AC3910" w:rsidRPr="000D12B4" w:rsidRDefault="00AC3910" w:rsidP="00A80EF5">
            <w:pPr>
              <w:rPr>
                <w:b/>
                <w:sz w:val="22"/>
                <w:szCs w:val="22"/>
              </w:rPr>
            </w:pPr>
          </w:p>
        </w:tc>
        <w:tc>
          <w:tcPr>
            <w:tcW w:w="1472" w:type="pct"/>
            <w:shd w:val="clear" w:color="auto" w:fill="F2F2F2" w:themeFill="background1" w:themeFillShade="F2"/>
          </w:tcPr>
          <w:p w14:paraId="3819092D" w14:textId="0F40A799" w:rsidR="00AC3910" w:rsidRPr="000D12B4" w:rsidRDefault="00AC3910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Podzemní vody</w:t>
            </w:r>
          </w:p>
        </w:tc>
        <w:tc>
          <w:tcPr>
            <w:tcW w:w="1208" w:type="pct"/>
            <w:shd w:val="clear" w:color="auto" w:fill="F2F2F2" w:themeFill="background1" w:themeFillShade="F2"/>
          </w:tcPr>
          <w:p w14:paraId="6E250034" w14:textId="1F6F9282" w:rsidR="00AC3910" w:rsidRPr="000D12B4" w:rsidRDefault="00AC3910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Povrchové vody a podzemní vody ovlivněné povrchovými vodami</w:t>
            </w:r>
          </w:p>
        </w:tc>
        <w:tc>
          <w:tcPr>
            <w:tcW w:w="1161" w:type="pct"/>
            <w:vMerge/>
            <w:shd w:val="clear" w:color="auto" w:fill="F2F2F2" w:themeFill="background1" w:themeFillShade="F2"/>
          </w:tcPr>
          <w:p w14:paraId="1C85C4BA" w14:textId="77777777" w:rsidR="00AC3910" w:rsidRPr="000D12B4" w:rsidRDefault="00AC3910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</w:p>
        </w:tc>
      </w:tr>
      <w:tr w:rsidR="000D12B4" w:rsidRPr="000D12B4" w14:paraId="31344A2E" w14:textId="77777777" w:rsidTr="00EB30BE">
        <w:trPr>
          <w:cantSplit/>
        </w:trPr>
        <w:tc>
          <w:tcPr>
            <w:tcW w:w="1158" w:type="pct"/>
          </w:tcPr>
          <w:p w14:paraId="4A17269B" w14:textId="77777777" w:rsidR="00AC3910" w:rsidRPr="000D12B4" w:rsidRDefault="00AC3910" w:rsidP="00A80EF5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≤ 100</w:t>
            </w:r>
          </w:p>
        </w:tc>
        <w:tc>
          <w:tcPr>
            <w:tcW w:w="1472" w:type="pct"/>
          </w:tcPr>
          <w:p w14:paraId="153EB848" w14:textId="6F62262C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08" w:type="pct"/>
          </w:tcPr>
          <w:p w14:paraId="7530E96A" w14:textId="54C0ED50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61" w:type="pct"/>
          </w:tcPr>
          <w:p w14:paraId="707770EE" w14:textId="77777777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D12B4" w:rsidRPr="000D12B4" w14:paraId="47DFF483" w14:textId="77777777" w:rsidTr="00EB30BE">
        <w:trPr>
          <w:cantSplit/>
        </w:trPr>
        <w:tc>
          <w:tcPr>
            <w:tcW w:w="1158" w:type="pct"/>
          </w:tcPr>
          <w:p w14:paraId="3E0E99F5" w14:textId="1F655643" w:rsidR="00AC3910" w:rsidRPr="000D12B4" w:rsidRDefault="00AC3910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100–1 000</w:t>
            </w:r>
          </w:p>
        </w:tc>
        <w:tc>
          <w:tcPr>
            <w:tcW w:w="1472" w:type="pct"/>
          </w:tcPr>
          <w:p w14:paraId="677BD8F0" w14:textId="33B71076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08" w:type="pct"/>
          </w:tcPr>
          <w:p w14:paraId="51351E46" w14:textId="78B73AC4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61" w:type="pct"/>
          </w:tcPr>
          <w:p w14:paraId="7DD74E33" w14:textId="77777777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</w:tr>
      <w:tr w:rsidR="000D12B4" w:rsidRPr="000D12B4" w14:paraId="02D12A7C" w14:textId="77777777" w:rsidTr="00EB30BE">
        <w:trPr>
          <w:cantSplit/>
        </w:trPr>
        <w:tc>
          <w:tcPr>
            <w:tcW w:w="1158" w:type="pct"/>
          </w:tcPr>
          <w:p w14:paraId="75B41456" w14:textId="0DAB07A8" w:rsidR="00AC3910" w:rsidRPr="000D12B4" w:rsidRDefault="00AC3910" w:rsidP="00A80E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1000–10 000</w:t>
            </w:r>
          </w:p>
        </w:tc>
        <w:tc>
          <w:tcPr>
            <w:tcW w:w="1472" w:type="pct"/>
          </w:tcPr>
          <w:p w14:paraId="2133CF7D" w14:textId="7423AFB5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08" w:type="pct"/>
          </w:tcPr>
          <w:p w14:paraId="187D23C7" w14:textId="5EC45DF7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161" w:type="pct"/>
          </w:tcPr>
          <w:p w14:paraId="13D23893" w14:textId="77777777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</w:t>
            </w:r>
          </w:p>
        </w:tc>
      </w:tr>
      <w:tr w:rsidR="000D12B4" w:rsidRPr="000D12B4" w14:paraId="1B98B8EC" w14:textId="77777777" w:rsidTr="00EB30BE">
        <w:trPr>
          <w:cantSplit/>
        </w:trPr>
        <w:tc>
          <w:tcPr>
            <w:tcW w:w="1158" w:type="pct"/>
          </w:tcPr>
          <w:p w14:paraId="2D578AAD" w14:textId="75517E29" w:rsidR="00AC3910" w:rsidRPr="000D12B4" w:rsidRDefault="00AC3910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&gt; 10 000–100 000 </w:t>
            </w:r>
          </w:p>
        </w:tc>
        <w:tc>
          <w:tcPr>
            <w:tcW w:w="1472" w:type="pct"/>
          </w:tcPr>
          <w:p w14:paraId="1C8B9C29" w14:textId="6300CACF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08" w:type="pct"/>
          </w:tcPr>
          <w:p w14:paraId="126FC819" w14:textId="2C403E89" w:rsidR="00AC3910" w:rsidRPr="000D12B4" w:rsidRDefault="00AC3910" w:rsidP="00A80EF5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161" w:type="pct"/>
          </w:tcPr>
          <w:p w14:paraId="655C28DE" w14:textId="77777777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</w:t>
            </w:r>
          </w:p>
        </w:tc>
      </w:tr>
      <w:tr w:rsidR="00AC3910" w:rsidRPr="000D12B4" w14:paraId="379F7A86" w14:textId="77777777" w:rsidTr="00EB30BE">
        <w:trPr>
          <w:cantSplit/>
        </w:trPr>
        <w:tc>
          <w:tcPr>
            <w:tcW w:w="1158" w:type="pct"/>
          </w:tcPr>
          <w:p w14:paraId="4CFAFB44" w14:textId="77777777" w:rsidR="00AC3910" w:rsidRPr="000D12B4" w:rsidRDefault="00AC3910" w:rsidP="00A80EF5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100 000</w:t>
            </w:r>
          </w:p>
        </w:tc>
        <w:tc>
          <w:tcPr>
            <w:tcW w:w="1472" w:type="pct"/>
          </w:tcPr>
          <w:p w14:paraId="3F0EE434" w14:textId="4700D824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08" w:type="pct"/>
          </w:tcPr>
          <w:p w14:paraId="53864F1F" w14:textId="6101C146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161" w:type="pct"/>
          </w:tcPr>
          <w:p w14:paraId="629635EC" w14:textId="77777777" w:rsidR="00AC3910" w:rsidRPr="000D12B4" w:rsidRDefault="00AC3910" w:rsidP="00A80EF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36</w:t>
            </w:r>
          </w:p>
        </w:tc>
      </w:tr>
    </w:tbl>
    <w:p w14:paraId="03C5F0B2" w14:textId="77777777" w:rsidR="007738FA" w:rsidRPr="000D12B4" w:rsidRDefault="007738FA" w:rsidP="007738FA">
      <w:pPr>
        <w:pStyle w:val="ListParagraph"/>
        <w:rPr>
          <w:sz w:val="22"/>
          <w:szCs w:val="22"/>
        </w:rPr>
      </w:pPr>
    </w:p>
    <w:p w14:paraId="06FFF87D" w14:textId="5333C2D3" w:rsidR="008E7949" w:rsidRPr="000D12B4" w:rsidRDefault="008E7949" w:rsidP="001A2A6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</w:rPr>
        <w:t>Objemy se vypočítají jako průměrná hodnota za kalendářní rok. Jako základ pro výpočet objemu vyprodukované vody lze použít počet zásobovaných osob. V takovém případě se předpokládá, že spotřeba pitné vody je 200 litrů na den na osobu.</w:t>
      </w:r>
    </w:p>
    <w:p w14:paraId="6DAAD1C7" w14:textId="690CF055" w:rsidR="00692127" w:rsidRPr="000D12B4" w:rsidRDefault="00692127" w:rsidP="008E7949">
      <w:pPr>
        <w:rPr>
          <w:sz w:val="22"/>
          <w:szCs w:val="22"/>
        </w:rPr>
      </w:pPr>
    </w:p>
    <w:p w14:paraId="3630709A" w14:textId="1C572577" w:rsidR="00692127" w:rsidRPr="000D12B4" w:rsidRDefault="00692127" w:rsidP="00692127">
      <w:r>
        <w:t>U monitorovacích ukazatelů, které musí být monitorovány pro výstupní vodu určenou k lidské spotřebě podle dodatku 1, se monitorování nevyžaduje, pokud je objem vyprodukované vody nižší nebo roven 100 m</w:t>
      </w:r>
      <w:r>
        <w:rPr>
          <w:vertAlign w:val="superscript"/>
        </w:rPr>
        <w:t>3</w:t>
      </w:r>
      <w:r>
        <w:t xml:space="preserve"> denně, a výrobce pitné vody určené k lidské spotřebě může kontrolnímu orgánu prokázat, že mezi odchozí pitnou vodou a pitnou vodou u spotřebitele nedochází ke změně jakosti.</w:t>
      </w:r>
    </w:p>
    <w:p w14:paraId="23E99E09" w14:textId="5D492828" w:rsidR="002750B0" w:rsidRPr="000D12B4" w:rsidRDefault="002750B0" w:rsidP="002750B0">
      <w:pPr>
        <w:pStyle w:val="Heading2"/>
      </w:pPr>
      <w:r>
        <w:t>Tabulka 3 – Pitná voda u spotřebitele (počet vzorků za rok)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9"/>
        <w:gridCol w:w="2410"/>
        <w:gridCol w:w="2410"/>
      </w:tblGrid>
      <w:tr w:rsidR="000D12B4" w:rsidRPr="000D12B4" w14:paraId="1B958739" w14:textId="77777777" w:rsidTr="002750B0">
        <w:trPr>
          <w:cantSplit/>
          <w:tblHeader/>
        </w:trPr>
        <w:tc>
          <w:tcPr>
            <w:tcW w:w="3539" w:type="dxa"/>
            <w:shd w:val="clear" w:color="auto" w:fill="F2F2F2" w:themeFill="background1" w:themeFillShade="F2"/>
          </w:tcPr>
          <w:p w14:paraId="54607E22" w14:textId="1244E966" w:rsidR="002750B0" w:rsidRPr="000D12B4" w:rsidRDefault="002750B0" w:rsidP="002750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Distribuovaný nebo vyrobený objem pitné vody za den v oblasti zásobování vodou (m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>)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48D720F" w14:textId="2F9B510B" w:rsidR="00615085" w:rsidRPr="000D12B4" w:rsidRDefault="00615085" w:rsidP="0061508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Ukazatele zahrnuté do zkušební skupiny A dle uvedení v dodatku 1</w:t>
            </w:r>
          </w:p>
          <w:p w14:paraId="7E728FEE" w14:textId="486CB399" w:rsidR="002750B0" w:rsidRPr="000D12B4" w:rsidRDefault="002750B0" w:rsidP="003C075E">
            <w:pPr>
              <w:ind w:left="30"/>
              <w:outlineLvl w:val="6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56B27C7" w14:textId="3A98D2B9" w:rsidR="002750B0" w:rsidRPr="000D12B4" w:rsidRDefault="00615085" w:rsidP="002750B0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Ukazatele zahrnuté do zkušební skupiny B dle uvedení v dodatku 1</w:t>
            </w:r>
          </w:p>
          <w:p w14:paraId="14D3C767" w14:textId="67377CF7" w:rsidR="002750B0" w:rsidRPr="000D12B4" w:rsidRDefault="002750B0" w:rsidP="003C075E">
            <w:pPr>
              <w:ind w:left="30"/>
              <w:outlineLvl w:val="6"/>
              <w:rPr>
                <w:b/>
                <w:sz w:val="22"/>
                <w:szCs w:val="22"/>
              </w:rPr>
            </w:pPr>
          </w:p>
        </w:tc>
      </w:tr>
      <w:tr w:rsidR="000D12B4" w:rsidRPr="000D12B4" w14:paraId="744E2C32" w14:textId="77777777" w:rsidTr="002750B0">
        <w:trPr>
          <w:cantSplit/>
        </w:trPr>
        <w:tc>
          <w:tcPr>
            <w:tcW w:w="3539" w:type="dxa"/>
          </w:tcPr>
          <w:p w14:paraId="11113464" w14:textId="02A90024" w:rsidR="002750B0" w:rsidRPr="000D12B4" w:rsidRDefault="002750B0" w:rsidP="002750B0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&lt; 10</w:t>
            </w:r>
          </w:p>
        </w:tc>
        <w:tc>
          <w:tcPr>
            <w:tcW w:w="2410" w:type="dxa"/>
          </w:tcPr>
          <w:p w14:paraId="4538938B" w14:textId="76BB6E31" w:rsidR="002750B0" w:rsidRPr="000D12B4" w:rsidRDefault="002750B0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</w:tcPr>
          <w:p w14:paraId="5C1387D0" w14:textId="5D8E2DE8" w:rsidR="002750B0" w:rsidRPr="000D12B4" w:rsidRDefault="00E071C8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 každých šest let</w:t>
            </w:r>
          </w:p>
        </w:tc>
      </w:tr>
      <w:tr w:rsidR="000D12B4" w:rsidRPr="000D12B4" w14:paraId="156B0B74" w14:textId="77777777" w:rsidTr="002750B0">
        <w:trPr>
          <w:cantSplit/>
        </w:trPr>
        <w:tc>
          <w:tcPr>
            <w:tcW w:w="3539" w:type="dxa"/>
          </w:tcPr>
          <w:p w14:paraId="638DB45A" w14:textId="17932EDA" w:rsidR="002750B0" w:rsidRPr="000D12B4" w:rsidRDefault="00F3136F" w:rsidP="00F3136F">
            <w:pPr>
              <w:rPr>
                <w:sz w:val="22"/>
                <w:szCs w:val="22"/>
              </w:rPr>
            </w:pPr>
            <w:r>
              <w:rPr>
                <w:sz w:val="22"/>
              </w:rPr>
              <w:t>10–100</w:t>
            </w:r>
          </w:p>
        </w:tc>
        <w:tc>
          <w:tcPr>
            <w:tcW w:w="2410" w:type="dxa"/>
          </w:tcPr>
          <w:p w14:paraId="4E4CCDB7" w14:textId="247056BF" w:rsidR="002750B0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</w:tcPr>
          <w:p w14:paraId="737CCA55" w14:textId="79A2EB76" w:rsidR="002750B0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 každé dva roky</w:t>
            </w:r>
          </w:p>
        </w:tc>
      </w:tr>
      <w:tr w:rsidR="000D12B4" w:rsidRPr="000D12B4" w14:paraId="60125B97" w14:textId="77777777" w:rsidTr="002750B0">
        <w:trPr>
          <w:cantSplit/>
        </w:trPr>
        <w:tc>
          <w:tcPr>
            <w:tcW w:w="3539" w:type="dxa"/>
          </w:tcPr>
          <w:p w14:paraId="4F9C428B" w14:textId="5F4E4B9B" w:rsidR="00F3136F" w:rsidRPr="000D12B4" w:rsidRDefault="00F3136F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100–1 000</w:t>
            </w:r>
          </w:p>
        </w:tc>
        <w:tc>
          <w:tcPr>
            <w:tcW w:w="2410" w:type="dxa"/>
          </w:tcPr>
          <w:p w14:paraId="38B1B539" w14:textId="54928E16" w:rsidR="00F3136F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0" w:type="dxa"/>
          </w:tcPr>
          <w:p w14:paraId="148226AC" w14:textId="43AAF510" w:rsidR="00F3136F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</w:tr>
      <w:tr w:rsidR="000D12B4" w:rsidRPr="000D12B4" w14:paraId="3FE5F87B" w14:textId="77777777" w:rsidTr="002750B0">
        <w:trPr>
          <w:cantSplit/>
        </w:trPr>
        <w:tc>
          <w:tcPr>
            <w:tcW w:w="3539" w:type="dxa"/>
          </w:tcPr>
          <w:p w14:paraId="4D5E4763" w14:textId="6DB6AEC0" w:rsidR="00F3136F" w:rsidRPr="000D12B4" w:rsidRDefault="00F3136F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&gt; 1000–10 000 </w:t>
            </w:r>
          </w:p>
        </w:tc>
        <w:tc>
          <w:tcPr>
            <w:tcW w:w="2410" w:type="dxa"/>
          </w:tcPr>
          <w:p w14:paraId="34E5831F" w14:textId="329FA140" w:rsidR="00F3136F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 + (3 na 1 000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  <w:tc>
          <w:tcPr>
            <w:tcW w:w="2410" w:type="dxa"/>
          </w:tcPr>
          <w:p w14:paraId="63E41427" w14:textId="63B34801" w:rsidR="00F3136F" w:rsidRPr="000D12B4" w:rsidRDefault="00F3136F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 + (1 na 3 300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</w:tr>
      <w:tr w:rsidR="000D12B4" w:rsidRPr="000D12B4" w14:paraId="0E9C1D3D" w14:textId="77777777" w:rsidTr="002750B0">
        <w:trPr>
          <w:cantSplit/>
        </w:trPr>
        <w:tc>
          <w:tcPr>
            <w:tcW w:w="3539" w:type="dxa"/>
          </w:tcPr>
          <w:p w14:paraId="0D535B27" w14:textId="6B45F4B2" w:rsidR="000F2F73" w:rsidRPr="000D12B4" w:rsidRDefault="000F2F73" w:rsidP="0088791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10 000–100 000</w:t>
            </w:r>
          </w:p>
        </w:tc>
        <w:tc>
          <w:tcPr>
            <w:tcW w:w="2410" w:type="dxa"/>
          </w:tcPr>
          <w:p w14:paraId="51DC928D" w14:textId="424DF0D3" w:rsidR="000F2F73" w:rsidRPr="000D12B4" w:rsidRDefault="000F2F73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 + (3 na 1 000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  <w:tc>
          <w:tcPr>
            <w:tcW w:w="2410" w:type="dxa"/>
          </w:tcPr>
          <w:p w14:paraId="15EF0B95" w14:textId="35FC4036" w:rsidR="000F2F73" w:rsidRPr="000D12B4" w:rsidRDefault="000F2F73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 + (1 na 10 000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</w:tr>
      <w:tr w:rsidR="000F2F73" w:rsidRPr="000D12B4" w14:paraId="1636555A" w14:textId="77777777" w:rsidTr="002750B0">
        <w:trPr>
          <w:cantSplit/>
        </w:trPr>
        <w:tc>
          <w:tcPr>
            <w:tcW w:w="3539" w:type="dxa"/>
          </w:tcPr>
          <w:p w14:paraId="4F9E4E6F" w14:textId="29DC530C" w:rsidR="000F2F73" w:rsidRPr="000D12B4" w:rsidRDefault="000F2F73" w:rsidP="000F2F73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100 000</w:t>
            </w:r>
          </w:p>
        </w:tc>
        <w:tc>
          <w:tcPr>
            <w:tcW w:w="2410" w:type="dxa"/>
          </w:tcPr>
          <w:p w14:paraId="0733CFC5" w14:textId="1AF5C34A" w:rsidR="000F2F73" w:rsidRPr="000D12B4" w:rsidRDefault="000F2F73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 + (3 na 1 000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  <w:tc>
          <w:tcPr>
            <w:tcW w:w="2410" w:type="dxa"/>
          </w:tcPr>
          <w:p w14:paraId="69B66B11" w14:textId="37917455" w:rsidR="000F2F73" w:rsidRPr="000D12B4" w:rsidRDefault="000F2F73" w:rsidP="002750B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12 + (1 na 25 000 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</w:tr>
    </w:tbl>
    <w:p w14:paraId="5E0C398D" w14:textId="1145A0E9" w:rsidR="002750B0" w:rsidRPr="000D12B4" w:rsidRDefault="002750B0" w:rsidP="00173D26"/>
    <w:p w14:paraId="140828B3" w14:textId="06CB533D" w:rsidR="00FE5D29" w:rsidRPr="000D12B4" w:rsidRDefault="005B48D3" w:rsidP="00B13878">
      <w:pPr>
        <w:rPr>
          <w:sz w:val="22"/>
          <w:szCs w:val="22"/>
        </w:rPr>
      </w:pPr>
      <w:r>
        <w:rPr>
          <w:sz w:val="22"/>
        </w:rPr>
        <w:t>1) Objemy se vypočítají jako průměrná hodnota za kalendářní rok. Počet osob v oblasti zásobování vodou může být použit jako základ pro výpočet objemu distribuované nebo vyrobené pitné vody. V takovém případě se předpokládá, že spotřeba pitné vody je 200 litrů na den na osobu.</w:t>
      </w:r>
    </w:p>
    <w:p w14:paraId="3FEBCF1B" w14:textId="77777777" w:rsidR="008A2257" w:rsidRPr="000D12B4" w:rsidRDefault="008A2257" w:rsidP="00FE5D29">
      <w:pPr>
        <w:pStyle w:val="Heading2"/>
      </w:pPr>
    </w:p>
    <w:p w14:paraId="6D17C025" w14:textId="1AAC7315" w:rsidR="00FE5D29" w:rsidRPr="000D12B4" w:rsidRDefault="00FE5D29" w:rsidP="00FE5D29">
      <w:pPr>
        <w:pStyle w:val="Heading2"/>
      </w:pPr>
      <w:r>
        <w:t>Tabulka 4 – Pitná voda stáčená do lahví nebo nádob (ukazatele a počet vzorků za rok)</w:t>
      </w:r>
    </w:p>
    <w:p w14:paraId="32648A1E" w14:textId="4E366F37" w:rsidR="00B24A96" w:rsidRPr="000D12B4" w:rsidRDefault="00B24A96" w:rsidP="00B24A96">
      <w:pPr>
        <w:rPr>
          <w:noProof/>
        </w:rPr>
      </w:pPr>
      <w:r>
        <w:t>Ukazatele, které mají být monitorovány, jsou radon, celková aktivita alfa, celková aktivita beta, tritium a indikativní dávka.</w:t>
      </w:r>
    </w:p>
    <w:p w14:paraId="40343524" w14:textId="77777777" w:rsidR="00B24A96" w:rsidRPr="000D12B4" w:rsidRDefault="00B24A96" w:rsidP="00B24A96"/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3686"/>
      </w:tblGrid>
      <w:tr w:rsidR="000D12B4" w:rsidRPr="000D12B4" w14:paraId="02552F1B" w14:textId="77777777" w:rsidTr="00FE5D29">
        <w:trPr>
          <w:cantSplit/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433342E1" w14:textId="77777777" w:rsidR="00FE5D29" w:rsidRPr="000D12B4" w:rsidRDefault="00FE5D29" w:rsidP="00B52E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Vyprodukovaný objem pitné vody za den (m</w:t>
            </w:r>
            <w:r>
              <w:rPr>
                <w:b/>
                <w:sz w:val="22"/>
                <w:vertAlign w:val="superscript"/>
              </w:rPr>
              <w:t>3</w:t>
            </w:r>
            <w:r>
              <w:rPr>
                <w:b/>
                <w:sz w:val="22"/>
              </w:rPr>
              <w:t>)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EDAA5A3" w14:textId="3F5931E6" w:rsidR="00FE5D29" w:rsidRPr="000D12B4" w:rsidRDefault="00FE5D29" w:rsidP="00D33E4A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Monitorování ukazatelů radioaktivních látek</w:t>
            </w:r>
          </w:p>
        </w:tc>
      </w:tr>
      <w:tr w:rsidR="000D12B4" w:rsidRPr="000D12B4" w14:paraId="5B25540A" w14:textId="77777777" w:rsidTr="00FE5D29">
        <w:trPr>
          <w:cantSplit/>
        </w:trPr>
        <w:tc>
          <w:tcPr>
            <w:tcW w:w="2263" w:type="dxa"/>
          </w:tcPr>
          <w:p w14:paraId="18FCC540" w14:textId="1B5EAA7D" w:rsidR="00FE5D29" w:rsidRPr="000D12B4" w:rsidRDefault="00FE5D29" w:rsidP="00B52E63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≤ 60</w:t>
            </w:r>
          </w:p>
        </w:tc>
        <w:tc>
          <w:tcPr>
            <w:tcW w:w="3686" w:type="dxa"/>
          </w:tcPr>
          <w:p w14:paraId="3427E2B3" w14:textId="2D3562D4" w:rsidR="00FE5D29" w:rsidRPr="000D12B4" w:rsidRDefault="00FE5D29" w:rsidP="00B52E63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</w:tr>
      <w:tr w:rsidR="00FE5D29" w:rsidRPr="000D12B4" w14:paraId="1258F842" w14:textId="77777777" w:rsidTr="00FE5D29">
        <w:trPr>
          <w:cantSplit/>
        </w:trPr>
        <w:tc>
          <w:tcPr>
            <w:tcW w:w="2263" w:type="dxa"/>
          </w:tcPr>
          <w:p w14:paraId="4215F599" w14:textId="325A0339" w:rsidR="00FE5D29" w:rsidRPr="000D12B4" w:rsidRDefault="00FE5D29" w:rsidP="00FE5D29">
            <w:pPr>
              <w:rPr>
                <w:sz w:val="22"/>
                <w:szCs w:val="22"/>
              </w:rPr>
            </w:pPr>
            <w:r>
              <w:rPr>
                <w:sz w:val="22"/>
              </w:rPr>
              <w:t>&gt; 60</w:t>
            </w:r>
          </w:p>
        </w:tc>
        <w:tc>
          <w:tcPr>
            <w:tcW w:w="3686" w:type="dxa"/>
          </w:tcPr>
          <w:p w14:paraId="5F7BD2FC" w14:textId="6242DACE" w:rsidR="00FE5D29" w:rsidRPr="000D12B4" w:rsidRDefault="00FE5D29" w:rsidP="00B52E63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 (+1 na 100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za den a jeho část vypočtená z celkového objemu)</w:t>
            </w:r>
          </w:p>
        </w:tc>
      </w:tr>
    </w:tbl>
    <w:p w14:paraId="67B5CD71" w14:textId="77777777" w:rsidR="00FE5D29" w:rsidRPr="000D12B4" w:rsidRDefault="00FE5D29" w:rsidP="00FE5D29"/>
    <w:p w14:paraId="449767CE" w14:textId="421A505D" w:rsidR="00FE5D29" w:rsidRPr="000D12B4" w:rsidRDefault="00FE5D29" w:rsidP="00FE5D29">
      <w:pPr>
        <w:rPr>
          <w:sz w:val="22"/>
          <w:szCs w:val="22"/>
        </w:rPr>
      </w:pPr>
      <w:r>
        <w:rPr>
          <w:sz w:val="22"/>
        </w:rPr>
        <w:t xml:space="preserve">1) Objemy se vypočítají jako průměrná hodnota za kalendářní rok. </w:t>
      </w:r>
    </w:p>
    <w:p w14:paraId="6C51ECB6" w14:textId="77777777" w:rsidR="00FE5D29" w:rsidRPr="000D12B4" w:rsidRDefault="00FE5D29" w:rsidP="00B13878">
      <w:pPr>
        <w:rPr>
          <w:sz w:val="22"/>
          <w:szCs w:val="22"/>
        </w:rPr>
      </w:pPr>
    </w:p>
    <w:p w14:paraId="4C90573A" w14:textId="34FCE8BB" w:rsidR="00FC24F7" w:rsidRPr="000D12B4" w:rsidRDefault="00FC24F7" w:rsidP="00FC24F7">
      <w:pPr>
        <w:pStyle w:val="Heading1"/>
      </w:pPr>
      <w:r>
        <w:t xml:space="preserve">Oddíl C – Zvýšení nebo snížení četnosti odběru vzorků a zvýšení nebo snížení počtu ukazatelů </w:t>
      </w:r>
    </w:p>
    <w:p w14:paraId="586F1F64" w14:textId="45E6767F" w:rsidR="00FC24F7" w:rsidRPr="000D12B4" w:rsidRDefault="00FC24F7" w:rsidP="00FC24F7">
      <w:pPr>
        <w:pStyle w:val="Heading2"/>
      </w:pPr>
      <w:r>
        <w:t xml:space="preserve">Část I – Zvýšení počtu ukazatelů a zvýšení četnosti odběru vzorků </w:t>
      </w:r>
    </w:p>
    <w:p w14:paraId="3A141892" w14:textId="06C80EB9" w:rsidR="00FC24F7" w:rsidRPr="000D12B4" w:rsidRDefault="00FC24F7" w:rsidP="00FC24F7">
      <w:r>
        <w:t xml:space="preserve">Na základě výsledků analýzy rizik v souladu s oddílem 11 se zvýší počet ukazatelů, které se monitorují podle skupin vzorků A a B v souladu s dodatkem 1, a ukazatele pro surovou vodu v oddíle B, nebo se zvýší četnost monitorování v souladu s oddílem B, pokud je splněna některá z těchto podmínek:  </w:t>
      </w:r>
    </w:p>
    <w:p w14:paraId="2FFF5954" w14:textId="5C556CBD" w:rsidR="00FC24F7" w:rsidRPr="000D12B4" w:rsidRDefault="00FC24F7" w:rsidP="00FC24F7">
      <w:r>
        <w:tab/>
        <w:t xml:space="preserve">1. Je zapotřebí dalšího monitorování, aby se zajistilo, že pitná voda bude zdravotně nezávadná a čistá. </w:t>
      </w:r>
    </w:p>
    <w:p w14:paraId="2EB66CDA" w14:textId="08E2185E" w:rsidR="00FC24F7" w:rsidRPr="000D12B4" w:rsidRDefault="00FC24F7" w:rsidP="00FC24F7">
      <w:r>
        <w:tab/>
        <w:t xml:space="preserve">2. K zajištění účinnosti čištění je nezbytné další monitorování surové vody. </w:t>
      </w:r>
    </w:p>
    <w:p w14:paraId="2AED6C36" w14:textId="7DDCEF22" w:rsidR="00FC24F7" w:rsidRPr="000D12B4" w:rsidRDefault="00077909" w:rsidP="00FC24F7">
      <w:r>
        <w:tab/>
        <w:t xml:space="preserve">3. Je třeba dále sledovat, zda jsou stávající opatření ke kontrole rizik pro lidské zdraví v řetězci zásobování vodou od povodí přes odběr, zpracování a skladování až po distribuci účinná, a že voda v místě, kde mají být hodnoty dodržovány, je zdravotně nezávadná a čistá.  </w:t>
      </w:r>
    </w:p>
    <w:p w14:paraId="715D1B8C" w14:textId="48E3611A" w:rsidR="00FC24F7" w:rsidRPr="000D12B4" w:rsidRDefault="00FC24F7" w:rsidP="00FC24F7">
      <w:pPr>
        <w:pStyle w:val="Heading2"/>
      </w:pPr>
      <w:r>
        <w:t xml:space="preserve">Část II – Snížení počtu ukazatelů a četnosti odběru vzorků </w:t>
      </w:r>
    </w:p>
    <w:p w14:paraId="621AC2F1" w14:textId="73844B67" w:rsidR="00FC24F7" w:rsidRPr="000D12B4" w:rsidRDefault="00FC24F7" w:rsidP="00FC24F7">
      <w:r>
        <w:t>Na základě výsledků analýzy rizik v souladu s oddílem 11 lze snížit počet ukazatelů, které mají být monitorovány v souladu se skupinami vzorků A a B</w:t>
      </w:r>
      <w:r>
        <w:rPr>
          <w:i/>
        </w:rPr>
        <w:t xml:space="preserve"> </w:t>
      </w:r>
      <w:r>
        <w:t>a četností odběru vzorků podle oddílu B. Za předpokladu, že analýza rizik potvrdí, že nelze důvodně očekávat, že by nějaké látky nebo mikroorganismy narušily kvalitu vody určené k lidské spotřebě.  Ostatní podmínky jsou uvedeny v bodech 1–3 níže.</w:t>
      </w:r>
    </w:p>
    <w:p w14:paraId="37B5864C" w14:textId="4E903B75" w:rsidR="00FC24F7" w:rsidRPr="000D12B4" w:rsidRDefault="00FC24F7" w:rsidP="00FC24F7">
      <w:r>
        <w:t xml:space="preserve">    Ukazatele E. coli a střevní enterokoky</w:t>
      </w:r>
      <w:r>
        <w:rPr>
          <w:i/>
        </w:rPr>
        <w:t xml:space="preserve"> </w:t>
      </w:r>
      <w:r>
        <w:t>musí být vždy sledovány s četností specifikovanou v oddíle B tabulce 3.</w:t>
      </w:r>
    </w:p>
    <w:p w14:paraId="6AE5FB1F" w14:textId="2330CEBF" w:rsidR="00FC24F7" w:rsidRPr="000D12B4" w:rsidRDefault="006472A6" w:rsidP="00FC24F7">
      <w:pPr>
        <w:pStyle w:val="Heading2"/>
        <w:rPr>
          <w:i/>
        </w:rPr>
      </w:pPr>
      <w:r>
        <w:rPr>
          <w:i/>
        </w:rPr>
        <w:lastRenderedPageBreak/>
        <w:t>1. Snížení četnosti odběru vzorků</w:t>
      </w:r>
    </w:p>
    <w:p w14:paraId="0D0649A2" w14:textId="645AE0AE" w:rsidR="00FC24F7" w:rsidRPr="000D12B4" w:rsidRDefault="00FC24F7" w:rsidP="00FC24F7">
      <w:pPr>
        <w:rPr>
          <w:position w:val="6"/>
        </w:rPr>
      </w:pPr>
      <w:r>
        <w:t>Četnost odběru vzorků v souladu s oddílem B může být snížena u jednoho ukazatele, pokud jsou všechny výsledky vzorků odebraných v souladu s přijatým programem monitorování po dobu nejméně tří let z míst odběru vzorků reprezentativních pro celou oblast zásobování vodou nižší než 60 % mezní hodnoty stanovené v dodatku 1</w:t>
      </w:r>
      <w:r>
        <w:rPr>
          <w:i/>
        </w:rPr>
        <w:t>.</w:t>
      </w:r>
      <w:r>
        <w:t xml:space="preserve"> Četnost odběru vzorků se stanoví ve vztahu k dlouhodobému trendu ukazatele a kolísání koncentrace. </w:t>
      </w:r>
    </w:p>
    <w:p w14:paraId="454385D9" w14:textId="756945B5" w:rsidR="00FC24F7" w:rsidRPr="000D12B4" w:rsidRDefault="000E68EA" w:rsidP="00FC24F7">
      <w:pPr>
        <w:pStyle w:val="Heading2"/>
        <w:rPr>
          <w:i/>
        </w:rPr>
      </w:pPr>
      <w:r>
        <w:rPr>
          <w:i/>
        </w:rPr>
        <w:t xml:space="preserve">2. Výjimka z možnosti snížit četnost odběru vzorků </w:t>
      </w:r>
    </w:p>
    <w:p w14:paraId="2A6E8651" w14:textId="28D9C123" w:rsidR="00FC24F7" w:rsidRPr="000D12B4" w:rsidRDefault="00FC24F7" w:rsidP="00FC24F7">
      <w:r>
        <w:t>Odstavec 1 se nevztahuje na tritium, jehož četnost nesmí být snížena, je-li vyžadováno monitorování ukazatele v souladu s dodatkem 1 a nelze-li rozhodnout o snížení podle části III níže.</w:t>
      </w:r>
    </w:p>
    <w:p w14:paraId="6D2399E1" w14:textId="049419AD" w:rsidR="00FC24F7" w:rsidRPr="000D12B4" w:rsidRDefault="000E68EA" w:rsidP="00FC24F7">
      <w:pPr>
        <w:pStyle w:val="Heading2"/>
        <w:rPr>
          <w:i/>
        </w:rPr>
      </w:pPr>
      <w:r>
        <w:rPr>
          <w:i/>
        </w:rPr>
        <w:t xml:space="preserve">3. Snížení počtu ukazatelů </w:t>
      </w:r>
    </w:p>
    <w:p w14:paraId="09D33F62" w14:textId="0A6B7991" w:rsidR="00FC24F7" w:rsidRPr="000D12B4" w:rsidRDefault="007D234D" w:rsidP="00FC24F7">
      <w:r>
        <w:t xml:space="preserve">Snížení počtu ukazatelů, které mají být sledovány v souladu s dodatkem 1, s výjimkou ukazatelů pro radioaktivní látky, může být provedeno, pokud: </w:t>
      </w:r>
    </w:p>
    <w:p w14:paraId="083342C9" w14:textId="2DC2CC2D" w:rsidR="00FC24F7" w:rsidRPr="000D12B4" w:rsidRDefault="00FC24F7" w:rsidP="00FC24F7">
      <w:r>
        <w:tab/>
        <w:t>a) všechny výsledky vzorků odebraných v souladu s přijatým programem monitorování po dobu nejméně tří let, z míst odběru vzorků reprezentativních pro celou oblast zásobování vodou, jsou nižší než 30 % mezní hodnoty stanovené v dodatku 1, nebo pokud z analýzy rizik vyplývá, že ukazatel se nenachází v surové vodě</w:t>
      </w:r>
      <w:r>
        <w:rPr>
          <w:i/>
        </w:rPr>
        <w:t>,</w:t>
      </w:r>
      <w:r>
        <w:t xml:space="preserve"> a </w:t>
      </w:r>
    </w:p>
    <w:p w14:paraId="59A52363" w14:textId="2FE84381" w:rsidR="00FC24F7" w:rsidRPr="000D12B4" w:rsidRDefault="00FC24F7" w:rsidP="00FC24F7">
      <w:r>
        <w:tab/>
        <w:t>b) analýza rizik potvrzuje, že lidské zdraví je chráněno před škodlivými účinky jakéhokoli znečištění vody určené k lidské spotřebě.</w:t>
      </w:r>
    </w:p>
    <w:p w14:paraId="7C728506" w14:textId="51C69E24" w:rsidR="00C647A5" w:rsidRPr="000D12B4" w:rsidRDefault="00C647A5" w:rsidP="00FC24F7"/>
    <w:p w14:paraId="7D059615" w14:textId="1DE89684" w:rsidR="00C647A5" w:rsidRPr="000D12B4" w:rsidRDefault="00C647A5" w:rsidP="00C647A5">
      <w:pPr>
        <w:pStyle w:val="Heading2"/>
      </w:pPr>
      <w:r>
        <w:t xml:space="preserve">Část III – Snížení počtu ukazatelů pro radioaktivní látky </w:t>
      </w:r>
    </w:p>
    <w:p w14:paraId="475DC93B" w14:textId="62938B7F" w:rsidR="0049028F" w:rsidRPr="000D12B4" w:rsidRDefault="00281D21" w:rsidP="00B13878">
      <w:r>
        <w:t>Ukazatele radon, celková aktivita alfa, celková aktivita beta, tritium a indikativní dávka mohou být po určitou dobu vyloučeny z monitorování, pokud kontrolní orgán zjistí, že je nepravděpodobné, že by se tento parametr objevil v dodávání vody při koncentracích, které by mohly představovat riziko odchylky od mezních hodnot stanovených v dodatku 1.</w:t>
      </w:r>
    </w:p>
    <w:p w14:paraId="0376FAE0" w14:textId="3F54321A" w:rsidR="00A64ED1" w:rsidRPr="000D12B4" w:rsidRDefault="004755B1" w:rsidP="00A64ED1">
      <w:pPr>
        <w:pStyle w:val="Heading2"/>
        <w:rPr>
          <w:sz w:val="34"/>
          <w:szCs w:val="34"/>
        </w:rPr>
      </w:pPr>
      <w:r>
        <w:rPr>
          <w:sz w:val="34"/>
        </w:rPr>
        <w:t>Oddíl D – Vyšetřování indikativní dávky</w:t>
      </w:r>
    </w:p>
    <w:p w14:paraId="72239E0E" w14:textId="01EFE154" w:rsidR="00A64ED1" w:rsidRPr="000D12B4" w:rsidRDefault="00972745" w:rsidP="00A64ED1">
      <w:pPr>
        <w:keepNext/>
        <w:keepLines/>
        <w:spacing w:before="480" w:after="120"/>
        <w:outlineLvl w:val="1"/>
        <w:rPr>
          <w:rFonts w:ascii="Times New Roman" w:eastAsia="Times New Roman" w:hAnsi="Times New Roman" w:cs="Times New Roman"/>
          <w:highlight w:val="green"/>
        </w:rPr>
      </w:pPr>
      <w:r>
        <w:rPr>
          <w:rFonts w:ascii="Times New Roman" w:hAnsi="Times New Roman"/>
        </w:rPr>
        <w:t xml:space="preserve">Pokud byl překročen limit pro celkovou aktivitu alfa, celkovou aktivitu beta nebo tritium, prošetří se radionuklidy uvedené v tabulce níže, které jsou pro zdroj relevantní. </w:t>
      </w:r>
    </w:p>
    <w:p w14:paraId="3F97EF84" w14:textId="77777777" w:rsidR="00A64ED1" w:rsidRPr="000D12B4" w:rsidRDefault="00A64ED1" w:rsidP="00A64ED1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4747"/>
      </w:tblGrid>
      <w:tr w:rsidR="000D12B4" w:rsidRPr="000D12B4" w14:paraId="2E432900" w14:textId="77777777" w:rsidTr="00A80EF5">
        <w:trPr>
          <w:cantSplit/>
          <w:tblHeader/>
        </w:trPr>
        <w:tc>
          <w:tcPr>
            <w:tcW w:w="4395" w:type="dxa"/>
            <w:shd w:val="clear" w:color="auto" w:fill="F2F2F2" w:themeFill="background1" w:themeFillShade="F2"/>
          </w:tcPr>
          <w:p w14:paraId="06832803" w14:textId="5DDA39B5" w:rsidR="00A64ED1" w:rsidRPr="000D12B4" w:rsidRDefault="00A64ED1" w:rsidP="00A80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Původ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70A2BD40" w14:textId="205EDD21" w:rsidR="00A64ED1" w:rsidRPr="000D12B4" w:rsidRDefault="00A64ED1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Izotop</w:t>
            </w:r>
          </w:p>
        </w:tc>
      </w:tr>
      <w:tr w:rsidR="000D12B4" w:rsidRPr="007B482C" w14:paraId="6457564C" w14:textId="77777777" w:rsidTr="00A80EF5">
        <w:trPr>
          <w:cantSplit/>
        </w:trPr>
        <w:tc>
          <w:tcPr>
            <w:tcW w:w="4395" w:type="dxa"/>
          </w:tcPr>
          <w:p w14:paraId="6005B16A" w14:textId="2860F2B0" w:rsidR="00A64ED1" w:rsidRPr="000D12B4" w:rsidRDefault="00A64ED1" w:rsidP="00A80EF5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Přírodní</w:t>
            </w:r>
          </w:p>
        </w:tc>
        <w:tc>
          <w:tcPr>
            <w:tcW w:w="4747" w:type="dxa"/>
          </w:tcPr>
          <w:p w14:paraId="5D3FB479" w14:textId="1BD5B0B0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U-2381</w:t>
            </w:r>
            <w:r>
              <w:rPr>
                <w:sz w:val="22"/>
                <w:vertAlign w:val="superscript"/>
              </w:rPr>
              <w:t>1</w:t>
            </w:r>
          </w:p>
          <w:p w14:paraId="6FFB7F90" w14:textId="77777777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U-2341</w:t>
            </w:r>
          </w:p>
          <w:p w14:paraId="1E59AFF3" w14:textId="77777777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Ra-226</w:t>
            </w:r>
          </w:p>
          <w:p w14:paraId="71BFC1D6" w14:textId="77777777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Ra-228</w:t>
            </w:r>
          </w:p>
          <w:p w14:paraId="647C104C" w14:textId="77777777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Pb-210</w:t>
            </w:r>
          </w:p>
          <w:p w14:paraId="5574290A" w14:textId="068A20A2" w:rsidR="00A64ED1" w:rsidRPr="007B482C" w:rsidRDefault="00A64ED1" w:rsidP="00A64ED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Po-210</w:t>
            </w:r>
          </w:p>
        </w:tc>
      </w:tr>
      <w:tr w:rsidR="00A64ED1" w:rsidRPr="000D12B4" w14:paraId="451C85F9" w14:textId="77777777" w:rsidTr="00A80EF5">
        <w:trPr>
          <w:cantSplit/>
        </w:trPr>
        <w:tc>
          <w:tcPr>
            <w:tcW w:w="4395" w:type="dxa"/>
          </w:tcPr>
          <w:p w14:paraId="7C32781B" w14:textId="497770C1" w:rsidR="00A64ED1" w:rsidRPr="000D12B4" w:rsidRDefault="00A64ED1" w:rsidP="00A80EF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Umělý</w:t>
            </w:r>
          </w:p>
        </w:tc>
        <w:tc>
          <w:tcPr>
            <w:tcW w:w="4747" w:type="dxa"/>
          </w:tcPr>
          <w:p w14:paraId="00B3D01D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C-14</w:t>
            </w:r>
          </w:p>
          <w:p w14:paraId="0D438F6D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Sr-90</w:t>
            </w:r>
          </w:p>
          <w:p w14:paraId="73E2067D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Pu-239/Pu-240</w:t>
            </w:r>
          </w:p>
          <w:p w14:paraId="411FD01A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Am 241</w:t>
            </w:r>
          </w:p>
          <w:p w14:paraId="7C7F39DA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Co-60</w:t>
            </w:r>
          </w:p>
          <w:p w14:paraId="37DB5A2E" w14:textId="77777777" w:rsidR="00A64ED1" w:rsidRPr="007B482C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Cs-134</w:t>
            </w:r>
          </w:p>
          <w:p w14:paraId="751F6575" w14:textId="77777777" w:rsidR="00A64ED1" w:rsidRPr="000D12B4" w:rsidRDefault="00A64ED1" w:rsidP="00A64ED1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Cs-137</w:t>
            </w:r>
          </w:p>
          <w:p w14:paraId="37369C72" w14:textId="50843609" w:rsidR="00A64ED1" w:rsidRPr="000D12B4" w:rsidRDefault="00A64ED1" w:rsidP="00A64ED1">
            <w:pPr>
              <w:rPr>
                <w:sz w:val="22"/>
                <w:szCs w:val="22"/>
              </w:rPr>
            </w:pPr>
            <w:r>
              <w:rPr>
                <w:sz w:val="22"/>
              </w:rPr>
              <w:t>I-131</w:t>
            </w:r>
          </w:p>
        </w:tc>
      </w:tr>
    </w:tbl>
    <w:p w14:paraId="2A813660" w14:textId="5664B5AC" w:rsidR="00842392" w:rsidRPr="000D12B4" w:rsidRDefault="00842392" w:rsidP="00B13878">
      <w:pPr>
        <w:rPr>
          <w:sz w:val="22"/>
          <w:szCs w:val="22"/>
        </w:rPr>
      </w:pPr>
    </w:p>
    <w:p w14:paraId="71C4DFED" w14:textId="77777777" w:rsidR="00A64ED1" w:rsidRPr="000D12B4" w:rsidRDefault="00A64ED1" w:rsidP="00A64ED1">
      <w:pPr>
        <w:shd w:val="clear" w:color="000000" w:fill="FFFFFF"/>
        <w:tabs>
          <w:tab w:val="clear" w:pos="283"/>
        </w:tabs>
        <w:rPr>
          <w:rFonts w:ascii="Times New Roman" w:eastAsia="Times New Roman" w:hAnsi="Times New Roman" w:cs="Times New Roman"/>
          <w:spacing w:val="5"/>
          <w:position w:val="6"/>
          <w:sz w:val="22"/>
          <w:szCs w:val="22"/>
        </w:rPr>
      </w:pPr>
      <w:r>
        <w:rPr>
          <w:rFonts w:ascii="Times New Roman" w:hAnsi="Times New Roman"/>
          <w:sz w:val="22"/>
          <w:vertAlign w:val="superscript"/>
        </w:rPr>
        <w:t>1</w:t>
      </w:r>
      <w:r>
        <w:rPr>
          <w:rFonts w:ascii="Times New Roman" w:hAnsi="Times New Roman"/>
          <w:sz w:val="22"/>
        </w:rPr>
        <w:t>Tato tabulka bere v úvahu pouze radiologické vlastnosti uranu, nikoli jeho chemickou toxicitu.</w:t>
      </w:r>
    </w:p>
    <w:p w14:paraId="709A770D" w14:textId="40486918" w:rsidR="00842392" w:rsidRPr="000D12B4" w:rsidRDefault="00842392" w:rsidP="00B13878">
      <w:pPr>
        <w:rPr>
          <w:sz w:val="22"/>
          <w:szCs w:val="22"/>
        </w:rPr>
      </w:pPr>
    </w:p>
    <w:p w14:paraId="34F49E9A" w14:textId="610D4577" w:rsidR="00725C8D" w:rsidRPr="000D12B4" w:rsidRDefault="00725C8D" w:rsidP="00B13878">
      <w:pPr>
        <w:rPr>
          <w:sz w:val="22"/>
          <w:szCs w:val="22"/>
        </w:rPr>
      </w:pPr>
    </w:p>
    <w:p w14:paraId="75A84063" w14:textId="3C4FD40B" w:rsidR="00725C8D" w:rsidRPr="000D12B4" w:rsidRDefault="00725C8D" w:rsidP="00B13878">
      <w:r>
        <w:t>Po provedení analýzy specifických radionuklidů se orientační dávka vypočítá na základě naměřených koncentrací aktivity a níže uvedených dávkových koeficientů na základě ročního příjmu vody 730 litrů na osobu.</w:t>
      </w:r>
    </w:p>
    <w:p w14:paraId="0594D68B" w14:textId="77777777" w:rsidR="00FD3D32" w:rsidRPr="000D12B4" w:rsidRDefault="00FD3D32" w:rsidP="00B13878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4747"/>
      </w:tblGrid>
      <w:tr w:rsidR="000D12B4" w:rsidRPr="000D12B4" w14:paraId="1BBA6EEA" w14:textId="77777777" w:rsidTr="00A80EF5">
        <w:trPr>
          <w:cantSplit/>
          <w:tblHeader/>
        </w:trPr>
        <w:tc>
          <w:tcPr>
            <w:tcW w:w="4395" w:type="dxa"/>
            <w:shd w:val="clear" w:color="auto" w:fill="F2F2F2" w:themeFill="background1" w:themeFillShade="F2"/>
          </w:tcPr>
          <w:p w14:paraId="131B14AC" w14:textId="300B3D48" w:rsidR="00725C8D" w:rsidRPr="000D12B4" w:rsidRDefault="00725C8D" w:rsidP="00A80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Radionuklidy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10F4D5CA" w14:textId="47850CC8" w:rsidR="00725C8D" w:rsidRPr="000D12B4" w:rsidRDefault="00725C8D" w:rsidP="00A80EF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Dávkové koeficienty (Sv/Bq)</w:t>
            </w:r>
          </w:p>
        </w:tc>
      </w:tr>
      <w:tr w:rsidR="00725C8D" w:rsidRPr="000D12B4" w14:paraId="398324F9" w14:textId="77777777" w:rsidTr="00A80EF5">
        <w:trPr>
          <w:cantSplit/>
        </w:trPr>
        <w:tc>
          <w:tcPr>
            <w:tcW w:w="4395" w:type="dxa"/>
          </w:tcPr>
          <w:p w14:paraId="1EE782C9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U-238</w:t>
            </w:r>
          </w:p>
          <w:p w14:paraId="329114E3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U-234</w:t>
            </w:r>
          </w:p>
          <w:p w14:paraId="02DB2754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Ra-226</w:t>
            </w:r>
          </w:p>
          <w:p w14:paraId="2C807358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Ra-228</w:t>
            </w:r>
          </w:p>
          <w:p w14:paraId="56D5C8CB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Pb-210</w:t>
            </w:r>
          </w:p>
          <w:p w14:paraId="6284EBB6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Po-210</w:t>
            </w:r>
          </w:p>
          <w:p w14:paraId="20538866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C-14</w:t>
            </w:r>
          </w:p>
          <w:p w14:paraId="3FA47E62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Sr-90</w:t>
            </w:r>
          </w:p>
          <w:p w14:paraId="24913A76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Pu-239</w:t>
            </w:r>
          </w:p>
          <w:p w14:paraId="727C97EE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Pu-240</w:t>
            </w:r>
          </w:p>
          <w:p w14:paraId="30DD8836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Am-241</w:t>
            </w:r>
          </w:p>
          <w:p w14:paraId="3DBF581C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Co-60</w:t>
            </w:r>
          </w:p>
          <w:p w14:paraId="70A3F180" w14:textId="77777777" w:rsidR="00725C8D" w:rsidRPr="007B482C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Cs-134</w:t>
            </w:r>
          </w:p>
          <w:p w14:paraId="5C74B8B4" w14:textId="77777777" w:rsidR="00725C8D" w:rsidRPr="000D12B4" w:rsidRDefault="00725C8D" w:rsidP="00725C8D">
            <w:pPr>
              <w:rPr>
                <w:sz w:val="22"/>
                <w:szCs w:val="22"/>
              </w:rPr>
            </w:pPr>
            <w:r>
              <w:rPr>
                <w:sz w:val="22"/>
              </w:rPr>
              <w:t>Cs-137</w:t>
            </w:r>
          </w:p>
          <w:p w14:paraId="5A3DDA40" w14:textId="04DEBF50" w:rsidR="00725C8D" w:rsidRPr="000D12B4" w:rsidRDefault="00725C8D" w:rsidP="00725C8D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I-131</w:t>
            </w:r>
          </w:p>
        </w:tc>
        <w:tc>
          <w:tcPr>
            <w:tcW w:w="4747" w:type="dxa"/>
          </w:tcPr>
          <w:p w14:paraId="64B6F18C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4,5 x 10</w:t>
            </w:r>
            <w:r>
              <w:rPr>
                <w:sz w:val="22"/>
                <w:vertAlign w:val="superscript"/>
              </w:rPr>
              <w:t>-8</w:t>
            </w:r>
          </w:p>
          <w:p w14:paraId="595D6FC9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4,9 x 10</w:t>
            </w:r>
            <w:r>
              <w:rPr>
                <w:sz w:val="22"/>
                <w:vertAlign w:val="superscript"/>
              </w:rPr>
              <w:t>-8</w:t>
            </w:r>
          </w:p>
          <w:p w14:paraId="70964962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2,8 x 10</w:t>
            </w:r>
            <w:r>
              <w:rPr>
                <w:sz w:val="22"/>
                <w:vertAlign w:val="superscript"/>
              </w:rPr>
              <w:t>-7</w:t>
            </w:r>
          </w:p>
          <w:p w14:paraId="508A2CDC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6,9 x 10</w:t>
            </w:r>
            <w:r>
              <w:rPr>
                <w:sz w:val="22"/>
                <w:vertAlign w:val="superscript"/>
              </w:rPr>
              <w:t>-7</w:t>
            </w:r>
          </w:p>
          <w:p w14:paraId="5FE7E24A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6,9 x 10</w:t>
            </w:r>
            <w:r>
              <w:rPr>
                <w:sz w:val="22"/>
                <w:vertAlign w:val="superscript"/>
              </w:rPr>
              <w:t>-7</w:t>
            </w:r>
          </w:p>
          <w:p w14:paraId="5DE12013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1,2 x 10</w:t>
            </w:r>
            <w:r>
              <w:rPr>
                <w:sz w:val="22"/>
                <w:vertAlign w:val="superscript"/>
              </w:rPr>
              <w:t>-6</w:t>
            </w:r>
          </w:p>
          <w:p w14:paraId="20986806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5,8 x 10</w:t>
            </w:r>
            <w:r>
              <w:rPr>
                <w:sz w:val="22"/>
                <w:vertAlign w:val="superscript"/>
              </w:rPr>
              <w:t>-10</w:t>
            </w:r>
          </w:p>
          <w:p w14:paraId="11DB6FF8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2,8 x 10</w:t>
            </w:r>
            <w:r>
              <w:rPr>
                <w:sz w:val="22"/>
                <w:vertAlign w:val="superscript"/>
              </w:rPr>
              <w:t>-8</w:t>
            </w:r>
          </w:p>
          <w:p w14:paraId="2A634301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2,5 x 10</w:t>
            </w:r>
            <w:r>
              <w:rPr>
                <w:sz w:val="22"/>
                <w:vertAlign w:val="superscript"/>
              </w:rPr>
              <w:t>-7</w:t>
            </w:r>
          </w:p>
          <w:p w14:paraId="3D0E42E6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2,5 x 10</w:t>
            </w:r>
            <w:r>
              <w:rPr>
                <w:sz w:val="22"/>
                <w:vertAlign w:val="superscript"/>
              </w:rPr>
              <w:t>-7</w:t>
            </w:r>
          </w:p>
          <w:p w14:paraId="67293A9C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2,0 x 10</w:t>
            </w:r>
            <w:r>
              <w:rPr>
                <w:sz w:val="22"/>
                <w:vertAlign w:val="superscript"/>
              </w:rPr>
              <w:t>-7</w:t>
            </w:r>
          </w:p>
          <w:p w14:paraId="33BA5055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3,4 x 10</w:t>
            </w:r>
            <w:r>
              <w:rPr>
                <w:sz w:val="22"/>
                <w:vertAlign w:val="superscript"/>
              </w:rPr>
              <w:t>-9</w:t>
            </w:r>
          </w:p>
          <w:p w14:paraId="0DA8A8AB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1,9 x 10</w:t>
            </w:r>
            <w:r>
              <w:rPr>
                <w:sz w:val="22"/>
                <w:vertAlign w:val="superscript"/>
              </w:rPr>
              <w:t>-8</w:t>
            </w:r>
          </w:p>
          <w:p w14:paraId="1A5B6F28" w14:textId="77777777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1,3 x 10</w:t>
            </w:r>
            <w:r>
              <w:rPr>
                <w:sz w:val="22"/>
                <w:vertAlign w:val="superscript"/>
              </w:rPr>
              <w:t>-8</w:t>
            </w:r>
          </w:p>
          <w:p w14:paraId="30293FD9" w14:textId="40C40C80" w:rsidR="00725C8D" w:rsidRPr="000D12B4" w:rsidRDefault="00725C8D" w:rsidP="00725C8D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2,2 x 10</w:t>
            </w:r>
            <w:r>
              <w:rPr>
                <w:sz w:val="22"/>
                <w:vertAlign w:val="superscript"/>
              </w:rPr>
              <w:t>-8</w:t>
            </w:r>
          </w:p>
        </w:tc>
      </w:tr>
    </w:tbl>
    <w:p w14:paraId="3FF8D78A" w14:textId="77777777" w:rsidR="00725C8D" w:rsidRPr="000D12B4" w:rsidRDefault="00725C8D" w:rsidP="00B13878">
      <w:pPr>
        <w:rPr>
          <w:sz w:val="22"/>
          <w:szCs w:val="22"/>
        </w:rPr>
      </w:pPr>
    </w:p>
    <w:p w14:paraId="672FC586" w14:textId="7A42EE03" w:rsidR="00A64ED1" w:rsidRPr="000D12B4" w:rsidRDefault="00A64ED1" w:rsidP="00B13878">
      <w:pPr>
        <w:rPr>
          <w:sz w:val="22"/>
          <w:szCs w:val="22"/>
        </w:rPr>
      </w:pPr>
    </w:p>
    <w:p w14:paraId="1E62A133" w14:textId="77777777" w:rsidR="00A64ED1" w:rsidRPr="000D12B4" w:rsidRDefault="00A64ED1" w:rsidP="00B13878">
      <w:pPr>
        <w:rPr>
          <w:sz w:val="22"/>
          <w:szCs w:val="22"/>
        </w:rPr>
        <w:sectPr w:rsidR="00A64ED1" w:rsidRPr="000D12B4" w:rsidSect="002750B0">
          <w:pgSz w:w="11906" w:h="16838" w:code="9"/>
          <w:pgMar w:top="1259" w:right="1134" w:bottom="1361" w:left="1701" w:header="709" w:footer="709" w:gutter="0"/>
          <w:cols w:space="708"/>
          <w:docGrid w:linePitch="381"/>
        </w:sectPr>
      </w:pPr>
    </w:p>
    <w:p w14:paraId="7240E7E4" w14:textId="5A8CFDD4" w:rsidR="0049028F" w:rsidRPr="000D12B4" w:rsidRDefault="0049028F" w:rsidP="0049028F">
      <w:pPr>
        <w:jc w:val="right"/>
        <w:rPr>
          <w:i/>
        </w:rPr>
      </w:pPr>
      <w:r>
        <w:rPr>
          <w:i/>
        </w:rPr>
        <w:lastRenderedPageBreak/>
        <w:t>Dodatek 4</w:t>
      </w:r>
    </w:p>
    <w:p w14:paraId="3F0D06D2" w14:textId="056DF513" w:rsidR="0049028F" w:rsidRPr="000D12B4" w:rsidRDefault="0049028F" w:rsidP="0049028F">
      <w:pPr>
        <w:jc w:val="right"/>
      </w:pPr>
      <w:r>
        <w:t>(k LIVSFS 2022:12)</w:t>
      </w:r>
    </w:p>
    <w:p w14:paraId="254F9F26" w14:textId="3AFF804F" w:rsidR="0049028F" w:rsidRPr="000D12B4" w:rsidRDefault="0049028F" w:rsidP="00BE1BB4"/>
    <w:p w14:paraId="52F776F4" w14:textId="08917CD7" w:rsidR="005B0228" w:rsidRPr="000D12B4" w:rsidRDefault="003A373F" w:rsidP="003A373F">
      <w:pPr>
        <w:pStyle w:val="Heading1"/>
      </w:pPr>
      <w:r>
        <w:t>Analýza a metody analýzy</w:t>
      </w:r>
    </w:p>
    <w:p w14:paraId="40379DE6" w14:textId="6C92FE43" w:rsidR="005B0228" w:rsidRPr="000D12B4" w:rsidRDefault="005B0228" w:rsidP="005B0228">
      <w:pPr>
        <w:pStyle w:val="Heading2"/>
      </w:pPr>
      <w:r>
        <w:t>Oddíl A – Ukazatele pro mikroorganismy a indikační ukazatele, pro které jsou specifikovány analytické metody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7"/>
        <w:gridCol w:w="4704"/>
      </w:tblGrid>
      <w:tr w:rsidR="000D12B4" w:rsidRPr="000D12B4" w14:paraId="4574AF92" w14:textId="77777777" w:rsidTr="008C07E7">
        <w:trPr>
          <w:cantSplit/>
          <w:tblHeader/>
        </w:trPr>
        <w:tc>
          <w:tcPr>
            <w:tcW w:w="2404" w:type="pct"/>
            <w:shd w:val="clear" w:color="auto" w:fill="F2F2F2" w:themeFill="background1" w:themeFillShade="F2"/>
          </w:tcPr>
          <w:p w14:paraId="30B16675" w14:textId="24C5D62C" w:rsidR="005B0228" w:rsidRPr="000D12B4" w:rsidRDefault="005B0228" w:rsidP="006C10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</w:t>
            </w:r>
          </w:p>
        </w:tc>
        <w:tc>
          <w:tcPr>
            <w:tcW w:w="2596" w:type="pct"/>
            <w:shd w:val="clear" w:color="auto" w:fill="F2F2F2" w:themeFill="background1" w:themeFillShade="F2"/>
          </w:tcPr>
          <w:p w14:paraId="20B4718B" w14:textId="2039CD8A" w:rsidR="005B0228" w:rsidRPr="000D12B4" w:rsidRDefault="005B0228" w:rsidP="006C103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Metoda</w:t>
            </w:r>
          </w:p>
        </w:tc>
      </w:tr>
      <w:tr w:rsidR="000D12B4" w:rsidRPr="000D12B4" w14:paraId="7AB60888" w14:textId="77777777" w:rsidTr="008C07E7">
        <w:trPr>
          <w:cantSplit/>
        </w:trPr>
        <w:tc>
          <w:tcPr>
            <w:tcW w:w="2404" w:type="pct"/>
          </w:tcPr>
          <w:p w14:paraId="27BD8350" w14:textId="2EFF31BB" w:rsidR="005B0228" w:rsidRPr="000D12B4" w:rsidRDefault="005B0228" w:rsidP="006C1035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Aktinomycety</w:t>
            </w:r>
          </w:p>
        </w:tc>
        <w:tc>
          <w:tcPr>
            <w:tcW w:w="2596" w:type="pct"/>
          </w:tcPr>
          <w:p w14:paraId="2C635B65" w14:textId="0D63A21F" w:rsidR="005B0228" w:rsidRPr="000D12B4" w:rsidRDefault="00892E71" w:rsidP="00892E71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28212 SS</w:t>
            </w:r>
          </w:p>
        </w:tc>
      </w:tr>
      <w:tr w:rsidR="000D12B4" w:rsidRPr="000D12B4" w14:paraId="56029DC0" w14:textId="77777777" w:rsidTr="008C07E7">
        <w:trPr>
          <w:cantSplit/>
        </w:trPr>
        <w:tc>
          <w:tcPr>
            <w:tcW w:w="2404" w:type="pct"/>
          </w:tcPr>
          <w:p w14:paraId="1CBE772E" w14:textId="49711265" w:rsidR="005B0228" w:rsidRPr="000D12B4" w:rsidRDefault="005B0228" w:rsidP="007341A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Clostridium perfringens (včetně spor)</w:t>
            </w:r>
          </w:p>
        </w:tc>
        <w:tc>
          <w:tcPr>
            <w:tcW w:w="2596" w:type="pct"/>
          </w:tcPr>
          <w:p w14:paraId="51EEECE3" w14:textId="515C7F78" w:rsidR="005B0228" w:rsidRPr="000D12B4" w:rsidRDefault="005B0228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EN ISO 14189</w:t>
            </w:r>
          </w:p>
        </w:tc>
      </w:tr>
      <w:tr w:rsidR="000D12B4" w:rsidRPr="000D12B4" w14:paraId="6493C6E9" w14:textId="77777777" w:rsidTr="008C07E7">
        <w:trPr>
          <w:cantSplit/>
        </w:trPr>
        <w:tc>
          <w:tcPr>
            <w:tcW w:w="2404" w:type="pct"/>
          </w:tcPr>
          <w:p w14:paraId="35E7B46A" w14:textId="3486037F" w:rsidR="00235D83" w:rsidRPr="007B482C" w:rsidRDefault="00235D83" w:rsidP="00235D83">
            <w:pPr>
              <w:rPr>
                <w:sz w:val="22"/>
                <w:szCs w:val="22"/>
              </w:rPr>
            </w:pPr>
            <w:r>
              <w:rPr>
                <w:sz w:val="22"/>
              </w:rPr>
              <w:t>Bakterie Escherichia coli (E. coli) a koliformní bakterie</w:t>
            </w:r>
          </w:p>
        </w:tc>
        <w:tc>
          <w:tcPr>
            <w:tcW w:w="2596" w:type="pct"/>
          </w:tcPr>
          <w:p w14:paraId="2A7AF410" w14:textId="77777777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SS-EN ISO 9308-1, SS-EN ISO 9308-2 </w:t>
            </w:r>
          </w:p>
          <w:p w14:paraId="15010E71" w14:textId="49F1D62A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nebo SS 028167</w:t>
            </w:r>
          </w:p>
        </w:tc>
      </w:tr>
      <w:tr w:rsidR="000D12B4" w:rsidRPr="000D12B4" w14:paraId="172AB09E" w14:textId="77777777" w:rsidTr="008C07E7">
        <w:trPr>
          <w:cantSplit/>
        </w:trPr>
        <w:tc>
          <w:tcPr>
            <w:tcW w:w="2404" w:type="pct"/>
          </w:tcPr>
          <w:p w14:paraId="59AF6637" w14:textId="6CCAE9C7" w:rsidR="00235D83" w:rsidRPr="000D12B4" w:rsidRDefault="00235D83" w:rsidP="00235D83">
            <w:pPr>
              <w:rPr>
                <w:sz w:val="22"/>
                <w:szCs w:val="22"/>
              </w:rPr>
            </w:pPr>
            <w:r>
              <w:rPr>
                <w:sz w:val="22"/>
              </w:rPr>
              <w:t>Střevní enterokoky</w:t>
            </w:r>
          </w:p>
        </w:tc>
        <w:tc>
          <w:tcPr>
            <w:tcW w:w="2596" w:type="pct"/>
          </w:tcPr>
          <w:p w14:paraId="38F12BD1" w14:textId="3A159221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SS-EN ISO 7899-2</w:t>
            </w:r>
          </w:p>
        </w:tc>
      </w:tr>
      <w:tr w:rsidR="000D12B4" w:rsidRPr="000D12B4" w14:paraId="74606A03" w14:textId="77777777" w:rsidTr="008C07E7">
        <w:trPr>
          <w:cantSplit/>
        </w:trPr>
        <w:tc>
          <w:tcPr>
            <w:tcW w:w="2404" w:type="pct"/>
          </w:tcPr>
          <w:p w14:paraId="3204B0F8" w14:textId="3384E48D" w:rsidR="00235D83" w:rsidRPr="000D12B4" w:rsidRDefault="00235D83" w:rsidP="00235D83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Pomalu se množící bakterie</w:t>
            </w:r>
          </w:p>
        </w:tc>
        <w:tc>
          <w:tcPr>
            <w:tcW w:w="2596" w:type="pct"/>
          </w:tcPr>
          <w:p w14:paraId="7905F3A1" w14:textId="0AAC83E1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EN ISO 6222</w:t>
            </w:r>
          </w:p>
        </w:tc>
      </w:tr>
      <w:tr w:rsidR="000D12B4" w:rsidRPr="000D12B4" w14:paraId="02574D49" w14:textId="77777777" w:rsidTr="008C07E7">
        <w:trPr>
          <w:cantSplit/>
        </w:trPr>
        <w:tc>
          <w:tcPr>
            <w:tcW w:w="2404" w:type="pct"/>
          </w:tcPr>
          <w:p w14:paraId="27838C47" w14:textId="251FA84B" w:rsidR="00235D83" w:rsidRPr="000D12B4" w:rsidRDefault="00235D83" w:rsidP="00235D83">
            <w:pPr>
              <w:rPr>
                <w:sz w:val="22"/>
                <w:szCs w:val="22"/>
              </w:rPr>
            </w:pPr>
            <w:r>
              <w:rPr>
                <w:sz w:val="22"/>
              </w:rPr>
              <w:t>Mikromycety</w:t>
            </w:r>
          </w:p>
        </w:tc>
        <w:tc>
          <w:tcPr>
            <w:tcW w:w="2596" w:type="pct"/>
          </w:tcPr>
          <w:p w14:paraId="7CA934B0" w14:textId="0CA8C820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28192 SS</w:t>
            </w:r>
          </w:p>
        </w:tc>
      </w:tr>
      <w:tr w:rsidR="00235D83" w:rsidRPr="000D12B4" w14:paraId="65EA683D" w14:textId="77777777" w:rsidTr="008C07E7">
        <w:trPr>
          <w:cantSplit/>
        </w:trPr>
        <w:tc>
          <w:tcPr>
            <w:tcW w:w="2404" w:type="pct"/>
          </w:tcPr>
          <w:p w14:paraId="5DE22DEB" w14:textId="10DB70A2" w:rsidR="00235D83" w:rsidRPr="000D12B4" w:rsidRDefault="00235D83" w:rsidP="00235D83">
            <w:pPr>
              <w:rPr>
                <w:sz w:val="22"/>
                <w:szCs w:val="22"/>
              </w:rPr>
            </w:pPr>
            <w:r>
              <w:rPr>
                <w:sz w:val="22"/>
              </w:rPr>
              <w:t>Kultivovatelné mikroorganismy při 22 °C</w:t>
            </w:r>
          </w:p>
        </w:tc>
        <w:tc>
          <w:tcPr>
            <w:tcW w:w="2596" w:type="pct"/>
          </w:tcPr>
          <w:p w14:paraId="49087E84" w14:textId="09756EEB" w:rsidR="00235D83" w:rsidRPr="000D12B4" w:rsidRDefault="00235D83" w:rsidP="00235D83">
            <w:pPr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EN ISO 6222</w:t>
            </w:r>
          </w:p>
        </w:tc>
      </w:tr>
    </w:tbl>
    <w:p w14:paraId="32EB92EE" w14:textId="0AA6CFCC" w:rsidR="00E8030E" w:rsidRPr="000D12B4" w:rsidRDefault="00E8030E" w:rsidP="00B13878">
      <w:pPr>
        <w:rPr>
          <w:sz w:val="22"/>
          <w:szCs w:val="22"/>
        </w:rPr>
      </w:pPr>
    </w:p>
    <w:p w14:paraId="3288A00A" w14:textId="15405648" w:rsidR="00E8030E" w:rsidRPr="000D12B4" w:rsidRDefault="00E8030E" w:rsidP="00E8030E">
      <w:pPr>
        <w:pStyle w:val="Heading2"/>
      </w:pPr>
      <w:r>
        <w:t xml:space="preserve">Oddíl B – Ukazatele pro chemické a radioaktivní látky, pro které jsou specifikována metodická kritéria </w:t>
      </w:r>
    </w:p>
    <w:p w14:paraId="4EB1E48A" w14:textId="0AD7DBD2" w:rsidR="00D92F2D" w:rsidRPr="000D12B4" w:rsidRDefault="00D92F2D" w:rsidP="00E8030E">
      <w:pPr>
        <w:tabs>
          <w:tab w:val="clear" w:pos="283"/>
        </w:tabs>
      </w:pPr>
      <w:r>
        <w:t>Analytická metoda použitá pro ukazatele v tabulce musí být schopna měřit při minimálních koncentracích rovnajících se mezní hodnotě, s mezí kvantifikace</w:t>
      </w:r>
      <w:r w:rsidRPr="000D12B4">
        <w:rPr>
          <w:rStyle w:val="FootnoteReference"/>
        </w:rPr>
        <w:footnoteReference w:id="3"/>
      </w:r>
      <w:r>
        <w:t xml:space="preserve"> 30 % nebo méně mezní hodnoty a s nejistotou měření uvedenou v tabulce.</w:t>
      </w:r>
    </w:p>
    <w:p w14:paraId="7BB76B36" w14:textId="60C1D1E3" w:rsidR="00E8030E" w:rsidRPr="000D12B4" w:rsidRDefault="00E8030E" w:rsidP="00E8030E">
      <w:r>
        <w:tab/>
        <w:t>Výsledek se vyjádří alespoň na stejný počet desetinných míst jako mezní hodnoty uvedené v dodatku 1.</w:t>
      </w:r>
    </w:p>
    <w:p w14:paraId="4698FC10" w14:textId="46917442" w:rsidR="00E8030E" w:rsidRPr="000D12B4" w:rsidRDefault="00E8030E" w:rsidP="00E8030E">
      <w:r>
        <w:tab/>
        <w:t>Nejistota měření uvedená v tabulce se nepoužije jako dodatečná tolerance pro hodnoty uvedené v dodatku 1.</w:t>
      </w:r>
    </w:p>
    <w:p w14:paraId="4B090808" w14:textId="77777777" w:rsidR="00E8030E" w:rsidRPr="000D12B4" w:rsidRDefault="00E8030E">
      <w:pPr>
        <w:tabs>
          <w:tab w:val="clear" w:pos="283"/>
        </w:tabs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69D83B11" w14:textId="77777777" w:rsidR="00E8030E" w:rsidRPr="000D12B4" w:rsidRDefault="00E8030E" w:rsidP="00E8030E">
      <w:pPr>
        <w:pStyle w:val="Heading2"/>
      </w:pPr>
    </w:p>
    <w:p w14:paraId="66992D5B" w14:textId="77777777" w:rsidR="00E8030E" w:rsidRPr="000D12B4" w:rsidRDefault="00E8030E" w:rsidP="00E8030E">
      <w:pPr>
        <w:pStyle w:val="Heading2"/>
      </w:pPr>
    </w:p>
    <w:p w14:paraId="64B61BCF" w14:textId="5722744B" w:rsidR="00E8030E" w:rsidRPr="000D12B4" w:rsidRDefault="00E8030E" w:rsidP="00C57418">
      <w:pPr>
        <w:pStyle w:val="Heading2"/>
      </w:pPr>
      <w:r>
        <w:t>Minimální nejistota měření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843"/>
        <w:gridCol w:w="3544"/>
      </w:tblGrid>
      <w:tr w:rsidR="000D12B4" w:rsidRPr="000D12B4" w14:paraId="14D30538" w14:textId="77777777" w:rsidTr="008C07E7">
        <w:trPr>
          <w:cantSplit/>
          <w:tblHeader/>
        </w:trPr>
        <w:tc>
          <w:tcPr>
            <w:tcW w:w="2972" w:type="dxa"/>
            <w:shd w:val="clear" w:color="auto" w:fill="F2F2F2" w:themeFill="background1" w:themeFillShade="F2"/>
          </w:tcPr>
          <w:p w14:paraId="248A3A66" w14:textId="77777777" w:rsidR="00E8030E" w:rsidRPr="000D12B4" w:rsidRDefault="00E8030E" w:rsidP="006C10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EF0ED4" w14:textId="5E9A7C32" w:rsidR="00E8030E" w:rsidRPr="000D12B4" w:rsidRDefault="00E8030E" w:rsidP="00F0220F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Nejistota měření (%) mezní hodnoty v dodatku 1 (s výjimkou pH)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F18C890" w14:textId="03C6D098" w:rsidR="00E8030E" w:rsidRPr="000D12B4" w:rsidRDefault="00C81BF2" w:rsidP="006C103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Poznámky</w:t>
            </w:r>
          </w:p>
        </w:tc>
      </w:tr>
      <w:tr w:rsidR="000D12B4" w:rsidRPr="000D12B4" w14:paraId="76B6C071" w14:textId="77777777" w:rsidTr="008C07E7">
        <w:trPr>
          <w:cantSplit/>
        </w:trPr>
        <w:tc>
          <w:tcPr>
            <w:tcW w:w="2972" w:type="dxa"/>
          </w:tcPr>
          <w:p w14:paraId="19EBFB01" w14:textId="4978E773" w:rsidR="003A373F" w:rsidRPr="000D12B4" w:rsidRDefault="003A373F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Akrylamid</w:t>
            </w:r>
          </w:p>
        </w:tc>
        <w:tc>
          <w:tcPr>
            <w:tcW w:w="1843" w:type="dxa"/>
          </w:tcPr>
          <w:p w14:paraId="0D090FF6" w14:textId="04C27C31" w:rsidR="003A373F" w:rsidRPr="000D12B4" w:rsidRDefault="003A373F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2FB610FF" w14:textId="77777777" w:rsidR="003A373F" w:rsidRPr="000D12B4" w:rsidRDefault="003A373F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34F7D417" w14:textId="77777777" w:rsidTr="008C07E7">
        <w:trPr>
          <w:cantSplit/>
        </w:trPr>
        <w:tc>
          <w:tcPr>
            <w:tcW w:w="2972" w:type="dxa"/>
          </w:tcPr>
          <w:p w14:paraId="7E7C0510" w14:textId="4B68D5B8" w:rsidR="00E8030E" w:rsidRPr="000D12B4" w:rsidRDefault="00E8030E" w:rsidP="006C1035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t>Hliník</w:t>
            </w:r>
          </w:p>
        </w:tc>
        <w:tc>
          <w:tcPr>
            <w:tcW w:w="1843" w:type="dxa"/>
          </w:tcPr>
          <w:p w14:paraId="76DB4134" w14:textId="2F9CA7FE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44" w:type="dxa"/>
          </w:tcPr>
          <w:p w14:paraId="5461549C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47A5A296" w14:textId="77777777" w:rsidTr="008C07E7">
        <w:trPr>
          <w:cantSplit/>
        </w:trPr>
        <w:tc>
          <w:tcPr>
            <w:tcW w:w="2972" w:type="dxa"/>
          </w:tcPr>
          <w:p w14:paraId="09B4CD57" w14:textId="77777777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Čpavek</w:t>
            </w:r>
          </w:p>
        </w:tc>
        <w:tc>
          <w:tcPr>
            <w:tcW w:w="1843" w:type="dxa"/>
          </w:tcPr>
          <w:p w14:paraId="78363F85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542FC501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5E2EF3C2" w14:textId="77777777" w:rsidTr="008C07E7">
        <w:trPr>
          <w:cantSplit/>
        </w:trPr>
        <w:tc>
          <w:tcPr>
            <w:tcW w:w="2972" w:type="dxa"/>
          </w:tcPr>
          <w:p w14:paraId="385B2B8F" w14:textId="77777777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Antimon</w:t>
            </w:r>
          </w:p>
        </w:tc>
        <w:tc>
          <w:tcPr>
            <w:tcW w:w="1843" w:type="dxa"/>
          </w:tcPr>
          <w:p w14:paraId="1CA2E957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30DE60A9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AF3373A" w14:textId="77777777" w:rsidTr="008C07E7">
        <w:trPr>
          <w:cantSplit/>
        </w:trPr>
        <w:tc>
          <w:tcPr>
            <w:tcW w:w="2972" w:type="dxa"/>
          </w:tcPr>
          <w:p w14:paraId="4A4A3470" w14:textId="77777777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Arzén</w:t>
            </w:r>
          </w:p>
        </w:tc>
        <w:tc>
          <w:tcPr>
            <w:tcW w:w="1843" w:type="dxa"/>
          </w:tcPr>
          <w:p w14:paraId="1BCA9A29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4688D8D5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5F4783E5" w14:textId="77777777" w:rsidTr="008C07E7">
        <w:trPr>
          <w:cantSplit/>
        </w:trPr>
        <w:tc>
          <w:tcPr>
            <w:tcW w:w="2972" w:type="dxa"/>
          </w:tcPr>
          <w:p w14:paraId="2F9A695D" w14:textId="6AA5E414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Pesticidy (individuální)</w:t>
            </w:r>
          </w:p>
        </w:tc>
        <w:tc>
          <w:tcPr>
            <w:tcW w:w="1843" w:type="dxa"/>
          </w:tcPr>
          <w:p w14:paraId="51C8DE97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22101D7A" w14:textId="23D0B860" w:rsidR="00E8030E" w:rsidRPr="000D12B4" w:rsidRDefault="00EC79C0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Metodická kritéria pro jednotlivé pesticidy jsou uvedena jako indikace. U několika pesticidů lze dosáhnout hodnot nejistoty měření až 30 %, u řady pesticidů mohou být povoleny vyšší hodnoty až do 80 %.</w:t>
            </w:r>
          </w:p>
        </w:tc>
      </w:tr>
      <w:tr w:rsidR="000D12B4" w:rsidRPr="000D12B4" w14:paraId="6D7CFAF7" w14:textId="77777777" w:rsidTr="008C07E7">
        <w:trPr>
          <w:cantSplit/>
        </w:trPr>
        <w:tc>
          <w:tcPr>
            <w:tcW w:w="2972" w:type="dxa"/>
          </w:tcPr>
          <w:p w14:paraId="735C4F6C" w14:textId="72C0DCD5" w:rsidR="004A030A" w:rsidRPr="000D12B4" w:rsidRDefault="004A030A" w:rsidP="004A03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Benzen</w:t>
            </w:r>
          </w:p>
        </w:tc>
        <w:tc>
          <w:tcPr>
            <w:tcW w:w="1843" w:type="dxa"/>
          </w:tcPr>
          <w:p w14:paraId="375FD314" w14:textId="6BE4C84B" w:rsidR="004A030A" w:rsidRPr="000D12B4" w:rsidRDefault="004A030A" w:rsidP="004A030A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72316F05" w14:textId="77777777" w:rsidR="004A030A" w:rsidRPr="000D12B4" w:rsidRDefault="004A030A" w:rsidP="004A030A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2F000E5" w14:textId="77777777" w:rsidTr="008C07E7">
        <w:trPr>
          <w:cantSplit/>
        </w:trPr>
        <w:tc>
          <w:tcPr>
            <w:tcW w:w="2972" w:type="dxa"/>
          </w:tcPr>
          <w:p w14:paraId="6E9F1061" w14:textId="43FCE47F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Benzo(a)pyren</w:t>
            </w:r>
          </w:p>
        </w:tc>
        <w:tc>
          <w:tcPr>
            <w:tcW w:w="1843" w:type="dxa"/>
          </w:tcPr>
          <w:p w14:paraId="67444AC1" w14:textId="7EDD58FE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41F4AF25" w14:textId="1B45C6B0" w:rsidR="00E8030E" w:rsidRPr="000D12B4" w:rsidRDefault="002F2227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Pokud nelze hodnotu nejistoty měření změřit, je třeba zvolit nejlepší možnou techniku (až 60 %).</w:t>
            </w:r>
          </w:p>
        </w:tc>
      </w:tr>
      <w:tr w:rsidR="000D12B4" w:rsidRPr="000D12B4" w14:paraId="4B5E8148" w14:textId="77777777" w:rsidTr="008C07E7">
        <w:trPr>
          <w:cantSplit/>
        </w:trPr>
        <w:tc>
          <w:tcPr>
            <w:tcW w:w="2972" w:type="dxa"/>
          </w:tcPr>
          <w:p w14:paraId="7B648A7F" w14:textId="1D0BCEE0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Bisfenol A</w:t>
            </w:r>
          </w:p>
        </w:tc>
        <w:tc>
          <w:tcPr>
            <w:tcW w:w="1843" w:type="dxa"/>
          </w:tcPr>
          <w:p w14:paraId="5B2226AB" w14:textId="5768D4BF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483243C4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22A4C431" w14:textId="77777777" w:rsidTr="008C07E7">
        <w:trPr>
          <w:cantSplit/>
        </w:trPr>
        <w:tc>
          <w:tcPr>
            <w:tcW w:w="2972" w:type="dxa"/>
          </w:tcPr>
          <w:p w14:paraId="7E227895" w14:textId="77C93645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Olovo</w:t>
            </w:r>
          </w:p>
        </w:tc>
        <w:tc>
          <w:tcPr>
            <w:tcW w:w="1843" w:type="dxa"/>
          </w:tcPr>
          <w:p w14:paraId="0B78E883" w14:textId="23A18AAC" w:rsidR="00E8030E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387CB126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857BA70" w14:textId="77777777" w:rsidTr="008C07E7">
        <w:trPr>
          <w:cantSplit/>
        </w:trPr>
        <w:tc>
          <w:tcPr>
            <w:tcW w:w="2972" w:type="dxa"/>
          </w:tcPr>
          <w:p w14:paraId="5371A061" w14:textId="005A43F9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Bór</w:t>
            </w:r>
          </w:p>
        </w:tc>
        <w:tc>
          <w:tcPr>
            <w:tcW w:w="1843" w:type="dxa"/>
          </w:tcPr>
          <w:p w14:paraId="49227D02" w14:textId="5A9FE5DE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44" w:type="dxa"/>
          </w:tcPr>
          <w:p w14:paraId="4B22926A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30D0E50" w14:textId="77777777" w:rsidTr="008C07E7">
        <w:trPr>
          <w:cantSplit/>
        </w:trPr>
        <w:tc>
          <w:tcPr>
            <w:tcW w:w="2972" w:type="dxa"/>
          </w:tcPr>
          <w:p w14:paraId="508FDBA5" w14:textId="2F18E32B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Bromát</w:t>
            </w:r>
          </w:p>
        </w:tc>
        <w:tc>
          <w:tcPr>
            <w:tcW w:w="1843" w:type="dxa"/>
          </w:tcPr>
          <w:p w14:paraId="39EA386F" w14:textId="336C9A6C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6983DEF3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1001BE7" w14:textId="77777777" w:rsidTr="008C07E7">
        <w:trPr>
          <w:cantSplit/>
        </w:trPr>
        <w:tc>
          <w:tcPr>
            <w:tcW w:w="2972" w:type="dxa"/>
          </w:tcPr>
          <w:p w14:paraId="752D45ED" w14:textId="5CFE3384" w:rsidR="00E8030E" w:rsidRPr="000D12B4" w:rsidRDefault="00E8030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Kyanid</w:t>
            </w:r>
          </w:p>
        </w:tc>
        <w:tc>
          <w:tcPr>
            <w:tcW w:w="1843" w:type="dxa"/>
          </w:tcPr>
          <w:p w14:paraId="64E08317" w14:textId="73FB9C86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1411FC13" w14:textId="0C8579A9" w:rsidR="00E8030E" w:rsidRPr="000D12B4" w:rsidRDefault="002F2227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Tato metoda určuje celkový kyanid ve všech formách.</w:t>
            </w:r>
          </w:p>
        </w:tc>
      </w:tr>
      <w:tr w:rsidR="000D12B4" w:rsidRPr="000D12B4" w14:paraId="60A62FA9" w14:textId="77777777" w:rsidTr="008C07E7">
        <w:trPr>
          <w:cantSplit/>
        </w:trPr>
        <w:tc>
          <w:tcPr>
            <w:tcW w:w="2972" w:type="dxa"/>
          </w:tcPr>
          <w:p w14:paraId="79A7C25A" w14:textId="0CAE3DCB" w:rsidR="00E8030E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1,2-dichlorethan</w:t>
            </w:r>
          </w:p>
        </w:tc>
        <w:tc>
          <w:tcPr>
            <w:tcW w:w="1843" w:type="dxa"/>
          </w:tcPr>
          <w:p w14:paraId="33D7F147" w14:textId="4D3A2EA1" w:rsidR="00E8030E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7E5010EC" w14:textId="77777777" w:rsidR="00E8030E" w:rsidRPr="000D12B4" w:rsidRDefault="00E8030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77DD953" w14:textId="77777777" w:rsidTr="008C07E7">
        <w:trPr>
          <w:cantSplit/>
        </w:trPr>
        <w:tc>
          <w:tcPr>
            <w:tcW w:w="2972" w:type="dxa"/>
          </w:tcPr>
          <w:p w14:paraId="5A1C75FB" w14:textId="6D03F409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Epichlorhydrin</w:t>
            </w:r>
          </w:p>
        </w:tc>
        <w:tc>
          <w:tcPr>
            <w:tcW w:w="1843" w:type="dxa"/>
          </w:tcPr>
          <w:p w14:paraId="10E6FAF3" w14:textId="3F7542BC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0835EAD0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9384B3E" w14:textId="77777777" w:rsidTr="008C07E7">
        <w:trPr>
          <w:cantSplit/>
        </w:trPr>
        <w:tc>
          <w:tcPr>
            <w:tcW w:w="2972" w:type="dxa"/>
          </w:tcPr>
          <w:p w14:paraId="24CF0763" w14:textId="27835850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Fluorid</w:t>
            </w:r>
          </w:p>
        </w:tc>
        <w:tc>
          <w:tcPr>
            <w:tcW w:w="1843" w:type="dxa"/>
          </w:tcPr>
          <w:p w14:paraId="355B181D" w14:textId="32BAA8F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544" w:type="dxa"/>
          </w:tcPr>
          <w:p w14:paraId="02B8DE64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7D3921BF" w14:textId="77777777" w:rsidTr="008C07E7">
        <w:trPr>
          <w:cantSplit/>
        </w:trPr>
        <w:tc>
          <w:tcPr>
            <w:tcW w:w="2972" w:type="dxa"/>
          </w:tcPr>
          <w:p w14:paraId="498E49DD" w14:textId="4F436146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Halogenované kyseliny octové (HAA)</w:t>
            </w:r>
          </w:p>
        </w:tc>
        <w:tc>
          <w:tcPr>
            <w:tcW w:w="1843" w:type="dxa"/>
          </w:tcPr>
          <w:p w14:paraId="72B48224" w14:textId="033C973A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11F19DA3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3AA71506" w14:textId="77777777" w:rsidTr="008C07E7">
        <w:trPr>
          <w:cantSplit/>
        </w:trPr>
        <w:tc>
          <w:tcPr>
            <w:tcW w:w="2972" w:type="dxa"/>
          </w:tcPr>
          <w:p w14:paraId="7F31CD31" w14:textId="00F93AE7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Železo</w:t>
            </w:r>
          </w:p>
        </w:tc>
        <w:tc>
          <w:tcPr>
            <w:tcW w:w="1843" w:type="dxa"/>
          </w:tcPr>
          <w:p w14:paraId="3499C504" w14:textId="0B6D6C36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0A27F9CE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0845D68" w14:textId="77777777" w:rsidTr="008C07E7">
        <w:trPr>
          <w:cantSplit/>
        </w:trPr>
        <w:tc>
          <w:tcPr>
            <w:tcW w:w="2972" w:type="dxa"/>
          </w:tcPr>
          <w:p w14:paraId="30163264" w14:textId="5B807E36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Kadmium</w:t>
            </w:r>
          </w:p>
        </w:tc>
        <w:tc>
          <w:tcPr>
            <w:tcW w:w="1843" w:type="dxa"/>
          </w:tcPr>
          <w:p w14:paraId="5E97ED22" w14:textId="2A28B8C8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44" w:type="dxa"/>
          </w:tcPr>
          <w:p w14:paraId="05712425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2D81A0FB" w14:textId="77777777" w:rsidTr="008C07E7">
        <w:trPr>
          <w:cantSplit/>
        </w:trPr>
        <w:tc>
          <w:tcPr>
            <w:tcW w:w="2972" w:type="dxa"/>
          </w:tcPr>
          <w:p w14:paraId="4BA48CFD" w14:textId="41336123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Chlorát</w:t>
            </w:r>
          </w:p>
        </w:tc>
        <w:tc>
          <w:tcPr>
            <w:tcW w:w="1843" w:type="dxa"/>
          </w:tcPr>
          <w:p w14:paraId="02C1AE97" w14:textId="3B888642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5B5380D0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741FD04" w14:textId="77777777" w:rsidTr="008C07E7">
        <w:trPr>
          <w:cantSplit/>
        </w:trPr>
        <w:tc>
          <w:tcPr>
            <w:tcW w:w="2972" w:type="dxa"/>
          </w:tcPr>
          <w:p w14:paraId="4D0312F1" w14:textId="5F2E63FC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Chlorid</w:t>
            </w:r>
          </w:p>
        </w:tc>
        <w:tc>
          <w:tcPr>
            <w:tcW w:w="1843" w:type="dxa"/>
          </w:tcPr>
          <w:p w14:paraId="09FA8930" w14:textId="12EE21B0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544" w:type="dxa"/>
          </w:tcPr>
          <w:p w14:paraId="6B6D9D8C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69C4976" w14:textId="77777777" w:rsidTr="008C07E7">
        <w:trPr>
          <w:cantSplit/>
        </w:trPr>
        <w:tc>
          <w:tcPr>
            <w:tcW w:w="2972" w:type="dxa"/>
          </w:tcPr>
          <w:p w14:paraId="5BEF18F3" w14:textId="4E77FBA9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Chlorit</w:t>
            </w:r>
          </w:p>
        </w:tc>
        <w:tc>
          <w:tcPr>
            <w:tcW w:w="1843" w:type="dxa"/>
          </w:tcPr>
          <w:p w14:paraId="7E9D051B" w14:textId="4303367C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68D9CD0D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791C7E8" w14:textId="77777777" w:rsidTr="008C07E7">
        <w:trPr>
          <w:cantSplit/>
        </w:trPr>
        <w:tc>
          <w:tcPr>
            <w:tcW w:w="2972" w:type="dxa"/>
          </w:tcPr>
          <w:p w14:paraId="7233109C" w14:textId="2F9A695D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Vodivost</w:t>
            </w:r>
          </w:p>
        </w:tc>
        <w:tc>
          <w:tcPr>
            <w:tcW w:w="1843" w:type="dxa"/>
          </w:tcPr>
          <w:p w14:paraId="2C111CB8" w14:textId="3FAEF7B3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544" w:type="dxa"/>
          </w:tcPr>
          <w:p w14:paraId="278795FD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2E6EAA6" w14:textId="77777777" w:rsidTr="008C07E7">
        <w:trPr>
          <w:cantSplit/>
        </w:trPr>
        <w:tc>
          <w:tcPr>
            <w:tcW w:w="2972" w:type="dxa"/>
          </w:tcPr>
          <w:p w14:paraId="7EF0CC45" w14:textId="67B8E53D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Měď</w:t>
            </w:r>
          </w:p>
        </w:tc>
        <w:tc>
          <w:tcPr>
            <w:tcW w:w="1843" w:type="dxa"/>
          </w:tcPr>
          <w:p w14:paraId="76D96E05" w14:textId="6067BE3E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44" w:type="dxa"/>
          </w:tcPr>
          <w:p w14:paraId="0E5EB8DF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2A38F7B9" w14:textId="77777777" w:rsidTr="008C07E7">
        <w:trPr>
          <w:cantSplit/>
        </w:trPr>
        <w:tc>
          <w:tcPr>
            <w:tcW w:w="2972" w:type="dxa"/>
          </w:tcPr>
          <w:p w14:paraId="351C15E3" w14:textId="3A78BE8D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Chrom </w:t>
            </w:r>
          </w:p>
        </w:tc>
        <w:tc>
          <w:tcPr>
            <w:tcW w:w="1843" w:type="dxa"/>
          </w:tcPr>
          <w:p w14:paraId="1180780A" w14:textId="68FE208D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0889D18E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76DF409A" w14:textId="77777777" w:rsidTr="008C07E7">
        <w:trPr>
          <w:cantSplit/>
        </w:trPr>
        <w:tc>
          <w:tcPr>
            <w:tcW w:w="2972" w:type="dxa"/>
          </w:tcPr>
          <w:p w14:paraId="01D6DA43" w14:textId="4CD4589A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Rtuť</w:t>
            </w:r>
          </w:p>
        </w:tc>
        <w:tc>
          <w:tcPr>
            <w:tcW w:w="1843" w:type="dxa"/>
          </w:tcPr>
          <w:p w14:paraId="2A7FF79C" w14:textId="669B9BB5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0A4AE927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8B488D5" w14:textId="77777777" w:rsidTr="008C07E7">
        <w:trPr>
          <w:cantSplit/>
        </w:trPr>
        <w:tc>
          <w:tcPr>
            <w:tcW w:w="2972" w:type="dxa"/>
          </w:tcPr>
          <w:p w14:paraId="16B06DFA" w14:textId="2CC068A6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Mangan</w:t>
            </w:r>
          </w:p>
        </w:tc>
        <w:tc>
          <w:tcPr>
            <w:tcW w:w="1843" w:type="dxa"/>
          </w:tcPr>
          <w:p w14:paraId="0977CAA5" w14:textId="4DF490D9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53A5BF9B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48DFBF6" w14:textId="77777777" w:rsidTr="008C07E7">
        <w:trPr>
          <w:cantSplit/>
        </w:trPr>
        <w:tc>
          <w:tcPr>
            <w:tcW w:w="2972" w:type="dxa"/>
          </w:tcPr>
          <w:p w14:paraId="6EF5CAE1" w14:textId="64EA2494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Mikrocystin-LR</w:t>
            </w:r>
          </w:p>
        </w:tc>
        <w:tc>
          <w:tcPr>
            <w:tcW w:w="1843" w:type="dxa"/>
          </w:tcPr>
          <w:p w14:paraId="66750855" w14:textId="4DBA358B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32CD99B1" w14:textId="7777777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5A10D63C" w14:textId="77777777" w:rsidTr="008C07E7">
        <w:trPr>
          <w:cantSplit/>
        </w:trPr>
        <w:tc>
          <w:tcPr>
            <w:tcW w:w="2972" w:type="dxa"/>
          </w:tcPr>
          <w:p w14:paraId="4533B12B" w14:textId="72D8927D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Sodík</w:t>
            </w:r>
          </w:p>
        </w:tc>
        <w:tc>
          <w:tcPr>
            <w:tcW w:w="1843" w:type="dxa"/>
          </w:tcPr>
          <w:p w14:paraId="6B20911D" w14:textId="7C4A3801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544" w:type="dxa"/>
          </w:tcPr>
          <w:p w14:paraId="5B6C0536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49B51EB" w14:textId="77777777" w:rsidTr="008C07E7">
        <w:trPr>
          <w:cantSplit/>
        </w:trPr>
        <w:tc>
          <w:tcPr>
            <w:tcW w:w="2972" w:type="dxa"/>
          </w:tcPr>
          <w:p w14:paraId="00B9F522" w14:textId="5B97A7A2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Nikl</w:t>
            </w:r>
          </w:p>
        </w:tc>
        <w:tc>
          <w:tcPr>
            <w:tcW w:w="1843" w:type="dxa"/>
          </w:tcPr>
          <w:p w14:paraId="78FDB8F8" w14:textId="19DC632E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44" w:type="dxa"/>
          </w:tcPr>
          <w:p w14:paraId="38ADF4F6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23E9F9D2" w14:textId="77777777" w:rsidTr="008C07E7">
        <w:trPr>
          <w:cantSplit/>
        </w:trPr>
        <w:tc>
          <w:tcPr>
            <w:tcW w:w="2972" w:type="dxa"/>
          </w:tcPr>
          <w:p w14:paraId="2B994A8F" w14:textId="1DE281F2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Dusičnany</w:t>
            </w:r>
          </w:p>
        </w:tc>
        <w:tc>
          <w:tcPr>
            <w:tcW w:w="1843" w:type="dxa"/>
          </w:tcPr>
          <w:p w14:paraId="32CE2A3D" w14:textId="6CE8F895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544" w:type="dxa"/>
          </w:tcPr>
          <w:p w14:paraId="2A373B48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4B41307F" w14:textId="77777777" w:rsidTr="008C07E7">
        <w:trPr>
          <w:cantSplit/>
        </w:trPr>
        <w:tc>
          <w:tcPr>
            <w:tcW w:w="2972" w:type="dxa"/>
          </w:tcPr>
          <w:p w14:paraId="29B89D83" w14:textId="75CE0B74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Dusitany</w:t>
            </w:r>
          </w:p>
        </w:tc>
        <w:tc>
          <w:tcPr>
            <w:tcW w:w="1843" w:type="dxa"/>
          </w:tcPr>
          <w:p w14:paraId="2A7F731F" w14:textId="3F353E55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544" w:type="dxa"/>
          </w:tcPr>
          <w:p w14:paraId="76703F81" w14:textId="77777777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34B777F9" w14:textId="77777777" w:rsidTr="008C07E7">
        <w:trPr>
          <w:cantSplit/>
        </w:trPr>
        <w:tc>
          <w:tcPr>
            <w:tcW w:w="2972" w:type="dxa"/>
          </w:tcPr>
          <w:p w14:paraId="29B590EF" w14:textId="4E5BA07B" w:rsidR="001D133C" w:rsidRPr="000D12B4" w:rsidRDefault="001D133C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Oxidovatelnost (permanganátový index)</w:t>
            </w:r>
          </w:p>
        </w:tc>
        <w:tc>
          <w:tcPr>
            <w:tcW w:w="1843" w:type="dxa"/>
          </w:tcPr>
          <w:p w14:paraId="3585F412" w14:textId="1D731020" w:rsidR="001D133C" w:rsidRPr="000D12B4" w:rsidRDefault="001D133C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6EF128CF" w14:textId="5E730DA6" w:rsidR="001D133C" w:rsidRPr="000D12B4" w:rsidRDefault="00675C1F" w:rsidP="00675C1F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K určení ukazatele lze použít dřívější SS 0281181.  Referenční metoda SS-EN ISO 8467.</w:t>
            </w:r>
          </w:p>
        </w:tc>
      </w:tr>
      <w:tr w:rsidR="000D12B4" w:rsidRPr="000D12B4" w14:paraId="50EF795D" w14:textId="77777777" w:rsidTr="008C07E7">
        <w:trPr>
          <w:cantSplit/>
        </w:trPr>
        <w:tc>
          <w:tcPr>
            <w:tcW w:w="2972" w:type="dxa"/>
          </w:tcPr>
          <w:p w14:paraId="30F4081A" w14:textId="65619CC4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4 PFAS</w:t>
            </w:r>
          </w:p>
        </w:tc>
        <w:tc>
          <w:tcPr>
            <w:tcW w:w="1843" w:type="dxa"/>
          </w:tcPr>
          <w:p w14:paraId="1CE79976" w14:textId="3196331B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7BF7150C" w14:textId="50B75ABD" w:rsidR="00976D9E" w:rsidRPr="000D12B4" w:rsidRDefault="00976D9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40475EB4" w14:textId="77777777" w:rsidTr="008C07E7">
        <w:trPr>
          <w:cantSplit/>
        </w:trPr>
        <w:tc>
          <w:tcPr>
            <w:tcW w:w="2972" w:type="dxa"/>
          </w:tcPr>
          <w:p w14:paraId="07012798" w14:textId="33228EEC" w:rsidR="00976D9E" w:rsidRPr="000D12B4" w:rsidRDefault="00976D9E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21 PFAS</w:t>
            </w:r>
          </w:p>
        </w:tc>
        <w:tc>
          <w:tcPr>
            <w:tcW w:w="1843" w:type="dxa"/>
          </w:tcPr>
          <w:p w14:paraId="5258B6C7" w14:textId="775C1201" w:rsidR="00976D9E" w:rsidRPr="000D12B4" w:rsidRDefault="00976D9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3068D1DA" w14:textId="77777777" w:rsidR="00976D9E" w:rsidRPr="000D12B4" w:rsidRDefault="00976D9E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3E665389" w14:textId="77777777" w:rsidTr="008C07E7">
        <w:trPr>
          <w:cantSplit/>
        </w:trPr>
        <w:tc>
          <w:tcPr>
            <w:tcW w:w="2972" w:type="dxa"/>
          </w:tcPr>
          <w:p w14:paraId="0B8BC357" w14:textId="6254B169" w:rsidR="004A030A" w:rsidRPr="000D12B4" w:rsidRDefault="004A030A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Koncentrace vodíkových iontů (pH)</w:t>
            </w:r>
          </w:p>
        </w:tc>
        <w:tc>
          <w:tcPr>
            <w:tcW w:w="1843" w:type="dxa"/>
          </w:tcPr>
          <w:p w14:paraId="0BD191E9" w14:textId="7BA5A096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3544" w:type="dxa"/>
          </w:tcPr>
          <w:p w14:paraId="01D75F0E" w14:textId="3D9AD0D7" w:rsidR="004A030A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Hodnota nejistoty měření je vyjádřena v jednotkách pH.</w:t>
            </w:r>
          </w:p>
        </w:tc>
      </w:tr>
      <w:tr w:rsidR="000D12B4" w:rsidRPr="000D12B4" w14:paraId="0291493E" w14:textId="77777777" w:rsidTr="008C07E7">
        <w:trPr>
          <w:cantSplit/>
        </w:trPr>
        <w:tc>
          <w:tcPr>
            <w:tcW w:w="2972" w:type="dxa"/>
          </w:tcPr>
          <w:p w14:paraId="79A29F77" w14:textId="6F167F65" w:rsidR="003C5540" w:rsidRPr="000D12B4" w:rsidRDefault="003C5540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Polycyklické aromatické uhlovodíky (PAH)</w:t>
            </w:r>
          </w:p>
        </w:tc>
        <w:tc>
          <w:tcPr>
            <w:tcW w:w="1843" w:type="dxa"/>
          </w:tcPr>
          <w:p w14:paraId="6ECC7E35" w14:textId="0BCCAD93" w:rsidR="003C5540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36129956" w14:textId="42363B7D" w:rsidR="003C5540" w:rsidRPr="000D12B4" w:rsidRDefault="002F2227" w:rsidP="00F0220F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Metodická kritéria se vztahují na jednotlivé látky uvedené na seznamu 25 % mezní hodnoty v dodatku 1.</w:t>
            </w:r>
          </w:p>
        </w:tc>
      </w:tr>
      <w:tr w:rsidR="000D12B4" w:rsidRPr="000D12B4" w14:paraId="78975B6D" w14:textId="77777777" w:rsidTr="008C07E7">
        <w:trPr>
          <w:cantSplit/>
        </w:trPr>
        <w:tc>
          <w:tcPr>
            <w:tcW w:w="2972" w:type="dxa"/>
          </w:tcPr>
          <w:p w14:paraId="25D2894D" w14:textId="4ECA6719" w:rsidR="003C5540" w:rsidRPr="000D12B4" w:rsidRDefault="003C5540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Selen</w:t>
            </w:r>
          </w:p>
        </w:tc>
        <w:tc>
          <w:tcPr>
            <w:tcW w:w="1843" w:type="dxa"/>
          </w:tcPr>
          <w:p w14:paraId="18EA1BA1" w14:textId="2BC55E02" w:rsidR="003C5540" w:rsidRPr="000D12B4" w:rsidRDefault="003C5540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68329BFE" w14:textId="77777777" w:rsidR="003C5540" w:rsidRPr="000D12B4" w:rsidRDefault="003C5540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4BB25CD2" w14:textId="77777777" w:rsidTr="008C07E7">
        <w:trPr>
          <w:cantSplit/>
        </w:trPr>
        <w:tc>
          <w:tcPr>
            <w:tcW w:w="2972" w:type="dxa"/>
          </w:tcPr>
          <w:p w14:paraId="2A54E7A7" w14:textId="380D42B4" w:rsidR="003C5540" w:rsidRPr="000D12B4" w:rsidRDefault="003C5540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Síran</w:t>
            </w:r>
          </w:p>
        </w:tc>
        <w:tc>
          <w:tcPr>
            <w:tcW w:w="1843" w:type="dxa"/>
          </w:tcPr>
          <w:p w14:paraId="1647B39C" w14:textId="237531CD" w:rsidR="003C5540" w:rsidRPr="000D12B4" w:rsidRDefault="003C5540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544" w:type="dxa"/>
          </w:tcPr>
          <w:p w14:paraId="57C21527" w14:textId="77777777" w:rsidR="003C5540" w:rsidRPr="000D12B4" w:rsidRDefault="003C5540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1E8B4F0" w14:textId="77777777" w:rsidTr="008C07E7">
        <w:trPr>
          <w:cantSplit/>
        </w:trPr>
        <w:tc>
          <w:tcPr>
            <w:tcW w:w="2972" w:type="dxa"/>
          </w:tcPr>
          <w:p w14:paraId="3B6519B1" w14:textId="3306B8D6" w:rsidR="003C5540" w:rsidRPr="000D12B4" w:rsidRDefault="003C5540" w:rsidP="006C1035">
            <w:pPr>
              <w:rPr>
                <w:sz w:val="22"/>
                <w:szCs w:val="22"/>
              </w:rPr>
            </w:pPr>
            <w:r>
              <w:rPr>
                <w:sz w:val="22"/>
              </w:rPr>
              <w:t>Tetrachlorethylen a trichlorethylen</w:t>
            </w:r>
          </w:p>
        </w:tc>
        <w:tc>
          <w:tcPr>
            <w:tcW w:w="1843" w:type="dxa"/>
          </w:tcPr>
          <w:p w14:paraId="30976C60" w14:textId="6CF02176" w:rsidR="003C5540" w:rsidRPr="000D12B4" w:rsidRDefault="004A030A" w:rsidP="006C1035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3C2566E2" w14:textId="36FD09B9" w:rsidR="003C5540" w:rsidRPr="000D12B4" w:rsidRDefault="002F2227" w:rsidP="00F0220F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Metodická kritéria se vztahují na jednotlivé látky uvedené na seznamu 50% mezní hodnoty v dodatku 1.</w:t>
            </w:r>
          </w:p>
        </w:tc>
      </w:tr>
      <w:tr w:rsidR="000D12B4" w:rsidRPr="000D12B4" w14:paraId="0B52EFDB" w14:textId="77777777" w:rsidTr="008C07E7">
        <w:trPr>
          <w:cantSplit/>
        </w:trPr>
        <w:tc>
          <w:tcPr>
            <w:tcW w:w="2972" w:type="dxa"/>
          </w:tcPr>
          <w:p w14:paraId="2E4AB486" w14:textId="354171DC" w:rsidR="004A030A" w:rsidRPr="000D12B4" w:rsidRDefault="004A030A" w:rsidP="004A03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Celkový organický uhlík (TOC)</w:t>
            </w:r>
          </w:p>
        </w:tc>
        <w:tc>
          <w:tcPr>
            <w:tcW w:w="1843" w:type="dxa"/>
          </w:tcPr>
          <w:p w14:paraId="02FC56F2" w14:textId="0E4A4859" w:rsidR="004A030A" w:rsidRPr="000D12B4" w:rsidRDefault="004A030A" w:rsidP="004A030A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25A0225C" w14:textId="7DB4BC68" w:rsidR="004A030A" w:rsidRPr="000D12B4" w:rsidRDefault="004A030A" w:rsidP="004A030A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Nejistota měření by měla být stanovena při koncentraci 3 mg/l celkového organického uhlíku (TOC). Pro stanovení nejistoty zkušební metody se použije norma SS-EN 1484 pro stanovení TOC a rozpuštěného organického uhlíku (DOC).</w:t>
            </w:r>
          </w:p>
        </w:tc>
      </w:tr>
      <w:tr w:rsidR="000D12B4" w:rsidRPr="000D12B4" w14:paraId="5E95548B" w14:textId="77777777" w:rsidTr="008C07E7">
        <w:trPr>
          <w:cantSplit/>
        </w:trPr>
        <w:tc>
          <w:tcPr>
            <w:tcW w:w="2972" w:type="dxa"/>
          </w:tcPr>
          <w:p w14:paraId="2AB03687" w14:textId="61E72E19" w:rsidR="004A030A" w:rsidRPr="000D12B4" w:rsidRDefault="004A030A" w:rsidP="004A03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Trihalomethany (THM) – celkem</w:t>
            </w:r>
          </w:p>
        </w:tc>
        <w:tc>
          <w:tcPr>
            <w:tcW w:w="1843" w:type="dxa"/>
          </w:tcPr>
          <w:p w14:paraId="4528A505" w14:textId="56878EC8" w:rsidR="004A030A" w:rsidRPr="000D12B4" w:rsidRDefault="004A030A" w:rsidP="004A030A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44" w:type="dxa"/>
          </w:tcPr>
          <w:p w14:paraId="434F91B3" w14:textId="5AEDE48C" w:rsidR="004A030A" w:rsidRPr="000D12B4" w:rsidRDefault="004A030A" w:rsidP="00F0220F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Metodická kritéria se vztahují na jednotlivé látky uvedené na seznamu 25 % mezní hodnoty v dodatku 1.</w:t>
            </w:r>
          </w:p>
        </w:tc>
      </w:tr>
      <w:tr w:rsidR="000D12B4" w:rsidRPr="000D12B4" w14:paraId="6DBFB5B2" w14:textId="77777777" w:rsidTr="008C07E7">
        <w:trPr>
          <w:cantSplit/>
        </w:trPr>
        <w:tc>
          <w:tcPr>
            <w:tcW w:w="2972" w:type="dxa"/>
          </w:tcPr>
          <w:p w14:paraId="270D90EF" w14:textId="67D8FFFF" w:rsidR="00726E44" w:rsidRPr="000D12B4" w:rsidRDefault="00726E44" w:rsidP="00726E44">
            <w:pPr>
              <w:rPr>
                <w:sz w:val="22"/>
                <w:szCs w:val="22"/>
              </w:rPr>
            </w:pPr>
            <w:r>
              <w:rPr>
                <w:sz w:val="22"/>
              </w:rPr>
              <w:t>Zákal</w:t>
            </w:r>
          </w:p>
        </w:tc>
        <w:tc>
          <w:tcPr>
            <w:tcW w:w="1843" w:type="dxa"/>
          </w:tcPr>
          <w:p w14:paraId="4E7DE3CF" w14:textId="1BBF737D" w:rsidR="00726E44" w:rsidRPr="000D12B4" w:rsidRDefault="00726E44" w:rsidP="00726E44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4E9964E0" w14:textId="549A4649" w:rsidR="00726E44" w:rsidRPr="000D12B4" w:rsidRDefault="00726E44" w:rsidP="00F25E60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Nejistota měření by měla být stanovena při koncentraci 1,0 FNU/FTU/NTU v souladu s normou SS-EN ISO 7027 nebo jinou rovnocennou standardní metodou.</w:t>
            </w:r>
          </w:p>
        </w:tc>
      </w:tr>
      <w:tr w:rsidR="000D12B4" w:rsidRPr="000D12B4" w14:paraId="22A95102" w14:textId="77777777" w:rsidTr="008C07E7">
        <w:trPr>
          <w:cantSplit/>
        </w:trPr>
        <w:tc>
          <w:tcPr>
            <w:tcW w:w="2972" w:type="dxa"/>
          </w:tcPr>
          <w:p w14:paraId="2A1118C9" w14:textId="7344EAD6" w:rsidR="00726E44" w:rsidRPr="000D12B4" w:rsidRDefault="00726E44" w:rsidP="00726E44">
            <w:pPr>
              <w:rPr>
                <w:sz w:val="22"/>
                <w:szCs w:val="22"/>
              </w:rPr>
            </w:pPr>
            <w:r>
              <w:rPr>
                <w:sz w:val="22"/>
              </w:rPr>
              <w:t>Uran</w:t>
            </w:r>
          </w:p>
        </w:tc>
        <w:tc>
          <w:tcPr>
            <w:tcW w:w="1843" w:type="dxa"/>
          </w:tcPr>
          <w:p w14:paraId="6CF0A0D2" w14:textId="19139CBC" w:rsidR="00726E44" w:rsidRPr="000D12B4" w:rsidRDefault="00726E44" w:rsidP="00726E44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44" w:type="dxa"/>
          </w:tcPr>
          <w:p w14:paraId="66569544" w14:textId="77777777" w:rsidR="00726E44" w:rsidRPr="000D12B4" w:rsidRDefault="00726E44" w:rsidP="00726E44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726E44" w:rsidRPr="000D12B4" w14:paraId="0A3103C8" w14:textId="77777777" w:rsidTr="008C07E7">
        <w:trPr>
          <w:cantSplit/>
        </w:trPr>
        <w:tc>
          <w:tcPr>
            <w:tcW w:w="2972" w:type="dxa"/>
          </w:tcPr>
          <w:p w14:paraId="0696E64D" w14:textId="16C1705E" w:rsidR="00726E44" w:rsidRPr="000D12B4" w:rsidRDefault="00726E44" w:rsidP="00726E44">
            <w:pPr>
              <w:rPr>
                <w:sz w:val="22"/>
                <w:szCs w:val="22"/>
              </w:rPr>
            </w:pPr>
            <w:r>
              <w:rPr>
                <w:sz w:val="22"/>
              </w:rPr>
              <w:t>Vinylchlorid</w:t>
            </w:r>
          </w:p>
        </w:tc>
        <w:tc>
          <w:tcPr>
            <w:tcW w:w="1843" w:type="dxa"/>
          </w:tcPr>
          <w:p w14:paraId="660DCDC5" w14:textId="36D6D2A8" w:rsidR="00726E44" w:rsidRPr="000D12B4" w:rsidRDefault="00726E44" w:rsidP="00726E44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544" w:type="dxa"/>
          </w:tcPr>
          <w:p w14:paraId="3A9BE871" w14:textId="77777777" w:rsidR="00726E44" w:rsidRPr="000D12B4" w:rsidRDefault="00726E44" w:rsidP="00726E44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</w:tbl>
    <w:p w14:paraId="1E1F5337" w14:textId="1138A485" w:rsidR="00E8030E" w:rsidRPr="000D12B4" w:rsidRDefault="00E8030E" w:rsidP="00B13878">
      <w:pPr>
        <w:rPr>
          <w:sz w:val="22"/>
          <w:szCs w:val="22"/>
        </w:rPr>
      </w:pPr>
    </w:p>
    <w:p w14:paraId="19B5A7E5" w14:textId="77777777" w:rsidR="00EC79C0" w:rsidRPr="000D12B4" w:rsidRDefault="00EC79C0" w:rsidP="00EC79C0">
      <w:pPr>
        <w:rPr>
          <w:sz w:val="22"/>
          <w:szCs w:val="22"/>
        </w:rPr>
      </w:pPr>
      <w:r>
        <w:rPr>
          <w:sz w:val="22"/>
        </w:rPr>
        <w:t xml:space="preserve">1) Nejistota měření je nezáporný ukazatel, který charakterizuje rozpětí hodnot veličin přiřazených měrné veličině na základě použitých informací. Kritériem metody pro nejistotu měření (k = 2) je procento mezní hodnoty uvedené v tabulce nebo lepší. </w:t>
      </w:r>
    </w:p>
    <w:p w14:paraId="14E32CFA" w14:textId="0496612D" w:rsidR="00EC79C0" w:rsidRPr="000D12B4" w:rsidRDefault="00EC79C0" w:rsidP="00EC79C0">
      <w:pPr>
        <w:rPr>
          <w:sz w:val="22"/>
          <w:szCs w:val="22"/>
        </w:rPr>
      </w:pPr>
      <w:r>
        <w:rPr>
          <w:sz w:val="22"/>
        </w:rPr>
        <w:tab/>
        <w:t>Nejistota měření se odhaduje na úrovni ukazatelů, není-li uvedeno jinak.</w:t>
      </w:r>
    </w:p>
    <w:p w14:paraId="5F7C9D56" w14:textId="5C7E453C" w:rsidR="00EC79C0" w:rsidRPr="000D12B4" w:rsidRDefault="00EC79C0" w:rsidP="00EC79C0"/>
    <w:p w14:paraId="085F9860" w14:textId="02123FFE" w:rsidR="00EC79C0" w:rsidRPr="000D12B4" w:rsidRDefault="00522609" w:rsidP="00EC79C0">
      <w:r>
        <w:t>Pro následující ukazatele a radionuklidy musí být použitá analytická metoda schopna měřit koncentrace aktivity alespoň na níže uvedených mezích detekce.</w:t>
      </w:r>
    </w:p>
    <w:p w14:paraId="43AABACC" w14:textId="7425B30E" w:rsidR="00EC79C0" w:rsidRPr="000D12B4" w:rsidRDefault="00EC79C0" w:rsidP="00B13878">
      <w:pPr>
        <w:rPr>
          <w:sz w:val="22"/>
          <w:szCs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7"/>
        <w:gridCol w:w="2268"/>
        <w:gridCol w:w="3544"/>
      </w:tblGrid>
      <w:tr w:rsidR="000D12B4" w:rsidRPr="000D12B4" w14:paraId="2933EF9B" w14:textId="77777777" w:rsidTr="006C1035">
        <w:trPr>
          <w:cantSplit/>
          <w:tblHeader/>
        </w:trPr>
        <w:tc>
          <w:tcPr>
            <w:tcW w:w="2547" w:type="dxa"/>
            <w:shd w:val="clear" w:color="auto" w:fill="F2F2F2" w:themeFill="background1" w:themeFillShade="F2"/>
          </w:tcPr>
          <w:p w14:paraId="7A142341" w14:textId="1F242BED" w:rsidR="006C1035" w:rsidRPr="000D12B4" w:rsidRDefault="006C1035" w:rsidP="006C10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Ukazatele a radionuklidy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9970EB" w14:textId="336FE95E" w:rsidR="006C1035" w:rsidRPr="000D12B4" w:rsidRDefault="006C1035" w:rsidP="006C103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Detekční limit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68DCE66" w14:textId="6AFA927C" w:rsidR="006C1035" w:rsidRPr="000D12B4" w:rsidRDefault="00C81BF2" w:rsidP="006C1035">
            <w:pPr>
              <w:ind w:left="30"/>
              <w:outlineLvl w:val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Poznámky</w:t>
            </w:r>
          </w:p>
        </w:tc>
      </w:tr>
      <w:tr w:rsidR="000D12B4" w:rsidRPr="000D12B4" w14:paraId="1393F99F" w14:textId="77777777" w:rsidTr="006C1035">
        <w:trPr>
          <w:cantSplit/>
        </w:trPr>
        <w:tc>
          <w:tcPr>
            <w:tcW w:w="2547" w:type="dxa"/>
          </w:tcPr>
          <w:p w14:paraId="36F598DC" w14:textId="2509B20D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Radon</w:t>
            </w:r>
          </w:p>
        </w:tc>
        <w:tc>
          <w:tcPr>
            <w:tcW w:w="2268" w:type="dxa"/>
          </w:tcPr>
          <w:p w14:paraId="06F608A4" w14:textId="00005C6A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Bq/l</w:t>
            </w:r>
          </w:p>
        </w:tc>
        <w:tc>
          <w:tcPr>
            <w:tcW w:w="3544" w:type="dxa"/>
          </w:tcPr>
          <w:p w14:paraId="27B63174" w14:textId="28E6111F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Mez detekce radonu je 10 % jeho limitu 100 Bq/l.</w:t>
            </w:r>
          </w:p>
        </w:tc>
      </w:tr>
      <w:tr w:rsidR="000D12B4" w:rsidRPr="000D12B4" w14:paraId="09FEC03A" w14:textId="77777777" w:rsidTr="006C1035">
        <w:trPr>
          <w:cantSplit/>
        </w:trPr>
        <w:tc>
          <w:tcPr>
            <w:tcW w:w="2547" w:type="dxa"/>
          </w:tcPr>
          <w:p w14:paraId="5786D7A5" w14:textId="54F440F2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Celková alfa aktivita</w:t>
            </w:r>
          </w:p>
        </w:tc>
        <w:tc>
          <w:tcPr>
            <w:tcW w:w="2268" w:type="dxa"/>
          </w:tcPr>
          <w:p w14:paraId="6B0BBDB0" w14:textId="396C72F5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0,04 Bq/l</w:t>
            </w:r>
          </w:p>
        </w:tc>
        <w:tc>
          <w:tcPr>
            <w:tcW w:w="3544" w:type="dxa"/>
          </w:tcPr>
          <w:p w14:paraId="3C790698" w14:textId="10830230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Detekční limit pro celkovou aktivitu alfa je 40 % mezní hodnoty 0,1 Bq/l.</w:t>
            </w:r>
          </w:p>
        </w:tc>
      </w:tr>
      <w:tr w:rsidR="000D12B4" w:rsidRPr="000D12B4" w14:paraId="2F0B4796" w14:textId="77777777" w:rsidTr="006C1035">
        <w:trPr>
          <w:cantSplit/>
        </w:trPr>
        <w:tc>
          <w:tcPr>
            <w:tcW w:w="2547" w:type="dxa"/>
          </w:tcPr>
          <w:p w14:paraId="3CEF51E5" w14:textId="0CF7B578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Celková aktivita beta</w:t>
            </w:r>
          </w:p>
        </w:tc>
        <w:tc>
          <w:tcPr>
            <w:tcW w:w="2268" w:type="dxa"/>
          </w:tcPr>
          <w:p w14:paraId="4425848D" w14:textId="15F981C1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0,4 Bq/l</w:t>
            </w:r>
          </w:p>
        </w:tc>
        <w:tc>
          <w:tcPr>
            <w:tcW w:w="3544" w:type="dxa"/>
          </w:tcPr>
          <w:p w14:paraId="6E5ADE33" w14:textId="1FF395B1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Detekční limit pro celkovou aktivitu alfa je 40 % mezní hodnoty 1,0 Bq/l.</w:t>
            </w:r>
          </w:p>
        </w:tc>
      </w:tr>
      <w:tr w:rsidR="000D12B4" w:rsidRPr="000D12B4" w14:paraId="7E1E52E5" w14:textId="77777777" w:rsidTr="006C1035">
        <w:trPr>
          <w:cantSplit/>
        </w:trPr>
        <w:tc>
          <w:tcPr>
            <w:tcW w:w="2547" w:type="dxa"/>
          </w:tcPr>
          <w:p w14:paraId="487BCAE6" w14:textId="2B2E7E09" w:rsidR="00CC29BB" w:rsidRPr="000D12B4" w:rsidRDefault="00CC29BB" w:rsidP="00CC29BB">
            <w:pPr>
              <w:rPr>
                <w:noProof/>
                <w:sz w:val="22"/>
                <w:szCs w:val="22"/>
                <w:u w:val="single"/>
              </w:rPr>
            </w:pPr>
            <w:r>
              <w:rPr>
                <w:sz w:val="22"/>
              </w:rPr>
              <w:lastRenderedPageBreak/>
              <w:t>Tritium</w:t>
            </w:r>
          </w:p>
        </w:tc>
        <w:tc>
          <w:tcPr>
            <w:tcW w:w="2268" w:type="dxa"/>
          </w:tcPr>
          <w:p w14:paraId="5023BF3B" w14:textId="5969A829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10 Bq/l</w:t>
            </w:r>
          </w:p>
        </w:tc>
        <w:tc>
          <w:tcPr>
            <w:tcW w:w="3544" w:type="dxa"/>
          </w:tcPr>
          <w:p w14:paraId="066C26EF" w14:textId="0F060BCA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Mez detekce tritia je 10 % jeho mezní hodnoty 100 Bq/l.</w:t>
            </w:r>
          </w:p>
        </w:tc>
      </w:tr>
      <w:tr w:rsidR="000D12B4" w:rsidRPr="000D12B4" w14:paraId="3898305F" w14:textId="77777777" w:rsidTr="006C1035">
        <w:trPr>
          <w:cantSplit/>
        </w:trPr>
        <w:tc>
          <w:tcPr>
            <w:tcW w:w="2547" w:type="dxa"/>
          </w:tcPr>
          <w:p w14:paraId="6B963679" w14:textId="0F8A08E9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U-238</w:t>
            </w:r>
          </w:p>
        </w:tc>
        <w:tc>
          <w:tcPr>
            <w:tcW w:w="2268" w:type="dxa"/>
          </w:tcPr>
          <w:p w14:paraId="7CB4A063" w14:textId="54480AEB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0,02 Bq/l</w:t>
            </w:r>
          </w:p>
        </w:tc>
        <w:tc>
          <w:tcPr>
            <w:tcW w:w="3544" w:type="dxa"/>
          </w:tcPr>
          <w:p w14:paraId="3879ED7A" w14:textId="08B57375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773B07C" w14:textId="77777777" w:rsidTr="006C1035">
        <w:trPr>
          <w:cantSplit/>
        </w:trPr>
        <w:tc>
          <w:tcPr>
            <w:tcW w:w="2547" w:type="dxa"/>
          </w:tcPr>
          <w:p w14:paraId="4EEC07B5" w14:textId="3126C78F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U-234</w:t>
            </w:r>
          </w:p>
        </w:tc>
        <w:tc>
          <w:tcPr>
            <w:tcW w:w="2268" w:type="dxa"/>
          </w:tcPr>
          <w:p w14:paraId="4FF08B43" w14:textId="1314FDF0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0,02 Bq/l</w:t>
            </w:r>
          </w:p>
        </w:tc>
        <w:tc>
          <w:tcPr>
            <w:tcW w:w="3544" w:type="dxa"/>
          </w:tcPr>
          <w:p w14:paraId="5A1B6161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5251B5F" w14:textId="77777777" w:rsidTr="006C1035">
        <w:trPr>
          <w:cantSplit/>
        </w:trPr>
        <w:tc>
          <w:tcPr>
            <w:tcW w:w="2547" w:type="dxa"/>
          </w:tcPr>
          <w:p w14:paraId="6F37283F" w14:textId="2DBC4F2E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Ra-226</w:t>
            </w:r>
          </w:p>
        </w:tc>
        <w:tc>
          <w:tcPr>
            <w:tcW w:w="2268" w:type="dxa"/>
          </w:tcPr>
          <w:p w14:paraId="320FFE2F" w14:textId="1123B602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0,04 Bq/l</w:t>
            </w:r>
          </w:p>
        </w:tc>
        <w:tc>
          <w:tcPr>
            <w:tcW w:w="3544" w:type="dxa"/>
          </w:tcPr>
          <w:p w14:paraId="2A97304F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7F7561BE" w14:textId="77777777" w:rsidTr="006C1035">
        <w:trPr>
          <w:cantSplit/>
        </w:trPr>
        <w:tc>
          <w:tcPr>
            <w:tcW w:w="2547" w:type="dxa"/>
          </w:tcPr>
          <w:p w14:paraId="6A3BA76C" w14:textId="15F2AA6E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Ra-228</w:t>
            </w:r>
          </w:p>
        </w:tc>
        <w:tc>
          <w:tcPr>
            <w:tcW w:w="2268" w:type="dxa"/>
          </w:tcPr>
          <w:p w14:paraId="0D92D2F2" w14:textId="6AEBC3AE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0,02 Bq/l</w:t>
            </w:r>
          </w:p>
        </w:tc>
        <w:tc>
          <w:tcPr>
            <w:tcW w:w="3544" w:type="dxa"/>
          </w:tcPr>
          <w:p w14:paraId="54B3594A" w14:textId="075915ED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Tato mez detekce se vztahuje pouze na počáteční screening indikativní dávky pro nový zdroj vody. Pokud počáteční analýzy ukazují, že je nepravděpodobné, že by Ra-228 překročil 20 % odvozené koncentrace, může být detekční limit zvýšen na 0,08 Bq/l pro rutinní měření specifická pro jádro Ra-228, dokud není nutná opakovaná analýza.</w:t>
            </w:r>
          </w:p>
        </w:tc>
      </w:tr>
      <w:tr w:rsidR="000D12B4" w:rsidRPr="000D12B4" w14:paraId="0E885B57" w14:textId="77777777" w:rsidTr="006C1035">
        <w:trPr>
          <w:cantSplit/>
        </w:trPr>
        <w:tc>
          <w:tcPr>
            <w:tcW w:w="2547" w:type="dxa"/>
          </w:tcPr>
          <w:p w14:paraId="1A368596" w14:textId="513B02B4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Pb-210</w:t>
            </w:r>
          </w:p>
        </w:tc>
        <w:tc>
          <w:tcPr>
            <w:tcW w:w="2268" w:type="dxa"/>
          </w:tcPr>
          <w:p w14:paraId="38AF9513" w14:textId="182E0081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0,02 Bq/l</w:t>
            </w:r>
          </w:p>
        </w:tc>
        <w:tc>
          <w:tcPr>
            <w:tcW w:w="3544" w:type="dxa"/>
          </w:tcPr>
          <w:p w14:paraId="42F6BB9D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101D3E51" w14:textId="77777777" w:rsidTr="006C1035">
        <w:trPr>
          <w:cantSplit/>
        </w:trPr>
        <w:tc>
          <w:tcPr>
            <w:tcW w:w="2547" w:type="dxa"/>
          </w:tcPr>
          <w:p w14:paraId="12B411A4" w14:textId="598E256A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Po-210</w:t>
            </w:r>
          </w:p>
        </w:tc>
        <w:tc>
          <w:tcPr>
            <w:tcW w:w="2268" w:type="dxa"/>
          </w:tcPr>
          <w:p w14:paraId="211586F0" w14:textId="33FCED8B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0,01 Bq/l</w:t>
            </w:r>
          </w:p>
        </w:tc>
        <w:tc>
          <w:tcPr>
            <w:tcW w:w="3544" w:type="dxa"/>
          </w:tcPr>
          <w:p w14:paraId="51E66E2B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74EB0506" w14:textId="77777777" w:rsidTr="006C1035">
        <w:trPr>
          <w:cantSplit/>
        </w:trPr>
        <w:tc>
          <w:tcPr>
            <w:tcW w:w="2547" w:type="dxa"/>
          </w:tcPr>
          <w:p w14:paraId="74C7286F" w14:textId="6DB5528D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C-14</w:t>
            </w:r>
          </w:p>
        </w:tc>
        <w:tc>
          <w:tcPr>
            <w:tcW w:w="2268" w:type="dxa"/>
          </w:tcPr>
          <w:p w14:paraId="176731DF" w14:textId="38436F41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20 Bq/l</w:t>
            </w:r>
          </w:p>
        </w:tc>
        <w:tc>
          <w:tcPr>
            <w:tcW w:w="3544" w:type="dxa"/>
          </w:tcPr>
          <w:p w14:paraId="6CF1021D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13B533D" w14:textId="77777777" w:rsidTr="006C1035">
        <w:trPr>
          <w:cantSplit/>
        </w:trPr>
        <w:tc>
          <w:tcPr>
            <w:tcW w:w="2547" w:type="dxa"/>
          </w:tcPr>
          <w:p w14:paraId="1A7A613C" w14:textId="34B777F9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Sr-90</w:t>
            </w:r>
          </w:p>
        </w:tc>
        <w:tc>
          <w:tcPr>
            <w:tcW w:w="2268" w:type="dxa"/>
          </w:tcPr>
          <w:p w14:paraId="63F108B8" w14:textId="591AFFDA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0,4 Bq/l</w:t>
            </w:r>
          </w:p>
        </w:tc>
        <w:tc>
          <w:tcPr>
            <w:tcW w:w="3544" w:type="dxa"/>
          </w:tcPr>
          <w:p w14:paraId="30E87773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2CEB2833" w14:textId="77777777" w:rsidTr="006C1035">
        <w:trPr>
          <w:cantSplit/>
        </w:trPr>
        <w:tc>
          <w:tcPr>
            <w:tcW w:w="2547" w:type="dxa"/>
          </w:tcPr>
          <w:p w14:paraId="39400D05" w14:textId="105B9427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Pu-239/Pu-240</w:t>
            </w:r>
          </w:p>
        </w:tc>
        <w:tc>
          <w:tcPr>
            <w:tcW w:w="2268" w:type="dxa"/>
          </w:tcPr>
          <w:p w14:paraId="69404817" w14:textId="167F8846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0,04 Bq/l</w:t>
            </w:r>
          </w:p>
        </w:tc>
        <w:tc>
          <w:tcPr>
            <w:tcW w:w="3544" w:type="dxa"/>
          </w:tcPr>
          <w:p w14:paraId="621A7AF0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42734C1" w14:textId="77777777" w:rsidTr="006C1035">
        <w:trPr>
          <w:cantSplit/>
        </w:trPr>
        <w:tc>
          <w:tcPr>
            <w:tcW w:w="2547" w:type="dxa"/>
          </w:tcPr>
          <w:p w14:paraId="65B4F7CD" w14:textId="3E864F60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Am 241</w:t>
            </w:r>
          </w:p>
        </w:tc>
        <w:tc>
          <w:tcPr>
            <w:tcW w:w="2268" w:type="dxa"/>
          </w:tcPr>
          <w:p w14:paraId="6A935002" w14:textId="18FB9319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0,06 Bq/l</w:t>
            </w:r>
          </w:p>
        </w:tc>
        <w:tc>
          <w:tcPr>
            <w:tcW w:w="3544" w:type="dxa"/>
          </w:tcPr>
          <w:p w14:paraId="30714314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67FF279E" w14:textId="77777777" w:rsidTr="006C1035">
        <w:trPr>
          <w:cantSplit/>
        </w:trPr>
        <w:tc>
          <w:tcPr>
            <w:tcW w:w="2547" w:type="dxa"/>
          </w:tcPr>
          <w:p w14:paraId="7222DEE1" w14:textId="34AB6164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Co-60</w:t>
            </w:r>
          </w:p>
        </w:tc>
        <w:tc>
          <w:tcPr>
            <w:tcW w:w="2268" w:type="dxa"/>
          </w:tcPr>
          <w:p w14:paraId="3ECD58B2" w14:textId="783300BA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0,5 Bq/l</w:t>
            </w:r>
          </w:p>
        </w:tc>
        <w:tc>
          <w:tcPr>
            <w:tcW w:w="3544" w:type="dxa"/>
          </w:tcPr>
          <w:p w14:paraId="66D08159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0A30B7E2" w14:textId="77777777" w:rsidTr="006C1035">
        <w:trPr>
          <w:cantSplit/>
        </w:trPr>
        <w:tc>
          <w:tcPr>
            <w:tcW w:w="2547" w:type="dxa"/>
          </w:tcPr>
          <w:p w14:paraId="3B542CFC" w14:textId="5CCDF809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Cs-134</w:t>
            </w:r>
          </w:p>
        </w:tc>
        <w:tc>
          <w:tcPr>
            <w:tcW w:w="2268" w:type="dxa"/>
          </w:tcPr>
          <w:p w14:paraId="274E8D8D" w14:textId="738D7BAB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0,5 Bq/l</w:t>
            </w:r>
          </w:p>
        </w:tc>
        <w:tc>
          <w:tcPr>
            <w:tcW w:w="3544" w:type="dxa"/>
          </w:tcPr>
          <w:p w14:paraId="0B991113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0D12B4" w:rsidRPr="000D12B4" w14:paraId="30DCBC6C" w14:textId="77777777" w:rsidTr="006C1035">
        <w:trPr>
          <w:cantSplit/>
        </w:trPr>
        <w:tc>
          <w:tcPr>
            <w:tcW w:w="2547" w:type="dxa"/>
          </w:tcPr>
          <w:p w14:paraId="4661602C" w14:textId="5C5248C6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Cs-137</w:t>
            </w:r>
          </w:p>
        </w:tc>
        <w:tc>
          <w:tcPr>
            <w:tcW w:w="2268" w:type="dxa"/>
          </w:tcPr>
          <w:p w14:paraId="20B35606" w14:textId="52F0F56C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0,5 Bq/l</w:t>
            </w:r>
          </w:p>
        </w:tc>
        <w:tc>
          <w:tcPr>
            <w:tcW w:w="3544" w:type="dxa"/>
          </w:tcPr>
          <w:p w14:paraId="1AF7D616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  <w:tr w:rsidR="00CC29BB" w:rsidRPr="000D12B4" w14:paraId="76F110C8" w14:textId="77777777" w:rsidTr="006C1035">
        <w:trPr>
          <w:cantSplit/>
        </w:trPr>
        <w:tc>
          <w:tcPr>
            <w:tcW w:w="2547" w:type="dxa"/>
          </w:tcPr>
          <w:p w14:paraId="11EC9FE8" w14:textId="79469786" w:rsidR="00CC29BB" w:rsidRPr="000D12B4" w:rsidRDefault="00CC29BB" w:rsidP="00CC29BB">
            <w:pPr>
              <w:rPr>
                <w:sz w:val="22"/>
                <w:szCs w:val="22"/>
              </w:rPr>
            </w:pPr>
            <w:r>
              <w:rPr>
                <w:sz w:val="22"/>
              </w:rPr>
              <w:t>I-131</w:t>
            </w:r>
          </w:p>
        </w:tc>
        <w:tc>
          <w:tcPr>
            <w:tcW w:w="2268" w:type="dxa"/>
          </w:tcPr>
          <w:p w14:paraId="3DBF32D1" w14:textId="45FDCA54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0,5 Bq/l</w:t>
            </w:r>
          </w:p>
        </w:tc>
        <w:tc>
          <w:tcPr>
            <w:tcW w:w="3544" w:type="dxa"/>
          </w:tcPr>
          <w:p w14:paraId="6B0D43DB" w14:textId="77777777" w:rsidR="00CC29BB" w:rsidRPr="000D12B4" w:rsidRDefault="00CC29BB" w:rsidP="00CC29BB">
            <w:pPr>
              <w:tabs>
                <w:tab w:val="clear" w:pos="283"/>
              </w:tabs>
              <w:rPr>
                <w:bCs/>
                <w:sz w:val="22"/>
                <w:szCs w:val="22"/>
              </w:rPr>
            </w:pPr>
          </w:p>
        </w:tc>
      </w:tr>
    </w:tbl>
    <w:p w14:paraId="65531918" w14:textId="29ED8980" w:rsidR="006C1035" w:rsidRPr="000D12B4" w:rsidRDefault="006C1035" w:rsidP="00B13878">
      <w:pPr>
        <w:rPr>
          <w:sz w:val="22"/>
          <w:szCs w:val="22"/>
        </w:rPr>
      </w:pPr>
    </w:p>
    <w:p w14:paraId="18C0AB8D" w14:textId="1EB62BEB" w:rsidR="006C1035" w:rsidRPr="000D12B4" w:rsidRDefault="006C1035" w:rsidP="006C1035">
      <w:pPr>
        <w:rPr>
          <w:sz w:val="22"/>
          <w:szCs w:val="22"/>
        </w:rPr>
      </w:pPr>
      <w:r>
        <w:rPr>
          <w:sz w:val="22"/>
        </w:rPr>
        <w:t>2) Mez detekce se vypočítá v souladu s normou SS-EN ISO 11929 s pravděpodobností chyby prvního a druhého druhu 0,05. Nejistoty měření se vypočítají a vykazují jako standardní nejistoty nebo jako rozšířené standardní nejistoty s faktorem expanze 1,96 podle pokynů ISO pro odhad nejistoty měření.</w:t>
      </w:r>
    </w:p>
    <w:p w14:paraId="55A261F6" w14:textId="67FD8605" w:rsidR="00E92AD8" w:rsidRPr="000D12B4" w:rsidRDefault="00E92AD8" w:rsidP="006C1035">
      <w:pPr>
        <w:rPr>
          <w:sz w:val="22"/>
          <w:szCs w:val="22"/>
        </w:rPr>
      </w:pPr>
    </w:p>
    <w:p w14:paraId="66A6E6EE" w14:textId="4720AE3E" w:rsidR="00E92AD8" w:rsidRPr="000D12B4" w:rsidRDefault="00E92AD8" w:rsidP="00E92AD8">
      <w:pPr>
        <w:pStyle w:val="Heading2"/>
      </w:pPr>
      <w:r>
        <w:t>Oddíl C – Ukazatele pro chemické látky a indikační ukazatele, pro něž nejsou stanovena žádná metodická kritéria</w:t>
      </w:r>
    </w:p>
    <w:p w14:paraId="2BF61DFE" w14:textId="63778B18" w:rsidR="00E92AD8" w:rsidRPr="000D12B4" w:rsidRDefault="00E92AD8" w:rsidP="00E92AD8">
      <w:pPr>
        <w:pStyle w:val="ListParagraph"/>
        <w:numPr>
          <w:ilvl w:val="0"/>
          <w:numId w:val="16"/>
        </w:numPr>
        <w:shd w:val="clear" w:color="000000" w:fill="FFFFFF"/>
      </w:pPr>
      <w:r>
        <w:t>Akrylamid (kontrolován podle specifikace produktu)</w:t>
      </w:r>
    </w:p>
    <w:p w14:paraId="1BE95179" w14:textId="2D14CC78" w:rsidR="00E92AD8" w:rsidRPr="000D12B4" w:rsidRDefault="00E92AD8" w:rsidP="00E92AD8">
      <w:pPr>
        <w:pStyle w:val="ListParagraph"/>
        <w:numPr>
          <w:ilvl w:val="0"/>
          <w:numId w:val="16"/>
        </w:numPr>
        <w:shd w:val="clear" w:color="000000" w:fill="FFFFFF"/>
      </w:pPr>
      <w:r>
        <w:t>Epichlorhydrin (kontrolován podle specifikace produktu)</w:t>
      </w:r>
    </w:p>
    <w:p w14:paraId="60E74B46" w14:textId="5E53BA58" w:rsidR="00E92AD8" w:rsidRPr="000D12B4" w:rsidRDefault="00E92AD8" w:rsidP="00E92AD8">
      <w:pPr>
        <w:pStyle w:val="ListParagraph"/>
        <w:numPr>
          <w:ilvl w:val="0"/>
          <w:numId w:val="16"/>
        </w:numPr>
        <w:shd w:val="clear" w:color="000000" w:fill="FFFFFF"/>
      </w:pPr>
      <w:r>
        <w:t>Barva</w:t>
      </w:r>
    </w:p>
    <w:p w14:paraId="243F9EBD" w14:textId="7367F07C" w:rsidR="00E92AD8" w:rsidRPr="000D12B4" w:rsidRDefault="00FB53E0" w:rsidP="00E92AD8">
      <w:pPr>
        <w:pStyle w:val="ListParagraph"/>
        <w:numPr>
          <w:ilvl w:val="0"/>
          <w:numId w:val="16"/>
        </w:numPr>
      </w:pPr>
      <w:r>
        <w:t>Chlor, celkem</w:t>
      </w:r>
    </w:p>
    <w:p w14:paraId="37B97820" w14:textId="364DB9BE" w:rsidR="00E92AD8" w:rsidRPr="000D12B4" w:rsidRDefault="00E92AD8" w:rsidP="00E92AD8">
      <w:pPr>
        <w:pStyle w:val="ListParagraph"/>
        <w:numPr>
          <w:ilvl w:val="0"/>
          <w:numId w:val="16"/>
        </w:numPr>
        <w:shd w:val="clear" w:color="000000" w:fill="FFFFFF"/>
      </w:pPr>
      <w:r>
        <w:t>Vůně</w:t>
      </w:r>
    </w:p>
    <w:p w14:paraId="614237B1" w14:textId="4D467735" w:rsidR="00E92AD8" w:rsidRPr="000D12B4" w:rsidRDefault="00E92AD8" w:rsidP="00E92AD8">
      <w:pPr>
        <w:pStyle w:val="ListParagraph"/>
        <w:numPr>
          <w:ilvl w:val="0"/>
          <w:numId w:val="16"/>
        </w:numPr>
        <w:shd w:val="clear" w:color="000000" w:fill="FFFFFF"/>
      </w:pPr>
      <w:r>
        <w:t>Chuť</w:t>
      </w:r>
    </w:p>
    <w:p w14:paraId="3FCE09E6" w14:textId="27FFB846" w:rsidR="00464841" w:rsidRPr="00F66289" w:rsidRDefault="00E92AD8" w:rsidP="006C1035">
      <w:pPr>
        <w:pStyle w:val="ListParagraph"/>
        <w:numPr>
          <w:ilvl w:val="0"/>
          <w:numId w:val="16"/>
        </w:numPr>
        <w:sectPr w:rsidR="00464841" w:rsidRPr="00F66289" w:rsidSect="0049028F">
          <w:pgSz w:w="11906" w:h="16838" w:code="9"/>
          <w:pgMar w:top="1259" w:right="1134" w:bottom="1361" w:left="1701" w:header="709" w:footer="709" w:gutter="0"/>
          <w:cols w:space="708"/>
          <w:docGrid w:linePitch="381"/>
        </w:sectPr>
      </w:pPr>
      <w:r>
        <w:t>Vinylchlorid (kontrolován podle specifikace produktu)</w:t>
      </w:r>
    </w:p>
    <w:p w14:paraId="7EFAC088" w14:textId="66D79D8B" w:rsidR="00F66289" w:rsidRPr="00F66289" w:rsidRDefault="00F66289" w:rsidP="00F66289"/>
    <w:sectPr w:rsidR="00F66289" w:rsidRPr="00F66289" w:rsidSect="00464841"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A671" w14:textId="77777777" w:rsidR="00685696" w:rsidRDefault="00685696" w:rsidP="009D6B26">
      <w:r>
        <w:separator/>
      </w:r>
    </w:p>
  </w:endnote>
  <w:endnote w:type="continuationSeparator" w:id="0">
    <w:p w14:paraId="020D3AD2" w14:textId="77777777" w:rsidR="00685696" w:rsidRDefault="00685696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D19A" w14:textId="03793C29" w:rsidR="000E574C" w:rsidRDefault="000E574C" w:rsidP="00952394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15497423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D81348">
          <w:t>2022:12</w:t>
        </w:r>
      </w:sdtContent>
    </w:sdt>
  </w:p>
  <w:p w14:paraId="276B2B93" w14:textId="6FF16D69" w:rsidR="00772054" w:rsidRPr="000E574C" w:rsidRDefault="00772054" w:rsidP="000E5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DF80" w14:textId="3DAA94BC" w:rsidR="00772054" w:rsidRDefault="00772054" w:rsidP="00593296">
    <w:pPr>
      <w:pStyle w:val="Footer"/>
      <w:tabs>
        <w:tab w:val="center" w:pos="3686"/>
      </w:tabs>
    </w:pPr>
    <w:r>
      <w:tab/>
    </w:r>
    <w:r>
      <w:t xml:space="preserve">LIVSFS </w:t>
    </w:r>
    <w:sdt>
      <w:sdtPr>
        <w:id w:val="1463229784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D81348">
          <w:t>2022:12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A574" w14:textId="55013E8B" w:rsidR="00772054" w:rsidRDefault="001236FA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-410309493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D81348">
          <w:t>2022:12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D0AF" w14:textId="77777777" w:rsidR="00685696" w:rsidRDefault="00685696" w:rsidP="009D6B26">
      <w:r>
        <w:separator/>
      </w:r>
    </w:p>
  </w:footnote>
  <w:footnote w:type="continuationSeparator" w:id="0">
    <w:p w14:paraId="617CCA47" w14:textId="77777777" w:rsidR="00685696" w:rsidRDefault="00685696" w:rsidP="009D6B26">
      <w:r>
        <w:continuationSeparator/>
      </w:r>
    </w:p>
  </w:footnote>
  <w:footnote w:id="1">
    <w:p w14:paraId="11A86E07" w14:textId="5789BDB2" w:rsidR="00772054" w:rsidRDefault="00772054" w:rsidP="00347C88">
      <w:pPr>
        <w:pStyle w:val="FootnoteText"/>
      </w:pPr>
      <w:r>
        <w:rPr>
          <w:rStyle w:val="FootnoteReference"/>
        </w:rPr>
        <w:footnoteRef/>
      </w:r>
      <w:r>
        <w:t xml:space="preserve"> Srov. směrnice Evropského parlamentu a Rady (EU) 2020/2184 ze dne 16. prosince 2020 o jakosti vody určené k lidské spotřebě (přepracované znění), v původním znění a směrnice Rady 2013/51/EURATOM ze dne 22. října 2013, kterou se stanoví požadavky na ochranu zdraví obyvatelstva před radioaktivními látkami ve vodě určené k lidské spotřebě, v původním znění. Viz rovněž směrnice Evropského parlamentu a Rady (EU) 2015/1535 ze dne 9. září 2015 o postupu při poskytování informací v oblasti technických předpisů a předpisů pro služby informační společnosti.</w:t>
      </w:r>
    </w:p>
  </w:footnote>
  <w:footnote w:id="2">
    <w:p w14:paraId="2B93BB4A" w14:textId="77777777" w:rsidR="00772054" w:rsidRDefault="00772054" w:rsidP="00270B91">
      <w:pPr>
        <w:pStyle w:val="FootnoteText"/>
      </w:pPr>
      <w:r>
        <w:rPr>
          <w:rStyle w:val="FootnoteReference"/>
        </w:rPr>
        <w:footnoteRef/>
      </w:r>
      <w:r>
        <w:t xml:space="preserve"> Může být monitorován pouze tehdy, pokud analýza rizik ukazuje, že je to nezbytné, viz také oddíl A.</w:t>
      </w:r>
    </w:p>
    <w:p w14:paraId="5D84D24F" w14:textId="77777777" w:rsidR="00772054" w:rsidRDefault="00772054" w:rsidP="00270B91">
      <w:pPr>
        <w:pStyle w:val="FootnoteText"/>
      </w:pPr>
    </w:p>
  </w:footnote>
  <w:footnote w:id="3">
    <w:p w14:paraId="1618AD6E" w14:textId="5287ED47" w:rsidR="00772054" w:rsidRDefault="00772054" w:rsidP="00D92F2D">
      <w:pPr>
        <w:pStyle w:val="FootnoteText"/>
      </w:pPr>
      <w:r>
        <w:rPr>
          <w:rStyle w:val="FootnoteReference"/>
        </w:rPr>
        <w:footnoteRef/>
      </w:r>
      <w:r>
        <w:t xml:space="preserve"> Mez kvantifikace znamená specifikovaný násobek meze detekce při koncentraci látky, kterou lze rozumně určit s přijatelnou přesností a správností. Mez kvantifikace lze vypočítat pomocí vhodné normy nebo vzorku a lze ji získat z nejnižšího kalibračního bodu na kalibrační křivce, s výjimkou slepého vzorku.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D21A" w14:textId="26F30B31" w:rsidR="00772054" w:rsidRDefault="00772054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0E574C"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7074204"/>
    <w:multiLevelType w:val="hybridMultilevel"/>
    <w:tmpl w:val="1E2E3B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EE3EFB"/>
    <w:multiLevelType w:val="hybridMultilevel"/>
    <w:tmpl w:val="D9648F5E"/>
    <w:lvl w:ilvl="0" w:tplc="93A4894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A18C5"/>
    <w:multiLevelType w:val="hybridMultilevel"/>
    <w:tmpl w:val="C3623CDE"/>
    <w:lvl w:ilvl="0" w:tplc="EA6A808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D1941"/>
    <w:multiLevelType w:val="hybridMultilevel"/>
    <w:tmpl w:val="009A904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04D9D"/>
    <w:multiLevelType w:val="hybridMultilevel"/>
    <w:tmpl w:val="31F4A470"/>
    <w:lvl w:ilvl="0" w:tplc="92E24C3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753F0"/>
    <w:multiLevelType w:val="hybridMultilevel"/>
    <w:tmpl w:val="AAEE1126"/>
    <w:lvl w:ilvl="0" w:tplc="F4F4DE1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84C5122"/>
    <w:multiLevelType w:val="hybridMultilevel"/>
    <w:tmpl w:val="BB122508"/>
    <w:lvl w:ilvl="0" w:tplc="5354285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C0C08"/>
    <w:multiLevelType w:val="hybridMultilevel"/>
    <w:tmpl w:val="49940264"/>
    <w:lvl w:ilvl="0" w:tplc="F9304AB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35208"/>
    <w:multiLevelType w:val="hybridMultilevel"/>
    <w:tmpl w:val="77C085E6"/>
    <w:lvl w:ilvl="0" w:tplc="EA5A2B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F43D0"/>
    <w:multiLevelType w:val="hybridMultilevel"/>
    <w:tmpl w:val="D06AF5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B6AFB"/>
    <w:multiLevelType w:val="hybridMultilevel"/>
    <w:tmpl w:val="2F682378"/>
    <w:lvl w:ilvl="0" w:tplc="ED940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34395"/>
    <w:multiLevelType w:val="hybridMultilevel"/>
    <w:tmpl w:val="E2A0D852"/>
    <w:lvl w:ilvl="0" w:tplc="8E086FD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5E1"/>
    <w:multiLevelType w:val="hybridMultilevel"/>
    <w:tmpl w:val="C090E298"/>
    <w:lvl w:ilvl="0" w:tplc="F3D82D8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14373">
    <w:abstractNumId w:val="9"/>
  </w:num>
  <w:num w:numId="2" w16cid:durableId="89278922">
    <w:abstractNumId w:val="8"/>
  </w:num>
  <w:num w:numId="3" w16cid:durableId="615987569">
    <w:abstractNumId w:val="3"/>
  </w:num>
  <w:num w:numId="4" w16cid:durableId="649869346">
    <w:abstractNumId w:val="15"/>
  </w:num>
  <w:num w:numId="5" w16cid:durableId="1680112702">
    <w:abstractNumId w:val="11"/>
  </w:num>
  <w:num w:numId="6" w16cid:durableId="526675098">
    <w:abstractNumId w:val="18"/>
  </w:num>
  <w:num w:numId="7" w16cid:durableId="155077846">
    <w:abstractNumId w:val="2"/>
  </w:num>
  <w:num w:numId="8" w16cid:durableId="280965572">
    <w:abstractNumId w:val="1"/>
  </w:num>
  <w:num w:numId="9" w16cid:durableId="60908001">
    <w:abstractNumId w:val="0"/>
  </w:num>
  <w:num w:numId="10" w16cid:durableId="967780874">
    <w:abstractNumId w:val="7"/>
  </w:num>
  <w:num w:numId="11" w16cid:durableId="1844858327">
    <w:abstractNumId w:val="6"/>
  </w:num>
  <w:num w:numId="12" w16cid:durableId="1919052136">
    <w:abstractNumId w:val="5"/>
  </w:num>
  <w:num w:numId="13" w16cid:durableId="1896772518">
    <w:abstractNumId w:val="4"/>
  </w:num>
  <w:num w:numId="14" w16cid:durableId="1168984750">
    <w:abstractNumId w:val="10"/>
  </w:num>
  <w:num w:numId="15" w16cid:durableId="503134715">
    <w:abstractNumId w:val="14"/>
  </w:num>
  <w:num w:numId="16" w16cid:durableId="1619411192">
    <w:abstractNumId w:val="21"/>
  </w:num>
  <w:num w:numId="17" w16cid:durableId="719746735">
    <w:abstractNumId w:val="20"/>
  </w:num>
  <w:num w:numId="18" w16cid:durableId="209657517">
    <w:abstractNumId w:val="13"/>
  </w:num>
  <w:num w:numId="19" w16cid:durableId="1480684169">
    <w:abstractNumId w:val="16"/>
  </w:num>
  <w:num w:numId="20" w16cid:durableId="2046978891">
    <w:abstractNumId w:val="25"/>
  </w:num>
  <w:num w:numId="21" w16cid:durableId="948468416">
    <w:abstractNumId w:val="17"/>
  </w:num>
  <w:num w:numId="22" w16cid:durableId="2127041724">
    <w:abstractNumId w:val="19"/>
  </w:num>
  <w:num w:numId="23" w16cid:durableId="1971552216">
    <w:abstractNumId w:val="12"/>
  </w:num>
  <w:num w:numId="24" w16cid:durableId="536358323">
    <w:abstractNumId w:val="23"/>
  </w:num>
  <w:num w:numId="25" w16cid:durableId="1091656846">
    <w:abstractNumId w:val="24"/>
  </w:num>
  <w:num w:numId="26" w16cid:durableId="18749981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79"/>
    <w:rsid w:val="00000436"/>
    <w:rsid w:val="000005FC"/>
    <w:rsid w:val="000010F6"/>
    <w:rsid w:val="00003B05"/>
    <w:rsid w:val="00004BE4"/>
    <w:rsid w:val="00004D4A"/>
    <w:rsid w:val="00005718"/>
    <w:rsid w:val="00005B99"/>
    <w:rsid w:val="00006510"/>
    <w:rsid w:val="00011579"/>
    <w:rsid w:val="00011A2B"/>
    <w:rsid w:val="00012294"/>
    <w:rsid w:val="00013233"/>
    <w:rsid w:val="00013AD5"/>
    <w:rsid w:val="000149FE"/>
    <w:rsid w:val="0001756D"/>
    <w:rsid w:val="0002008B"/>
    <w:rsid w:val="00020758"/>
    <w:rsid w:val="00020F4F"/>
    <w:rsid w:val="0002154A"/>
    <w:rsid w:val="00021572"/>
    <w:rsid w:val="000218ED"/>
    <w:rsid w:val="00021D4A"/>
    <w:rsid w:val="000226D5"/>
    <w:rsid w:val="00022926"/>
    <w:rsid w:val="00023976"/>
    <w:rsid w:val="00024365"/>
    <w:rsid w:val="00024532"/>
    <w:rsid w:val="0002591C"/>
    <w:rsid w:val="00026B4E"/>
    <w:rsid w:val="00026CE5"/>
    <w:rsid w:val="00030A27"/>
    <w:rsid w:val="00031E05"/>
    <w:rsid w:val="00032175"/>
    <w:rsid w:val="0003260E"/>
    <w:rsid w:val="000332A8"/>
    <w:rsid w:val="00034BBA"/>
    <w:rsid w:val="0003558C"/>
    <w:rsid w:val="00036232"/>
    <w:rsid w:val="00040FAD"/>
    <w:rsid w:val="000410DD"/>
    <w:rsid w:val="00041C37"/>
    <w:rsid w:val="000421E0"/>
    <w:rsid w:val="00042E78"/>
    <w:rsid w:val="000436ED"/>
    <w:rsid w:val="00043AF6"/>
    <w:rsid w:val="00043BDC"/>
    <w:rsid w:val="0004439A"/>
    <w:rsid w:val="00044683"/>
    <w:rsid w:val="000448CB"/>
    <w:rsid w:val="00045090"/>
    <w:rsid w:val="000460D5"/>
    <w:rsid w:val="00046CC1"/>
    <w:rsid w:val="0005113A"/>
    <w:rsid w:val="000515E6"/>
    <w:rsid w:val="000535D1"/>
    <w:rsid w:val="00053744"/>
    <w:rsid w:val="0005410F"/>
    <w:rsid w:val="00055436"/>
    <w:rsid w:val="00055BCA"/>
    <w:rsid w:val="00055C2A"/>
    <w:rsid w:val="00061193"/>
    <w:rsid w:val="000613D1"/>
    <w:rsid w:val="00061943"/>
    <w:rsid w:val="0006324C"/>
    <w:rsid w:val="000633AE"/>
    <w:rsid w:val="000639C4"/>
    <w:rsid w:val="00064C60"/>
    <w:rsid w:val="00064D42"/>
    <w:rsid w:val="000653F8"/>
    <w:rsid w:val="00065458"/>
    <w:rsid w:val="00066A9A"/>
    <w:rsid w:val="00067EA8"/>
    <w:rsid w:val="000709F5"/>
    <w:rsid w:val="00072D03"/>
    <w:rsid w:val="000737EB"/>
    <w:rsid w:val="00073873"/>
    <w:rsid w:val="00074294"/>
    <w:rsid w:val="0007726A"/>
    <w:rsid w:val="000776ED"/>
    <w:rsid w:val="00077909"/>
    <w:rsid w:val="00081769"/>
    <w:rsid w:val="00082D8D"/>
    <w:rsid w:val="00084114"/>
    <w:rsid w:val="00085D67"/>
    <w:rsid w:val="00086FEE"/>
    <w:rsid w:val="0008766D"/>
    <w:rsid w:val="00087678"/>
    <w:rsid w:val="00090B78"/>
    <w:rsid w:val="000910A5"/>
    <w:rsid w:val="00091528"/>
    <w:rsid w:val="000954D9"/>
    <w:rsid w:val="000975EA"/>
    <w:rsid w:val="000A0395"/>
    <w:rsid w:val="000A069B"/>
    <w:rsid w:val="000A0F24"/>
    <w:rsid w:val="000A37C8"/>
    <w:rsid w:val="000A3FCA"/>
    <w:rsid w:val="000A4236"/>
    <w:rsid w:val="000A4B70"/>
    <w:rsid w:val="000A513A"/>
    <w:rsid w:val="000A5FF3"/>
    <w:rsid w:val="000A716C"/>
    <w:rsid w:val="000A771F"/>
    <w:rsid w:val="000B1FF1"/>
    <w:rsid w:val="000B2214"/>
    <w:rsid w:val="000B23C8"/>
    <w:rsid w:val="000B304B"/>
    <w:rsid w:val="000B3555"/>
    <w:rsid w:val="000B3FB1"/>
    <w:rsid w:val="000B6DDC"/>
    <w:rsid w:val="000B6FF1"/>
    <w:rsid w:val="000B73A9"/>
    <w:rsid w:val="000C02B2"/>
    <w:rsid w:val="000C45A3"/>
    <w:rsid w:val="000C512C"/>
    <w:rsid w:val="000C7E7C"/>
    <w:rsid w:val="000D12B4"/>
    <w:rsid w:val="000D191C"/>
    <w:rsid w:val="000D5DBF"/>
    <w:rsid w:val="000D5F51"/>
    <w:rsid w:val="000D6CFD"/>
    <w:rsid w:val="000E0341"/>
    <w:rsid w:val="000E07E0"/>
    <w:rsid w:val="000E1A72"/>
    <w:rsid w:val="000E1AE3"/>
    <w:rsid w:val="000E1BD4"/>
    <w:rsid w:val="000E336A"/>
    <w:rsid w:val="000E35F9"/>
    <w:rsid w:val="000E4909"/>
    <w:rsid w:val="000E4BA8"/>
    <w:rsid w:val="000E574C"/>
    <w:rsid w:val="000E6176"/>
    <w:rsid w:val="000E68EA"/>
    <w:rsid w:val="000E6E07"/>
    <w:rsid w:val="000F183A"/>
    <w:rsid w:val="000F2066"/>
    <w:rsid w:val="000F2F73"/>
    <w:rsid w:val="000F395E"/>
    <w:rsid w:val="000F3EA6"/>
    <w:rsid w:val="000F46A4"/>
    <w:rsid w:val="000F67C9"/>
    <w:rsid w:val="000F6CC5"/>
    <w:rsid w:val="00100903"/>
    <w:rsid w:val="00101584"/>
    <w:rsid w:val="00101D43"/>
    <w:rsid w:val="00101DC0"/>
    <w:rsid w:val="0010271F"/>
    <w:rsid w:val="001045E3"/>
    <w:rsid w:val="0010532C"/>
    <w:rsid w:val="00106A58"/>
    <w:rsid w:val="001077F3"/>
    <w:rsid w:val="00107B7D"/>
    <w:rsid w:val="00110F75"/>
    <w:rsid w:val="0011248C"/>
    <w:rsid w:val="00113B09"/>
    <w:rsid w:val="0011436F"/>
    <w:rsid w:val="00115164"/>
    <w:rsid w:val="00116B86"/>
    <w:rsid w:val="001175D4"/>
    <w:rsid w:val="00117795"/>
    <w:rsid w:val="001209EB"/>
    <w:rsid w:val="00121145"/>
    <w:rsid w:val="0012320C"/>
    <w:rsid w:val="001236FA"/>
    <w:rsid w:val="00124BD2"/>
    <w:rsid w:val="00126598"/>
    <w:rsid w:val="00126678"/>
    <w:rsid w:val="001270EF"/>
    <w:rsid w:val="001303CB"/>
    <w:rsid w:val="0013068A"/>
    <w:rsid w:val="0013300F"/>
    <w:rsid w:val="0013392A"/>
    <w:rsid w:val="00135E8F"/>
    <w:rsid w:val="0014034F"/>
    <w:rsid w:val="00141490"/>
    <w:rsid w:val="00141A0F"/>
    <w:rsid w:val="00142649"/>
    <w:rsid w:val="00142B08"/>
    <w:rsid w:val="0014531F"/>
    <w:rsid w:val="00145D33"/>
    <w:rsid w:val="0014650A"/>
    <w:rsid w:val="00150B23"/>
    <w:rsid w:val="001524C8"/>
    <w:rsid w:val="00155B20"/>
    <w:rsid w:val="00156F69"/>
    <w:rsid w:val="00160395"/>
    <w:rsid w:val="001632A0"/>
    <w:rsid w:val="00163E06"/>
    <w:rsid w:val="00164DE6"/>
    <w:rsid w:val="0016567E"/>
    <w:rsid w:val="00167CBD"/>
    <w:rsid w:val="0017015F"/>
    <w:rsid w:val="00171C88"/>
    <w:rsid w:val="00172CD3"/>
    <w:rsid w:val="00173D26"/>
    <w:rsid w:val="001744CF"/>
    <w:rsid w:val="00175C0E"/>
    <w:rsid w:val="001767EB"/>
    <w:rsid w:val="00176807"/>
    <w:rsid w:val="00181716"/>
    <w:rsid w:val="00181D04"/>
    <w:rsid w:val="00182B0A"/>
    <w:rsid w:val="0018300F"/>
    <w:rsid w:val="0018429C"/>
    <w:rsid w:val="001842CC"/>
    <w:rsid w:val="00185C41"/>
    <w:rsid w:val="00186E5A"/>
    <w:rsid w:val="0019037E"/>
    <w:rsid w:val="00190A62"/>
    <w:rsid w:val="001914EC"/>
    <w:rsid w:val="00191D96"/>
    <w:rsid w:val="0019358C"/>
    <w:rsid w:val="00195A01"/>
    <w:rsid w:val="001969C5"/>
    <w:rsid w:val="00196B0D"/>
    <w:rsid w:val="00196FC7"/>
    <w:rsid w:val="0019731E"/>
    <w:rsid w:val="00197CD7"/>
    <w:rsid w:val="001A01A0"/>
    <w:rsid w:val="001A1C4C"/>
    <w:rsid w:val="001A2123"/>
    <w:rsid w:val="001A2A64"/>
    <w:rsid w:val="001A31A5"/>
    <w:rsid w:val="001A37B0"/>
    <w:rsid w:val="001A564E"/>
    <w:rsid w:val="001A63EF"/>
    <w:rsid w:val="001A7DA6"/>
    <w:rsid w:val="001B0333"/>
    <w:rsid w:val="001B03B0"/>
    <w:rsid w:val="001B0F6B"/>
    <w:rsid w:val="001B10E0"/>
    <w:rsid w:val="001B162E"/>
    <w:rsid w:val="001B1A1C"/>
    <w:rsid w:val="001B24E0"/>
    <w:rsid w:val="001B3500"/>
    <w:rsid w:val="001B3970"/>
    <w:rsid w:val="001B4245"/>
    <w:rsid w:val="001B5E71"/>
    <w:rsid w:val="001B647D"/>
    <w:rsid w:val="001B7B4D"/>
    <w:rsid w:val="001C051B"/>
    <w:rsid w:val="001C08BB"/>
    <w:rsid w:val="001C10A0"/>
    <w:rsid w:val="001C120C"/>
    <w:rsid w:val="001C241E"/>
    <w:rsid w:val="001C3103"/>
    <w:rsid w:val="001C3DF9"/>
    <w:rsid w:val="001C4A92"/>
    <w:rsid w:val="001C5468"/>
    <w:rsid w:val="001C5F7A"/>
    <w:rsid w:val="001C64EA"/>
    <w:rsid w:val="001C7EC0"/>
    <w:rsid w:val="001D09E0"/>
    <w:rsid w:val="001D0B8F"/>
    <w:rsid w:val="001D0BFD"/>
    <w:rsid w:val="001D0EA2"/>
    <w:rsid w:val="001D133C"/>
    <w:rsid w:val="001D2F68"/>
    <w:rsid w:val="001D4351"/>
    <w:rsid w:val="001D4981"/>
    <w:rsid w:val="001D4B0F"/>
    <w:rsid w:val="001D65E9"/>
    <w:rsid w:val="001D6E4D"/>
    <w:rsid w:val="001D6F1C"/>
    <w:rsid w:val="001D7F85"/>
    <w:rsid w:val="001E0358"/>
    <w:rsid w:val="001E116B"/>
    <w:rsid w:val="001E1E73"/>
    <w:rsid w:val="001E2DC2"/>
    <w:rsid w:val="001E4B76"/>
    <w:rsid w:val="001E6E8C"/>
    <w:rsid w:val="001E6F83"/>
    <w:rsid w:val="001F1189"/>
    <w:rsid w:val="001F1239"/>
    <w:rsid w:val="001F652C"/>
    <w:rsid w:val="001F7D67"/>
    <w:rsid w:val="00200175"/>
    <w:rsid w:val="00200256"/>
    <w:rsid w:val="00200EC5"/>
    <w:rsid w:val="002028D1"/>
    <w:rsid w:val="00204145"/>
    <w:rsid w:val="00205C1A"/>
    <w:rsid w:val="00211C04"/>
    <w:rsid w:val="00212DAD"/>
    <w:rsid w:val="0021445A"/>
    <w:rsid w:val="002156A6"/>
    <w:rsid w:val="00216BD4"/>
    <w:rsid w:val="002204F2"/>
    <w:rsid w:val="00221BBD"/>
    <w:rsid w:val="0022251B"/>
    <w:rsid w:val="00222623"/>
    <w:rsid w:val="002228B4"/>
    <w:rsid w:val="00224126"/>
    <w:rsid w:val="00225F23"/>
    <w:rsid w:val="00226879"/>
    <w:rsid w:val="00227AB6"/>
    <w:rsid w:val="002345E2"/>
    <w:rsid w:val="00235D83"/>
    <w:rsid w:val="00236926"/>
    <w:rsid w:val="00240AC2"/>
    <w:rsid w:val="002426A2"/>
    <w:rsid w:val="00242C04"/>
    <w:rsid w:val="00242C41"/>
    <w:rsid w:val="0024307C"/>
    <w:rsid w:val="00243F9C"/>
    <w:rsid w:val="00244000"/>
    <w:rsid w:val="002451E9"/>
    <w:rsid w:val="00246D5B"/>
    <w:rsid w:val="00252398"/>
    <w:rsid w:val="00254A53"/>
    <w:rsid w:val="00256A60"/>
    <w:rsid w:val="00256E02"/>
    <w:rsid w:val="002576C1"/>
    <w:rsid w:val="0025770E"/>
    <w:rsid w:val="002617C7"/>
    <w:rsid w:val="00262949"/>
    <w:rsid w:val="00262D2B"/>
    <w:rsid w:val="00264E3B"/>
    <w:rsid w:val="00270B91"/>
    <w:rsid w:val="0027187B"/>
    <w:rsid w:val="0027217B"/>
    <w:rsid w:val="00273CE8"/>
    <w:rsid w:val="002750B0"/>
    <w:rsid w:val="0027714A"/>
    <w:rsid w:val="0027720C"/>
    <w:rsid w:val="00277604"/>
    <w:rsid w:val="00277B8D"/>
    <w:rsid w:val="00277CC2"/>
    <w:rsid w:val="00277EC0"/>
    <w:rsid w:val="00280282"/>
    <w:rsid w:val="00281D21"/>
    <w:rsid w:val="002845EC"/>
    <w:rsid w:val="00284CF3"/>
    <w:rsid w:val="00286F68"/>
    <w:rsid w:val="00287304"/>
    <w:rsid w:val="00287D77"/>
    <w:rsid w:val="00287DA3"/>
    <w:rsid w:val="00290CFA"/>
    <w:rsid w:val="00292AFF"/>
    <w:rsid w:val="002936C1"/>
    <w:rsid w:val="00293B14"/>
    <w:rsid w:val="00294905"/>
    <w:rsid w:val="0029506E"/>
    <w:rsid w:val="00295C54"/>
    <w:rsid w:val="00295FD2"/>
    <w:rsid w:val="00296FF1"/>
    <w:rsid w:val="0029719A"/>
    <w:rsid w:val="002A140C"/>
    <w:rsid w:val="002A1517"/>
    <w:rsid w:val="002A1789"/>
    <w:rsid w:val="002A3FB4"/>
    <w:rsid w:val="002A7563"/>
    <w:rsid w:val="002B07F2"/>
    <w:rsid w:val="002B0989"/>
    <w:rsid w:val="002B2879"/>
    <w:rsid w:val="002B324B"/>
    <w:rsid w:val="002B3613"/>
    <w:rsid w:val="002B46A8"/>
    <w:rsid w:val="002B4B85"/>
    <w:rsid w:val="002B5035"/>
    <w:rsid w:val="002B5B22"/>
    <w:rsid w:val="002B6458"/>
    <w:rsid w:val="002C12AE"/>
    <w:rsid w:val="002C1909"/>
    <w:rsid w:val="002C29EF"/>
    <w:rsid w:val="002C2B4C"/>
    <w:rsid w:val="002C462E"/>
    <w:rsid w:val="002C5BA2"/>
    <w:rsid w:val="002C783A"/>
    <w:rsid w:val="002D16B7"/>
    <w:rsid w:val="002D32F1"/>
    <w:rsid w:val="002D5470"/>
    <w:rsid w:val="002D5E29"/>
    <w:rsid w:val="002E1625"/>
    <w:rsid w:val="002E2C24"/>
    <w:rsid w:val="002E35D7"/>
    <w:rsid w:val="002E456B"/>
    <w:rsid w:val="002E5CC0"/>
    <w:rsid w:val="002F0847"/>
    <w:rsid w:val="002F2227"/>
    <w:rsid w:val="002F289D"/>
    <w:rsid w:val="002F2BC8"/>
    <w:rsid w:val="002F3FE6"/>
    <w:rsid w:val="002F46AF"/>
    <w:rsid w:val="002F5068"/>
    <w:rsid w:val="002F51B9"/>
    <w:rsid w:val="002F6E89"/>
    <w:rsid w:val="003004F5"/>
    <w:rsid w:val="00300BEB"/>
    <w:rsid w:val="00301EEA"/>
    <w:rsid w:val="00301FF0"/>
    <w:rsid w:val="003020FA"/>
    <w:rsid w:val="00305DC5"/>
    <w:rsid w:val="00306289"/>
    <w:rsid w:val="00307877"/>
    <w:rsid w:val="0031049B"/>
    <w:rsid w:val="00310C53"/>
    <w:rsid w:val="00311BDC"/>
    <w:rsid w:val="00313404"/>
    <w:rsid w:val="00314BD2"/>
    <w:rsid w:val="00316AC7"/>
    <w:rsid w:val="00317085"/>
    <w:rsid w:val="003176E5"/>
    <w:rsid w:val="00317F81"/>
    <w:rsid w:val="00320B34"/>
    <w:rsid w:val="003210EB"/>
    <w:rsid w:val="00321520"/>
    <w:rsid w:val="00322661"/>
    <w:rsid w:val="003248CE"/>
    <w:rsid w:val="00324EC3"/>
    <w:rsid w:val="00325EBD"/>
    <w:rsid w:val="00326807"/>
    <w:rsid w:val="00326C89"/>
    <w:rsid w:val="00327412"/>
    <w:rsid w:val="00327461"/>
    <w:rsid w:val="00327E0C"/>
    <w:rsid w:val="00330984"/>
    <w:rsid w:val="00332209"/>
    <w:rsid w:val="003401F6"/>
    <w:rsid w:val="003401F9"/>
    <w:rsid w:val="00340D89"/>
    <w:rsid w:val="00342C77"/>
    <w:rsid w:val="003435FF"/>
    <w:rsid w:val="00343BE3"/>
    <w:rsid w:val="00345F68"/>
    <w:rsid w:val="00347C88"/>
    <w:rsid w:val="0035068D"/>
    <w:rsid w:val="003524C3"/>
    <w:rsid w:val="00352DE6"/>
    <w:rsid w:val="00355FB2"/>
    <w:rsid w:val="00356823"/>
    <w:rsid w:val="00357C48"/>
    <w:rsid w:val="00361627"/>
    <w:rsid w:val="003617A3"/>
    <w:rsid w:val="00364376"/>
    <w:rsid w:val="003657D2"/>
    <w:rsid w:val="003665FE"/>
    <w:rsid w:val="003669F7"/>
    <w:rsid w:val="00366B24"/>
    <w:rsid w:val="00372279"/>
    <w:rsid w:val="0037272F"/>
    <w:rsid w:val="0037351C"/>
    <w:rsid w:val="003746DE"/>
    <w:rsid w:val="00374C4C"/>
    <w:rsid w:val="00376B89"/>
    <w:rsid w:val="00376F92"/>
    <w:rsid w:val="00380209"/>
    <w:rsid w:val="0038132E"/>
    <w:rsid w:val="00384AB3"/>
    <w:rsid w:val="00386613"/>
    <w:rsid w:val="00386F25"/>
    <w:rsid w:val="00387432"/>
    <w:rsid w:val="0038748B"/>
    <w:rsid w:val="00387863"/>
    <w:rsid w:val="00391220"/>
    <w:rsid w:val="0039291F"/>
    <w:rsid w:val="00392A40"/>
    <w:rsid w:val="00392EBB"/>
    <w:rsid w:val="003930F2"/>
    <w:rsid w:val="00393487"/>
    <w:rsid w:val="00393CCD"/>
    <w:rsid w:val="00395818"/>
    <w:rsid w:val="00395C97"/>
    <w:rsid w:val="003A1041"/>
    <w:rsid w:val="003A1219"/>
    <w:rsid w:val="003A225B"/>
    <w:rsid w:val="003A373F"/>
    <w:rsid w:val="003A50DE"/>
    <w:rsid w:val="003A62CC"/>
    <w:rsid w:val="003A6E49"/>
    <w:rsid w:val="003B0692"/>
    <w:rsid w:val="003B1097"/>
    <w:rsid w:val="003B2D77"/>
    <w:rsid w:val="003B3618"/>
    <w:rsid w:val="003B5DAE"/>
    <w:rsid w:val="003B6A7A"/>
    <w:rsid w:val="003B705F"/>
    <w:rsid w:val="003C075E"/>
    <w:rsid w:val="003C2AFB"/>
    <w:rsid w:val="003C49B8"/>
    <w:rsid w:val="003C5540"/>
    <w:rsid w:val="003C5BB1"/>
    <w:rsid w:val="003C6832"/>
    <w:rsid w:val="003D00E3"/>
    <w:rsid w:val="003D0240"/>
    <w:rsid w:val="003D03DA"/>
    <w:rsid w:val="003D090B"/>
    <w:rsid w:val="003D101A"/>
    <w:rsid w:val="003D2C5A"/>
    <w:rsid w:val="003D2D99"/>
    <w:rsid w:val="003D5154"/>
    <w:rsid w:val="003D626C"/>
    <w:rsid w:val="003D6AA2"/>
    <w:rsid w:val="003E044F"/>
    <w:rsid w:val="003E04D3"/>
    <w:rsid w:val="003E0962"/>
    <w:rsid w:val="003E109B"/>
    <w:rsid w:val="003E1ECB"/>
    <w:rsid w:val="003E284D"/>
    <w:rsid w:val="003E3A04"/>
    <w:rsid w:val="003E4E02"/>
    <w:rsid w:val="003E575E"/>
    <w:rsid w:val="003E621E"/>
    <w:rsid w:val="003E6A64"/>
    <w:rsid w:val="003E6DBA"/>
    <w:rsid w:val="003E7C68"/>
    <w:rsid w:val="003F01BE"/>
    <w:rsid w:val="003F15BA"/>
    <w:rsid w:val="003F1AAA"/>
    <w:rsid w:val="003F1B6F"/>
    <w:rsid w:val="003F3F28"/>
    <w:rsid w:val="003F45A5"/>
    <w:rsid w:val="003F4A8A"/>
    <w:rsid w:val="003F6219"/>
    <w:rsid w:val="004016F3"/>
    <w:rsid w:val="0040219D"/>
    <w:rsid w:val="004032CB"/>
    <w:rsid w:val="004047A7"/>
    <w:rsid w:val="00404B41"/>
    <w:rsid w:val="004055BF"/>
    <w:rsid w:val="00405E4C"/>
    <w:rsid w:val="0041131F"/>
    <w:rsid w:val="0041216D"/>
    <w:rsid w:val="0041281C"/>
    <w:rsid w:val="00414029"/>
    <w:rsid w:val="004143C0"/>
    <w:rsid w:val="0041442B"/>
    <w:rsid w:val="00415AF0"/>
    <w:rsid w:val="0041670F"/>
    <w:rsid w:val="00420ACC"/>
    <w:rsid w:val="00420D4B"/>
    <w:rsid w:val="00423620"/>
    <w:rsid w:val="00423E02"/>
    <w:rsid w:val="00424D14"/>
    <w:rsid w:val="004259F4"/>
    <w:rsid w:val="004264F6"/>
    <w:rsid w:val="00427102"/>
    <w:rsid w:val="00427407"/>
    <w:rsid w:val="00427E14"/>
    <w:rsid w:val="004314B7"/>
    <w:rsid w:val="004325AA"/>
    <w:rsid w:val="004346EA"/>
    <w:rsid w:val="004353E2"/>
    <w:rsid w:val="004371CD"/>
    <w:rsid w:val="004400B6"/>
    <w:rsid w:val="004404A3"/>
    <w:rsid w:val="00441FF5"/>
    <w:rsid w:val="00442274"/>
    <w:rsid w:val="00442D3B"/>
    <w:rsid w:val="004444E0"/>
    <w:rsid w:val="004447D6"/>
    <w:rsid w:val="00444F8E"/>
    <w:rsid w:val="00446CA0"/>
    <w:rsid w:val="004501A1"/>
    <w:rsid w:val="004538E6"/>
    <w:rsid w:val="00453998"/>
    <w:rsid w:val="00454D4D"/>
    <w:rsid w:val="00455947"/>
    <w:rsid w:val="00455DC6"/>
    <w:rsid w:val="00456441"/>
    <w:rsid w:val="00456D82"/>
    <w:rsid w:val="00457A00"/>
    <w:rsid w:val="004609D7"/>
    <w:rsid w:val="00460D7A"/>
    <w:rsid w:val="00461603"/>
    <w:rsid w:val="004641A0"/>
    <w:rsid w:val="00464841"/>
    <w:rsid w:val="00465A9C"/>
    <w:rsid w:val="00465EC3"/>
    <w:rsid w:val="00466748"/>
    <w:rsid w:val="004672C1"/>
    <w:rsid w:val="00467F4E"/>
    <w:rsid w:val="00467F52"/>
    <w:rsid w:val="004704CF"/>
    <w:rsid w:val="00471323"/>
    <w:rsid w:val="00471FC8"/>
    <w:rsid w:val="00473F8B"/>
    <w:rsid w:val="004741A2"/>
    <w:rsid w:val="004755B1"/>
    <w:rsid w:val="00475AEE"/>
    <w:rsid w:val="0047624F"/>
    <w:rsid w:val="004808F2"/>
    <w:rsid w:val="00480A6D"/>
    <w:rsid w:val="004877E0"/>
    <w:rsid w:val="004879C2"/>
    <w:rsid w:val="00487E4E"/>
    <w:rsid w:val="0049028F"/>
    <w:rsid w:val="004910E3"/>
    <w:rsid w:val="00491988"/>
    <w:rsid w:val="0049247A"/>
    <w:rsid w:val="00492716"/>
    <w:rsid w:val="0049338C"/>
    <w:rsid w:val="004940F0"/>
    <w:rsid w:val="0049583F"/>
    <w:rsid w:val="00496805"/>
    <w:rsid w:val="00496DBF"/>
    <w:rsid w:val="004A030A"/>
    <w:rsid w:val="004A075A"/>
    <w:rsid w:val="004A2BAC"/>
    <w:rsid w:val="004A54D2"/>
    <w:rsid w:val="004A66A7"/>
    <w:rsid w:val="004A6AD4"/>
    <w:rsid w:val="004B01B1"/>
    <w:rsid w:val="004B0635"/>
    <w:rsid w:val="004B0B02"/>
    <w:rsid w:val="004B1571"/>
    <w:rsid w:val="004B4FFA"/>
    <w:rsid w:val="004B5620"/>
    <w:rsid w:val="004B6827"/>
    <w:rsid w:val="004B723A"/>
    <w:rsid w:val="004C0CDD"/>
    <w:rsid w:val="004C2A12"/>
    <w:rsid w:val="004C2E33"/>
    <w:rsid w:val="004C310E"/>
    <w:rsid w:val="004C40CF"/>
    <w:rsid w:val="004C5880"/>
    <w:rsid w:val="004C72AB"/>
    <w:rsid w:val="004C7C1E"/>
    <w:rsid w:val="004D0CB1"/>
    <w:rsid w:val="004D1ED4"/>
    <w:rsid w:val="004D560E"/>
    <w:rsid w:val="004D5672"/>
    <w:rsid w:val="004D5C7A"/>
    <w:rsid w:val="004D6CE2"/>
    <w:rsid w:val="004D74CC"/>
    <w:rsid w:val="004D7C69"/>
    <w:rsid w:val="004E2612"/>
    <w:rsid w:val="004E29DE"/>
    <w:rsid w:val="004E3E30"/>
    <w:rsid w:val="004E452A"/>
    <w:rsid w:val="004E7381"/>
    <w:rsid w:val="004F06D3"/>
    <w:rsid w:val="004F1A19"/>
    <w:rsid w:val="004F3871"/>
    <w:rsid w:val="004F4928"/>
    <w:rsid w:val="004F4959"/>
    <w:rsid w:val="004F548F"/>
    <w:rsid w:val="00500723"/>
    <w:rsid w:val="005008F0"/>
    <w:rsid w:val="00500FE5"/>
    <w:rsid w:val="0050191A"/>
    <w:rsid w:val="00502999"/>
    <w:rsid w:val="005036CD"/>
    <w:rsid w:val="00503769"/>
    <w:rsid w:val="005048A7"/>
    <w:rsid w:val="005063D1"/>
    <w:rsid w:val="0050723F"/>
    <w:rsid w:val="0051268E"/>
    <w:rsid w:val="005126EB"/>
    <w:rsid w:val="00512D98"/>
    <w:rsid w:val="005148C1"/>
    <w:rsid w:val="0051647A"/>
    <w:rsid w:val="00516CD4"/>
    <w:rsid w:val="00516D9B"/>
    <w:rsid w:val="0051796E"/>
    <w:rsid w:val="0052133F"/>
    <w:rsid w:val="00521A9B"/>
    <w:rsid w:val="00522609"/>
    <w:rsid w:val="005237EE"/>
    <w:rsid w:val="00524428"/>
    <w:rsid w:val="00524BBB"/>
    <w:rsid w:val="00525443"/>
    <w:rsid w:val="005258A6"/>
    <w:rsid w:val="00527185"/>
    <w:rsid w:val="005279BE"/>
    <w:rsid w:val="00527E06"/>
    <w:rsid w:val="00530AFF"/>
    <w:rsid w:val="00531631"/>
    <w:rsid w:val="005320E8"/>
    <w:rsid w:val="005329C5"/>
    <w:rsid w:val="00532C2A"/>
    <w:rsid w:val="005332AA"/>
    <w:rsid w:val="00533ED7"/>
    <w:rsid w:val="00534945"/>
    <w:rsid w:val="00535765"/>
    <w:rsid w:val="005369B3"/>
    <w:rsid w:val="00537959"/>
    <w:rsid w:val="00537A2E"/>
    <w:rsid w:val="00537EC0"/>
    <w:rsid w:val="00540AE3"/>
    <w:rsid w:val="00540C01"/>
    <w:rsid w:val="00540E4B"/>
    <w:rsid w:val="0054199D"/>
    <w:rsid w:val="00542039"/>
    <w:rsid w:val="005430E3"/>
    <w:rsid w:val="0054347C"/>
    <w:rsid w:val="005448DF"/>
    <w:rsid w:val="0054497D"/>
    <w:rsid w:val="00545BC4"/>
    <w:rsid w:val="00551D41"/>
    <w:rsid w:val="005533CA"/>
    <w:rsid w:val="00555867"/>
    <w:rsid w:val="00555CAE"/>
    <w:rsid w:val="005577C4"/>
    <w:rsid w:val="00561015"/>
    <w:rsid w:val="00561B1D"/>
    <w:rsid w:val="0056331B"/>
    <w:rsid w:val="005650E9"/>
    <w:rsid w:val="00565A04"/>
    <w:rsid w:val="00565E47"/>
    <w:rsid w:val="0056763F"/>
    <w:rsid w:val="00570D7D"/>
    <w:rsid w:val="00572E82"/>
    <w:rsid w:val="005735BD"/>
    <w:rsid w:val="005741FA"/>
    <w:rsid w:val="00574506"/>
    <w:rsid w:val="00575712"/>
    <w:rsid w:val="00576019"/>
    <w:rsid w:val="0057756F"/>
    <w:rsid w:val="00580BD8"/>
    <w:rsid w:val="00581F40"/>
    <w:rsid w:val="005842B7"/>
    <w:rsid w:val="005850F5"/>
    <w:rsid w:val="00585864"/>
    <w:rsid w:val="005867BA"/>
    <w:rsid w:val="00586D4E"/>
    <w:rsid w:val="00591B0A"/>
    <w:rsid w:val="005922A8"/>
    <w:rsid w:val="00593296"/>
    <w:rsid w:val="00593DF6"/>
    <w:rsid w:val="005947B7"/>
    <w:rsid w:val="00596BDC"/>
    <w:rsid w:val="00597193"/>
    <w:rsid w:val="005A1494"/>
    <w:rsid w:val="005A2B1B"/>
    <w:rsid w:val="005A4E42"/>
    <w:rsid w:val="005A542A"/>
    <w:rsid w:val="005A5E25"/>
    <w:rsid w:val="005A6466"/>
    <w:rsid w:val="005A6AF6"/>
    <w:rsid w:val="005A7DC2"/>
    <w:rsid w:val="005A7EC0"/>
    <w:rsid w:val="005B00BD"/>
    <w:rsid w:val="005B0228"/>
    <w:rsid w:val="005B182D"/>
    <w:rsid w:val="005B24D1"/>
    <w:rsid w:val="005B36A9"/>
    <w:rsid w:val="005B3946"/>
    <w:rsid w:val="005B3FFB"/>
    <w:rsid w:val="005B48D3"/>
    <w:rsid w:val="005B5675"/>
    <w:rsid w:val="005B6522"/>
    <w:rsid w:val="005B66C0"/>
    <w:rsid w:val="005B6D3D"/>
    <w:rsid w:val="005C0EE5"/>
    <w:rsid w:val="005C2013"/>
    <w:rsid w:val="005C4563"/>
    <w:rsid w:val="005C4EFF"/>
    <w:rsid w:val="005C5D83"/>
    <w:rsid w:val="005C6639"/>
    <w:rsid w:val="005C67C8"/>
    <w:rsid w:val="005D115E"/>
    <w:rsid w:val="005D131A"/>
    <w:rsid w:val="005D358B"/>
    <w:rsid w:val="005D3D25"/>
    <w:rsid w:val="005D50AA"/>
    <w:rsid w:val="005D5BB0"/>
    <w:rsid w:val="005D6653"/>
    <w:rsid w:val="005D6923"/>
    <w:rsid w:val="005E0669"/>
    <w:rsid w:val="005E222C"/>
    <w:rsid w:val="005E29A8"/>
    <w:rsid w:val="005E2A38"/>
    <w:rsid w:val="005E3480"/>
    <w:rsid w:val="005E383A"/>
    <w:rsid w:val="005E4694"/>
    <w:rsid w:val="005E5676"/>
    <w:rsid w:val="005E5A75"/>
    <w:rsid w:val="005F050D"/>
    <w:rsid w:val="005F169E"/>
    <w:rsid w:val="005F16C7"/>
    <w:rsid w:val="005F203D"/>
    <w:rsid w:val="005F271E"/>
    <w:rsid w:val="005F3621"/>
    <w:rsid w:val="005F49ED"/>
    <w:rsid w:val="005F51DE"/>
    <w:rsid w:val="005F62F1"/>
    <w:rsid w:val="005F79A2"/>
    <w:rsid w:val="00600A68"/>
    <w:rsid w:val="00601A7F"/>
    <w:rsid w:val="00601FC4"/>
    <w:rsid w:val="00602255"/>
    <w:rsid w:val="0060261A"/>
    <w:rsid w:val="00602682"/>
    <w:rsid w:val="00602BF7"/>
    <w:rsid w:val="006035F9"/>
    <w:rsid w:val="00604096"/>
    <w:rsid w:val="006040C8"/>
    <w:rsid w:val="00605AE9"/>
    <w:rsid w:val="00605E48"/>
    <w:rsid w:val="006075A0"/>
    <w:rsid w:val="00610C62"/>
    <w:rsid w:val="0061146C"/>
    <w:rsid w:val="006117E8"/>
    <w:rsid w:val="00612FA6"/>
    <w:rsid w:val="0061327A"/>
    <w:rsid w:val="00613488"/>
    <w:rsid w:val="0061385E"/>
    <w:rsid w:val="00613862"/>
    <w:rsid w:val="00614741"/>
    <w:rsid w:val="00614987"/>
    <w:rsid w:val="00615085"/>
    <w:rsid w:val="006158BC"/>
    <w:rsid w:val="00616D4D"/>
    <w:rsid w:val="006177D1"/>
    <w:rsid w:val="00617D6D"/>
    <w:rsid w:val="00620015"/>
    <w:rsid w:val="00620AFA"/>
    <w:rsid w:val="00621382"/>
    <w:rsid w:val="006235E9"/>
    <w:rsid w:val="00623EA8"/>
    <w:rsid w:val="00624863"/>
    <w:rsid w:val="00624D20"/>
    <w:rsid w:val="00625EE9"/>
    <w:rsid w:val="00626964"/>
    <w:rsid w:val="006314CB"/>
    <w:rsid w:val="006318E9"/>
    <w:rsid w:val="00634190"/>
    <w:rsid w:val="0063438F"/>
    <w:rsid w:val="00634BEA"/>
    <w:rsid w:val="00636982"/>
    <w:rsid w:val="006405A1"/>
    <w:rsid w:val="006413B5"/>
    <w:rsid w:val="00642E3E"/>
    <w:rsid w:val="006431CC"/>
    <w:rsid w:val="006437BE"/>
    <w:rsid w:val="00644794"/>
    <w:rsid w:val="00645EF8"/>
    <w:rsid w:val="00646BC2"/>
    <w:rsid w:val="006472A6"/>
    <w:rsid w:val="006502FE"/>
    <w:rsid w:val="00650D6F"/>
    <w:rsid w:val="00651381"/>
    <w:rsid w:val="00653CEE"/>
    <w:rsid w:val="00655F48"/>
    <w:rsid w:val="006570A3"/>
    <w:rsid w:val="00657C4F"/>
    <w:rsid w:val="00660DA1"/>
    <w:rsid w:val="006612A4"/>
    <w:rsid w:val="0066228B"/>
    <w:rsid w:val="00662329"/>
    <w:rsid w:val="00662518"/>
    <w:rsid w:val="0066265F"/>
    <w:rsid w:val="0066330B"/>
    <w:rsid w:val="00663413"/>
    <w:rsid w:val="00665318"/>
    <w:rsid w:val="006654E2"/>
    <w:rsid w:val="0066748B"/>
    <w:rsid w:val="006717A0"/>
    <w:rsid w:val="00671893"/>
    <w:rsid w:val="00672182"/>
    <w:rsid w:val="00672438"/>
    <w:rsid w:val="00673DB3"/>
    <w:rsid w:val="00673E24"/>
    <w:rsid w:val="006759BF"/>
    <w:rsid w:val="00675C1F"/>
    <w:rsid w:val="00675F36"/>
    <w:rsid w:val="00676093"/>
    <w:rsid w:val="00676B5C"/>
    <w:rsid w:val="0068066A"/>
    <w:rsid w:val="00680BAF"/>
    <w:rsid w:val="006813E7"/>
    <w:rsid w:val="00681FBA"/>
    <w:rsid w:val="006825B0"/>
    <w:rsid w:val="0068388A"/>
    <w:rsid w:val="00683BBF"/>
    <w:rsid w:val="00685696"/>
    <w:rsid w:val="006857C9"/>
    <w:rsid w:val="00687C05"/>
    <w:rsid w:val="00687D90"/>
    <w:rsid w:val="006909D3"/>
    <w:rsid w:val="00692127"/>
    <w:rsid w:val="0069242E"/>
    <w:rsid w:val="00692450"/>
    <w:rsid w:val="00692479"/>
    <w:rsid w:val="006930E7"/>
    <w:rsid w:val="006935BC"/>
    <w:rsid w:val="0069544A"/>
    <w:rsid w:val="00695D45"/>
    <w:rsid w:val="0069693F"/>
    <w:rsid w:val="00696C54"/>
    <w:rsid w:val="006A0A61"/>
    <w:rsid w:val="006A1DEC"/>
    <w:rsid w:val="006A1FCC"/>
    <w:rsid w:val="006A2DAE"/>
    <w:rsid w:val="006A3DB7"/>
    <w:rsid w:val="006B0BE3"/>
    <w:rsid w:val="006B347F"/>
    <w:rsid w:val="006B3728"/>
    <w:rsid w:val="006B6DF7"/>
    <w:rsid w:val="006C1035"/>
    <w:rsid w:val="006C1344"/>
    <w:rsid w:val="006C3910"/>
    <w:rsid w:val="006C3CB6"/>
    <w:rsid w:val="006C45F8"/>
    <w:rsid w:val="006C5933"/>
    <w:rsid w:val="006C62D2"/>
    <w:rsid w:val="006C639A"/>
    <w:rsid w:val="006D08FD"/>
    <w:rsid w:val="006D5B4B"/>
    <w:rsid w:val="006D60DF"/>
    <w:rsid w:val="006D77BF"/>
    <w:rsid w:val="006D7DD9"/>
    <w:rsid w:val="006E1559"/>
    <w:rsid w:val="006E3203"/>
    <w:rsid w:val="006E3EBF"/>
    <w:rsid w:val="006E5513"/>
    <w:rsid w:val="006E5C5D"/>
    <w:rsid w:val="006E7E8C"/>
    <w:rsid w:val="006F0AF7"/>
    <w:rsid w:val="006F16A2"/>
    <w:rsid w:val="006F1761"/>
    <w:rsid w:val="006F22AB"/>
    <w:rsid w:val="006F4057"/>
    <w:rsid w:val="006F4578"/>
    <w:rsid w:val="006F45DA"/>
    <w:rsid w:val="006F5961"/>
    <w:rsid w:val="006F5F70"/>
    <w:rsid w:val="006F6635"/>
    <w:rsid w:val="007009C9"/>
    <w:rsid w:val="00700D28"/>
    <w:rsid w:val="00701622"/>
    <w:rsid w:val="007021F8"/>
    <w:rsid w:val="0070434C"/>
    <w:rsid w:val="00704946"/>
    <w:rsid w:val="00707736"/>
    <w:rsid w:val="00710BE9"/>
    <w:rsid w:val="00710CD8"/>
    <w:rsid w:val="007141E2"/>
    <w:rsid w:val="007150C5"/>
    <w:rsid w:val="00715B97"/>
    <w:rsid w:val="007161C1"/>
    <w:rsid w:val="00716641"/>
    <w:rsid w:val="00716EAD"/>
    <w:rsid w:val="00717EDE"/>
    <w:rsid w:val="00720AD0"/>
    <w:rsid w:val="0072172D"/>
    <w:rsid w:val="00722825"/>
    <w:rsid w:val="007256CA"/>
    <w:rsid w:val="00725C8D"/>
    <w:rsid w:val="00726E44"/>
    <w:rsid w:val="00727B01"/>
    <w:rsid w:val="0073398A"/>
    <w:rsid w:val="007341AD"/>
    <w:rsid w:val="00735091"/>
    <w:rsid w:val="007353EE"/>
    <w:rsid w:val="00736AB7"/>
    <w:rsid w:val="00737150"/>
    <w:rsid w:val="00737790"/>
    <w:rsid w:val="00737D18"/>
    <w:rsid w:val="007402D1"/>
    <w:rsid w:val="00741A02"/>
    <w:rsid w:val="00741CED"/>
    <w:rsid w:val="007430BF"/>
    <w:rsid w:val="007431EC"/>
    <w:rsid w:val="00743911"/>
    <w:rsid w:val="00744765"/>
    <w:rsid w:val="00744C38"/>
    <w:rsid w:val="00744DF9"/>
    <w:rsid w:val="00745429"/>
    <w:rsid w:val="0074732F"/>
    <w:rsid w:val="00747877"/>
    <w:rsid w:val="00747BA8"/>
    <w:rsid w:val="00750639"/>
    <w:rsid w:val="00750E5B"/>
    <w:rsid w:val="007519E9"/>
    <w:rsid w:val="00751ED6"/>
    <w:rsid w:val="00752767"/>
    <w:rsid w:val="00754C66"/>
    <w:rsid w:val="00755AEF"/>
    <w:rsid w:val="00756622"/>
    <w:rsid w:val="00761CDE"/>
    <w:rsid w:val="00763C1B"/>
    <w:rsid w:val="007641C5"/>
    <w:rsid w:val="0076425A"/>
    <w:rsid w:val="00767610"/>
    <w:rsid w:val="007678FB"/>
    <w:rsid w:val="00771CD2"/>
    <w:rsid w:val="00772054"/>
    <w:rsid w:val="00772F38"/>
    <w:rsid w:val="007738FA"/>
    <w:rsid w:val="00773C46"/>
    <w:rsid w:val="007748A0"/>
    <w:rsid w:val="00774F4C"/>
    <w:rsid w:val="00775A1F"/>
    <w:rsid w:val="00776905"/>
    <w:rsid w:val="00776C8A"/>
    <w:rsid w:val="00777AD7"/>
    <w:rsid w:val="00777DCD"/>
    <w:rsid w:val="0078147B"/>
    <w:rsid w:val="00782402"/>
    <w:rsid w:val="00786C69"/>
    <w:rsid w:val="00786C7A"/>
    <w:rsid w:val="0078782C"/>
    <w:rsid w:val="0079122A"/>
    <w:rsid w:val="00791468"/>
    <w:rsid w:val="00791871"/>
    <w:rsid w:val="00793103"/>
    <w:rsid w:val="007931B7"/>
    <w:rsid w:val="00793BA6"/>
    <w:rsid w:val="00795EA2"/>
    <w:rsid w:val="007966F1"/>
    <w:rsid w:val="007A022D"/>
    <w:rsid w:val="007A0E85"/>
    <w:rsid w:val="007A1167"/>
    <w:rsid w:val="007A3AC3"/>
    <w:rsid w:val="007A75F5"/>
    <w:rsid w:val="007A7A72"/>
    <w:rsid w:val="007B0D77"/>
    <w:rsid w:val="007B388D"/>
    <w:rsid w:val="007B3DE6"/>
    <w:rsid w:val="007B482C"/>
    <w:rsid w:val="007B6083"/>
    <w:rsid w:val="007C0164"/>
    <w:rsid w:val="007C03DD"/>
    <w:rsid w:val="007C2343"/>
    <w:rsid w:val="007C2EE5"/>
    <w:rsid w:val="007C30B0"/>
    <w:rsid w:val="007C3B23"/>
    <w:rsid w:val="007C4344"/>
    <w:rsid w:val="007C43AF"/>
    <w:rsid w:val="007C69DC"/>
    <w:rsid w:val="007C79C0"/>
    <w:rsid w:val="007C7DDE"/>
    <w:rsid w:val="007D0F9A"/>
    <w:rsid w:val="007D234D"/>
    <w:rsid w:val="007D44D7"/>
    <w:rsid w:val="007D57C4"/>
    <w:rsid w:val="007D68A1"/>
    <w:rsid w:val="007D76E1"/>
    <w:rsid w:val="007D7FA4"/>
    <w:rsid w:val="007E05E4"/>
    <w:rsid w:val="007E1521"/>
    <w:rsid w:val="007E18ED"/>
    <w:rsid w:val="007E4C52"/>
    <w:rsid w:val="007E51BA"/>
    <w:rsid w:val="007E5357"/>
    <w:rsid w:val="007E59A6"/>
    <w:rsid w:val="007E68AF"/>
    <w:rsid w:val="007E7C84"/>
    <w:rsid w:val="007F0061"/>
    <w:rsid w:val="007F063A"/>
    <w:rsid w:val="007F1DD1"/>
    <w:rsid w:val="007F5851"/>
    <w:rsid w:val="007F5A93"/>
    <w:rsid w:val="007F60EF"/>
    <w:rsid w:val="007F6104"/>
    <w:rsid w:val="007F7B1A"/>
    <w:rsid w:val="008012F2"/>
    <w:rsid w:val="00801DAB"/>
    <w:rsid w:val="00804D22"/>
    <w:rsid w:val="008058F9"/>
    <w:rsid w:val="00810D67"/>
    <w:rsid w:val="00811617"/>
    <w:rsid w:val="00813BCC"/>
    <w:rsid w:val="00814073"/>
    <w:rsid w:val="00815423"/>
    <w:rsid w:val="00815AEC"/>
    <w:rsid w:val="008164AF"/>
    <w:rsid w:val="008215C2"/>
    <w:rsid w:val="008227CB"/>
    <w:rsid w:val="00823D79"/>
    <w:rsid w:val="00824074"/>
    <w:rsid w:val="00824CA7"/>
    <w:rsid w:val="00826DE2"/>
    <w:rsid w:val="008274E1"/>
    <w:rsid w:val="008276A9"/>
    <w:rsid w:val="00830560"/>
    <w:rsid w:val="008310C6"/>
    <w:rsid w:val="00832090"/>
    <w:rsid w:val="008336F0"/>
    <w:rsid w:val="0083372A"/>
    <w:rsid w:val="00835250"/>
    <w:rsid w:val="00835B96"/>
    <w:rsid w:val="00837411"/>
    <w:rsid w:val="00837BB6"/>
    <w:rsid w:val="00840D91"/>
    <w:rsid w:val="00840EB3"/>
    <w:rsid w:val="00841751"/>
    <w:rsid w:val="0084234B"/>
    <w:rsid w:val="00842392"/>
    <w:rsid w:val="00842FE6"/>
    <w:rsid w:val="008447E7"/>
    <w:rsid w:val="00845E3C"/>
    <w:rsid w:val="008465B5"/>
    <w:rsid w:val="00850F43"/>
    <w:rsid w:val="008519FF"/>
    <w:rsid w:val="00853781"/>
    <w:rsid w:val="008556B0"/>
    <w:rsid w:val="00857263"/>
    <w:rsid w:val="00857EC4"/>
    <w:rsid w:val="0086203C"/>
    <w:rsid w:val="00863585"/>
    <w:rsid w:val="00864359"/>
    <w:rsid w:val="0086775C"/>
    <w:rsid w:val="00867987"/>
    <w:rsid w:val="008702A5"/>
    <w:rsid w:val="00870B30"/>
    <w:rsid w:val="008711F0"/>
    <w:rsid w:val="0087432C"/>
    <w:rsid w:val="00874ECE"/>
    <w:rsid w:val="00874EDB"/>
    <w:rsid w:val="008816C4"/>
    <w:rsid w:val="00881C58"/>
    <w:rsid w:val="00881CFA"/>
    <w:rsid w:val="008824AB"/>
    <w:rsid w:val="00882F31"/>
    <w:rsid w:val="008839CB"/>
    <w:rsid w:val="00883C02"/>
    <w:rsid w:val="00884F94"/>
    <w:rsid w:val="00885498"/>
    <w:rsid w:val="0088763B"/>
    <w:rsid w:val="00887913"/>
    <w:rsid w:val="0089005E"/>
    <w:rsid w:val="008914B3"/>
    <w:rsid w:val="00891D68"/>
    <w:rsid w:val="00892948"/>
    <w:rsid w:val="008929FF"/>
    <w:rsid w:val="00892E71"/>
    <w:rsid w:val="00893144"/>
    <w:rsid w:val="00894690"/>
    <w:rsid w:val="0089732B"/>
    <w:rsid w:val="008A1D01"/>
    <w:rsid w:val="008A2257"/>
    <w:rsid w:val="008A339B"/>
    <w:rsid w:val="008A3D35"/>
    <w:rsid w:val="008A3FC3"/>
    <w:rsid w:val="008A6404"/>
    <w:rsid w:val="008A6A5B"/>
    <w:rsid w:val="008A7DFE"/>
    <w:rsid w:val="008B0157"/>
    <w:rsid w:val="008B0AD3"/>
    <w:rsid w:val="008B369A"/>
    <w:rsid w:val="008B521C"/>
    <w:rsid w:val="008B5D01"/>
    <w:rsid w:val="008B641C"/>
    <w:rsid w:val="008B7077"/>
    <w:rsid w:val="008B757D"/>
    <w:rsid w:val="008C07E7"/>
    <w:rsid w:val="008C2330"/>
    <w:rsid w:val="008C5845"/>
    <w:rsid w:val="008C6413"/>
    <w:rsid w:val="008C6E75"/>
    <w:rsid w:val="008C7092"/>
    <w:rsid w:val="008D088A"/>
    <w:rsid w:val="008D0DBB"/>
    <w:rsid w:val="008D1366"/>
    <w:rsid w:val="008D33F0"/>
    <w:rsid w:val="008D3C6A"/>
    <w:rsid w:val="008D52C3"/>
    <w:rsid w:val="008D695B"/>
    <w:rsid w:val="008D7232"/>
    <w:rsid w:val="008E05A1"/>
    <w:rsid w:val="008E0FCC"/>
    <w:rsid w:val="008E3FC5"/>
    <w:rsid w:val="008E5369"/>
    <w:rsid w:val="008E5853"/>
    <w:rsid w:val="008E679E"/>
    <w:rsid w:val="008E71AD"/>
    <w:rsid w:val="008E7949"/>
    <w:rsid w:val="008F011B"/>
    <w:rsid w:val="008F0686"/>
    <w:rsid w:val="008F54CB"/>
    <w:rsid w:val="008F63EA"/>
    <w:rsid w:val="008F64CC"/>
    <w:rsid w:val="008F7448"/>
    <w:rsid w:val="008F7F12"/>
    <w:rsid w:val="009008D6"/>
    <w:rsid w:val="00901F5E"/>
    <w:rsid w:val="0090201B"/>
    <w:rsid w:val="00902373"/>
    <w:rsid w:val="009032B5"/>
    <w:rsid w:val="009046DD"/>
    <w:rsid w:val="00904B25"/>
    <w:rsid w:val="00905E3F"/>
    <w:rsid w:val="00906B4A"/>
    <w:rsid w:val="009111C9"/>
    <w:rsid w:val="00911880"/>
    <w:rsid w:val="00911A9C"/>
    <w:rsid w:val="00912535"/>
    <w:rsid w:val="00912D3E"/>
    <w:rsid w:val="009136AC"/>
    <w:rsid w:val="0091442D"/>
    <w:rsid w:val="00915CB5"/>
    <w:rsid w:val="009208BB"/>
    <w:rsid w:val="00921704"/>
    <w:rsid w:val="00925485"/>
    <w:rsid w:val="00925C96"/>
    <w:rsid w:val="009303F2"/>
    <w:rsid w:val="009323AE"/>
    <w:rsid w:val="00933DB8"/>
    <w:rsid w:val="0093415E"/>
    <w:rsid w:val="009353F2"/>
    <w:rsid w:val="00936D2B"/>
    <w:rsid w:val="0094048D"/>
    <w:rsid w:val="009410C5"/>
    <w:rsid w:val="009417A4"/>
    <w:rsid w:val="00941BFA"/>
    <w:rsid w:val="0094215C"/>
    <w:rsid w:val="00942A42"/>
    <w:rsid w:val="00943AD7"/>
    <w:rsid w:val="00945265"/>
    <w:rsid w:val="00947B10"/>
    <w:rsid w:val="00952C3D"/>
    <w:rsid w:val="00953847"/>
    <w:rsid w:val="00953E11"/>
    <w:rsid w:val="00954778"/>
    <w:rsid w:val="00956AD3"/>
    <w:rsid w:val="00957099"/>
    <w:rsid w:val="0095775A"/>
    <w:rsid w:val="00960768"/>
    <w:rsid w:val="00960EE5"/>
    <w:rsid w:val="00962C43"/>
    <w:rsid w:val="0096335A"/>
    <w:rsid w:val="00963D0C"/>
    <w:rsid w:val="0096448F"/>
    <w:rsid w:val="00964F03"/>
    <w:rsid w:val="0096717D"/>
    <w:rsid w:val="00967711"/>
    <w:rsid w:val="00967E68"/>
    <w:rsid w:val="00970518"/>
    <w:rsid w:val="00971B2B"/>
    <w:rsid w:val="0097267A"/>
    <w:rsid w:val="00972745"/>
    <w:rsid w:val="009733CE"/>
    <w:rsid w:val="00973737"/>
    <w:rsid w:val="0097561F"/>
    <w:rsid w:val="00976D9E"/>
    <w:rsid w:val="00977235"/>
    <w:rsid w:val="009774AD"/>
    <w:rsid w:val="00977C5A"/>
    <w:rsid w:val="00977CE3"/>
    <w:rsid w:val="00982365"/>
    <w:rsid w:val="00982D65"/>
    <w:rsid w:val="009842DB"/>
    <w:rsid w:val="00986E0C"/>
    <w:rsid w:val="009871C9"/>
    <w:rsid w:val="0099073F"/>
    <w:rsid w:val="00990BC1"/>
    <w:rsid w:val="00993567"/>
    <w:rsid w:val="00995585"/>
    <w:rsid w:val="0099638B"/>
    <w:rsid w:val="00996DB1"/>
    <w:rsid w:val="00997779"/>
    <w:rsid w:val="009A10E8"/>
    <w:rsid w:val="009A39B8"/>
    <w:rsid w:val="009A3FCB"/>
    <w:rsid w:val="009A451F"/>
    <w:rsid w:val="009A668A"/>
    <w:rsid w:val="009A7EDB"/>
    <w:rsid w:val="009B01F3"/>
    <w:rsid w:val="009B03D2"/>
    <w:rsid w:val="009B210F"/>
    <w:rsid w:val="009B640F"/>
    <w:rsid w:val="009B6D27"/>
    <w:rsid w:val="009C0080"/>
    <w:rsid w:val="009C1139"/>
    <w:rsid w:val="009C32D8"/>
    <w:rsid w:val="009C42EF"/>
    <w:rsid w:val="009C5DD7"/>
    <w:rsid w:val="009C7E18"/>
    <w:rsid w:val="009D0B82"/>
    <w:rsid w:val="009D0E7E"/>
    <w:rsid w:val="009D1D7E"/>
    <w:rsid w:val="009D27D3"/>
    <w:rsid w:val="009D3216"/>
    <w:rsid w:val="009D3B2B"/>
    <w:rsid w:val="009D3E52"/>
    <w:rsid w:val="009D63CE"/>
    <w:rsid w:val="009D6B26"/>
    <w:rsid w:val="009D6FE7"/>
    <w:rsid w:val="009E0F54"/>
    <w:rsid w:val="009E1085"/>
    <w:rsid w:val="009E3CE6"/>
    <w:rsid w:val="009E50CC"/>
    <w:rsid w:val="009E64A9"/>
    <w:rsid w:val="009E765A"/>
    <w:rsid w:val="009E7BA5"/>
    <w:rsid w:val="009E7EB5"/>
    <w:rsid w:val="009F0E6C"/>
    <w:rsid w:val="009F27B0"/>
    <w:rsid w:val="009F2E25"/>
    <w:rsid w:val="009F4583"/>
    <w:rsid w:val="009F5A78"/>
    <w:rsid w:val="009F5EA0"/>
    <w:rsid w:val="009F610C"/>
    <w:rsid w:val="009F62DA"/>
    <w:rsid w:val="009F6B2C"/>
    <w:rsid w:val="00A008CB"/>
    <w:rsid w:val="00A00EA2"/>
    <w:rsid w:val="00A00F19"/>
    <w:rsid w:val="00A025AD"/>
    <w:rsid w:val="00A028AB"/>
    <w:rsid w:val="00A04387"/>
    <w:rsid w:val="00A04E60"/>
    <w:rsid w:val="00A05606"/>
    <w:rsid w:val="00A062BA"/>
    <w:rsid w:val="00A1045D"/>
    <w:rsid w:val="00A10976"/>
    <w:rsid w:val="00A112E9"/>
    <w:rsid w:val="00A11AB3"/>
    <w:rsid w:val="00A121C8"/>
    <w:rsid w:val="00A12936"/>
    <w:rsid w:val="00A13DE7"/>
    <w:rsid w:val="00A1401F"/>
    <w:rsid w:val="00A155CE"/>
    <w:rsid w:val="00A16523"/>
    <w:rsid w:val="00A170F6"/>
    <w:rsid w:val="00A2047F"/>
    <w:rsid w:val="00A20AF8"/>
    <w:rsid w:val="00A21981"/>
    <w:rsid w:val="00A2206A"/>
    <w:rsid w:val="00A226C6"/>
    <w:rsid w:val="00A22768"/>
    <w:rsid w:val="00A22C6F"/>
    <w:rsid w:val="00A23C31"/>
    <w:rsid w:val="00A24464"/>
    <w:rsid w:val="00A247F3"/>
    <w:rsid w:val="00A2505F"/>
    <w:rsid w:val="00A25156"/>
    <w:rsid w:val="00A25176"/>
    <w:rsid w:val="00A25F89"/>
    <w:rsid w:val="00A300E5"/>
    <w:rsid w:val="00A304B9"/>
    <w:rsid w:val="00A313F3"/>
    <w:rsid w:val="00A31773"/>
    <w:rsid w:val="00A32E89"/>
    <w:rsid w:val="00A32EEB"/>
    <w:rsid w:val="00A332D9"/>
    <w:rsid w:val="00A34655"/>
    <w:rsid w:val="00A35A08"/>
    <w:rsid w:val="00A36F7C"/>
    <w:rsid w:val="00A37632"/>
    <w:rsid w:val="00A4047C"/>
    <w:rsid w:val="00A414AE"/>
    <w:rsid w:val="00A41A9A"/>
    <w:rsid w:val="00A41CE8"/>
    <w:rsid w:val="00A4326E"/>
    <w:rsid w:val="00A439F2"/>
    <w:rsid w:val="00A44424"/>
    <w:rsid w:val="00A4660E"/>
    <w:rsid w:val="00A4788D"/>
    <w:rsid w:val="00A47A93"/>
    <w:rsid w:val="00A5014F"/>
    <w:rsid w:val="00A50AB5"/>
    <w:rsid w:val="00A51C9C"/>
    <w:rsid w:val="00A52690"/>
    <w:rsid w:val="00A52F75"/>
    <w:rsid w:val="00A532DC"/>
    <w:rsid w:val="00A53379"/>
    <w:rsid w:val="00A53874"/>
    <w:rsid w:val="00A53FB8"/>
    <w:rsid w:val="00A54186"/>
    <w:rsid w:val="00A54CAC"/>
    <w:rsid w:val="00A554FA"/>
    <w:rsid w:val="00A5632E"/>
    <w:rsid w:val="00A57DDE"/>
    <w:rsid w:val="00A60B90"/>
    <w:rsid w:val="00A61CBC"/>
    <w:rsid w:val="00A625C2"/>
    <w:rsid w:val="00A6489E"/>
    <w:rsid w:val="00A64C48"/>
    <w:rsid w:val="00A64ED1"/>
    <w:rsid w:val="00A66CD4"/>
    <w:rsid w:val="00A66D22"/>
    <w:rsid w:val="00A672CB"/>
    <w:rsid w:val="00A70847"/>
    <w:rsid w:val="00A70D18"/>
    <w:rsid w:val="00A71F50"/>
    <w:rsid w:val="00A733D0"/>
    <w:rsid w:val="00A73808"/>
    <w:rsid w:val="00A73DDE"/>
    <w:rsid w:val="00A80EF5"/>
    <w:rsid w:val="00A815AE"/>
    <w:rsid w:val="00A816DA"/>
    <w:rsid w:val="00A8276F"/>
    <w:rsid w:val="00A8496F"/>
    <w:rsid w:val="00A84F1A"/>
    <w:rsid w:val="00A87B76"/>
    <w:rsid w:val="00A87C0F"/>
    <w:rsid w:val="00A900FE"/>
    <w:rsid w:val="00A90D10"/>
    <w:rsid w:val="00A94F85"/>
    <w:rsid w:val="00AA12EA"/>
    <w:rsid w:val="00AA2613"/>
    <w:rsid w:val="00AA39B0"/>
    <w:rsid w:val="00AA48DC"/>
    <w:rsid w:val="00AA5377"/>
    <w:rsid w:val="00AA553C"/>
    <w:rsid w:val="00AB0161"/>
    <w:rsid w:val="00AB154D"/>
    <w:rsid w:val="00AB1C95"/>
    <w:rsid w:val="00AB1D33"/>
    <w:rsid w:val="00AB2A3D"/>
    <w:rsid w:val="00AB3344"/>
    <w:rsid w:val="00AB439D"/>
    <w:rsid w:val="00AC0AF5"/>
    <w:rsid w:val="00AC0CA8"/>
    <w:rsid w:val="00AC1F61"/>
    <w:rsid w:val="00AC22AC"/>
    <w:rsid w:val="00AC302F"/>
    <w:rsid w:val="00AC3910"/>
    <w:rsid w:val="00AC4156"/>
    <w:rsid w:val="00AC451D"/>
    <w:rsid w:val="00AC6176"/>
    <w:rsid w:val="00AC6184"/>
    <w:rsid w:val="00AC6C3F"/>
    <w:rsid w:val="00AC70DC"/>
    <w:rsid w:val="00AC7627"/>
    <w:rsid w:val="00AC7720"/>
    <w:rsid w:val="00AC7F17"/>
    <w:rsid w:val="00AD11B1"/>
    <w:rsid w:val="00AD12EB"/>
    <w:rsid w:val="00AD1595"/>
    <w:rsid w:val="00AD2C39"/>
    <w:rsid w:val="00AD2E3E"/>
    <w:rsid w:val="00AD372C"/>
    <w:rsid w:val="00AD3CD0"/>
    <w:rsid w:val="00AD41D4"/>
    <w:rsid w:val="00AD48AA"/>
    <w:rsid w:val="00AD4BF1"/>
    <w:rsid w:val="00AD4E98"/>
    <w:rsid w:val="00AD5725"/>
    <w:rsid w:val="00AD72E3"/>
    <w:rsid w:val="00AD78B0"/>
    <w:rsid w:val="00AD7A10"/>
    <w:rsid w:val="00AD7A70"/>
    <w:rsid w:val="00AD7A72"/>
    <w:rsid w:val="00AE01F4"/>
    <w:rsid w:val="00AE0295"/>
    <w:rsid w:val="00AE319A"/>
    <w:rsid w:val="00AE379F"/>
    <w:rsid w:val="00AE3A7E"/>
    <w:rsid w:val="00AE6C56"/>
    <w:rsid w:val="00AE6F47"/>
    <w:rsid w:val="00AF01AF"/>
    <w:rsid w:val="00AF1ED5"/>
    <w:rsid w:val="00AF2CB0"/>
    <w:rsid w:val="00AF2F7A"/>
    <w:rsid w:val="00AF34A3"/>
    <w:rsid w:val="00AF4661"/>
    <w:rsid w:val="00AF62AE"/>
    <w:rsid w:val="00AF65F2"/>
    <w:rsid w:val="00AF70AA"/>
    <w:rsid w:val="00B0098A"/>
    <w:rsid w:val="00B00DE1"/>
    <w:rsid w:val="00B025F5"/>
    <w:rsid w:val="00B031FC"/>
    <w:rsid w:val="00B043A3"/>
    <w:rsid w:val="00B05DD1"/>
    <w:rsid w:val="00B06E2D"/>
    <w:rsid w:val="00B07382"/>
    <w:rsid w:val="00B10F95"/>
    <w:rsid w:val="00B1188A"/>
    <w:rsid w:val="00B119D6"/>
    <w:rsid w:val="00B11BF6"/>
    <w:rsid w:val="00B12925"/>
    <w:rsid w:val="00B12C7E"/>
    <w:rsid w:val="00B12D8E"/>
    <w:rsid w:val="00B1380D"/>
    <w:rsid w:val="00B13878"/>
    <w:rsid w:val="00B13B9D"/>
    <w:rsid w:val="00B156DC"/>
    <w:rsid w:val="00B165BA"/>
    <w:rsid w:val="00B20563"/>
    <w:rsid w:val="00B224D0"/>
    <w:rsid w:val="00B22BFE"/>
    <w:rsid w:val="00B241D9"/>
    <w:rsid w:val="00B24621"/>
    <w:rsid w:val="00B24A96"/>
    <w:rsid w:val="00B2514B"/>
    <w:rsid w:val="00B255D9"/>
    <w:rsid w:val="00B26A8F"/>
    <w:rsid w:val="00B270A4"/>
    <w:rsid w:val="00B275D5"/>
    <w:rsid w:val="00B32BE7"/>
    <w:rsid w:val="00B32CA4"/>
    <w:rsid w:val="00B3394B"/>
    <w:rsid w:val="00B33FB4"/>
    <w:rsid w:val="00B35333"/>
    <w:rsid w:val="00B3640C"/>
    <w:rsid w:val="00B43ABA"/>
    <w:rsid w:val="00B4612A"/>
    <w:rsid w:val="00B46515"/>
    <w:rsid w:val="00B4668A"/>
    <w:rsid w:val="00B468D3"/>
    <w:rsid w:val="00B471C1"/>
    <w:rsid w:val="00B50631"/>
    <w:rsid w:val="00B50887"/>
    <w:rsid w:val="00B50F87"/>
    <w:rsid w:val="00B51122"/>
    <w:rsid w:val="00B51A99"/>
    <w:rsid w:val="00B51D21"/>
    <w:rsid w:val="00B52E63"/>
    <w:rsid w:val="00B535E0"/>
    <w:rsid w:val="00B55AA3"/>
    <w:rsid w:val="00B577B2"/>
    <w:rsid w:val="00B60A0A"/>
    <w:rsid w:val="00B629D3"/>
    <w:rsid w:val="00B63667"/>
    <w:rsid w:val="00B6398B"/>
    <w:rsid w:val="00B63A41"/>
    <w:rsid w:val="00B6402E"/>
    <w:rsid w:val="00B645AD"/>
    <w:rsid w:val="00B66FF1"/>
    <w:rsid w:val="00B67164"/>
    <w:rsid w:val="00B67DF9"/>
    <w:rsid w:val="00B715ED"/>
    <w:rsid w:val="00B72404"/>
    <w:rsid w:val="00B72914"/>
    <w:rsid w:val="00B73930"/>
    <w:rsid w:val="00B74854"/>
    <w:rsid w:val="00B74CB4"/>
    <w:rsid w:val="00B753B8"/>
    <w:rsid w:val="00B769A8"/>
    <w:rsid w:val="00B76B3F"/>
    <w:rsid w:val="00B77D3F"/>
    <w:rsid w:val="00B8071F"/>
    <w:rsid w:val="00B80759"/>
    <w:rsid w:val="00B81A83"/>
    <w:rsid w:val="00B82678"/>
    <w:rsid w:val="00B8467E"/>
    <w:rsid w:val="00B846E8"/>
    <w:rsid w:val="00B84FA8"/>
    <w:rsid w:val="00B85875"/>
    <w:rsid w:val="00B85B63"/>
    <w:rsid w:val="00B87A3A"/>
    <w:rsid w:val="00B87D77"/>
    <w:rsid w:val="00B90891"/>
    <w:rsid w:val="00B91B4F"/>
    <w:rsid w:val="00B94944"/>
    <w:rsid w:val="00B9679E"/>
    <w:rsid w:val="00B96BC0"/>
    <w:rsid w:val="00B96EFB"/>
    <w:rsid w:val="00B97875"/>
    <w:rsid w:val="00BA049E"/>
    <w:rsid w:val="00BA0B67"/>
    <w:rsid w:val="00BA1E90"/>
    <w:rsid w:val="00BA66C9"/>
    <w:rsid w:val="00BB0D56"/>
    <w:rsid w:val="00BB1E33"/>
    <w:rsid w:val="00BB2683"/>
    <w:rsid w:val="00BB4494"/>
    <w:rsid w:val="00BB5436"/>
    <w:rsid w:val="00BB5B6F"/>
    <w:rsid w:val="00BB5F0C"/>
    <w:rsid w:val="00BB5F3C"/>
    <w:rsid w:val="00BB6B8C"/>
    <w:rsid w:val="00BB762D"/>
    <w:rsid w:val="00BB7EED"/>
    <w:rsid w:val="00BC0EC4"/>
    <w:rsid w:val="00BC1723"/>
    <w:rsid w:val="00BC1C15"/>
    <w:rsid w:val="00BC291D"/>
    <w:rsid w:val="00BC2CED"/>
    <w:rsid w:val="00BC4337"/>
    <w:rsid w:val="00BC4CC8"/>
    <w:rsid w:val="00BC4F52"/>
    <w:rsid w:val="00BC5C5E"/>
    <w:rsid w:val="00BC6B26"/>
    <w:rsid w:val="00BC713A"/>
    <w:rsid w:val="00BC78DF"/>
    <w:rsid w:val="00BD2052"/>
    <w:rsid w:val="00BD2A72"/>
    <w:rsid w:val="00BD2E06"/>
    <w:rsid w:val="00BD3CA6"/>
    <w:rsid w:val="00BD3F7B"/>
    <w:rsid w:val="00BD4207"/>
    <w:rsid w:val="00BD487B"/>
    <w:rsid w:val="00BD4A19"/>
    <w:rsid w:val="00BD4D92"/>
    <w:rsid w:val="00BD50A3"/>
    <w:rsid w:val="00BD672B"/>
    <w:rsid w:val="00BE032E"/>
    <w:rsid w:val="00BE0DD4"/>
    <w:rsid w:val="00BE1697"/>
    <w:rsid w:val="00BE1BB4"/>
    <w:rsid w:val="00BE3353"/>
    <w:rsid w:val="00BE3C24"/>
    <w:rsid w:val="00BE4F8C"/>
    <w:rsid w:val="00BE5CF8"/>
    <w:rsid w:val="00BE6694"/>
    <w:rsid w:val="00BE66A6"/>
    <w:rsid w:val="00BE6A0B"/>
    <w:rsid w:val="00BE707F"/>
    <w:rsid w:val="00BE730E"/>
    <w:rsid w:val="00BF09CD"/>
    <w:rsid w:val="00BF2A59"/>
    <w:rsid w:val="00BF3FE3"/>
    <w:rsid w:val="00C00D41"/>
    <w:rsid w:val="00C01810"/>
    <w:rsid w:val="00C02F83"/>
    <w:rsid w:val="00C034CE"/>
    <w:rsid w:val="00C05DDD"/>
    <w:rsid w:val="00C06215"/>
    <w:rsid w:val="00C06348"/>
    <w:rsid w:val="00C06CE1"/>
    <w:rsid w:val="00C07249"/>
    <w:rsid w:val="00C10267"/>
    <w:rsid w:val="00C108AE"/>
    <w:rsid w:val="00C11876"/>
    <w:rsid w:val="00C12B06"/>
    <w:rsid w:val="00C13037"/>
    <w:rsid w:val="00C13B5F"/>
    <w:rsid w:val="00C1475F"/>
    <w:rsid w:val="00C14EEF"/>
    <w:rsid w:val="00C15BA5"/>
    <w:rsid w:val="00C16DA2"/>
    <w:rsid w:val="00C1719B"/>
    <w:rsid w:val="00C17732"/>
    <w:rsid w:val="00C2002D"/>
    <w:rsid w:val="00C2027C"/>
    <w:rsid w:val="00C2028A"/>
    <w:rsid w:val="00C21141"/>
    <w:rsid w:val="00C21916"/>
    <w:rsid w:val="00C21A56"/>
    <w:rsid w:val="00C22524"/>
    <w:rsid w:val="00C22E7B"/>
    <w:rsid w:val="00C23669"/>
    <w:rsid w:val="00C23790"/>
    <w:rsid w:val="00C23BF7"/>
    <w:rsid w:val="00C2757A"/>
    <w:rsid w:val="00C275BF"/>
    <w:rsid w:val="00C30A91"/>
    <w:rsid w:val="00C30DF9"/>
    <w:rsid w:val="00C3180C"/>
    <w:rsid w:val="00C3183E"/>
    <w:rsid w:val="00C32A4A"/>
    <w:rsid w:val="00C33F8F"/>
    <w:rsid w:val="00C34412"/>
    <w:rsid w:val="00C40108"/>
    <w:rsid w:val="00C4061B"/>
    <w:rsid w:val="00C4071B"/>
    <w:rsid w:val="00C407F8"/>
    <w:rsid w:val="00C40FCD"/>
    <w:rsid w:val="00C41228"/>
    <w:rsid w:val="00C418A0"/>
    <w:rsid w:val="00C428F5"/>
    <w:rsid w:val="00C43AA7"/>
    <w:rsid w:val="00C44CF8"/>
    <w:rsid w:val="00C45A6A"/>
    <w:rsid w:val="00C47491"/>
    <w:rsid w:val="00C50FBB"/>
    <w:rsid w:val="00C53741"/>
    <w:rsid w:val="00C57418"/>
    <w:rsid w:val="00C578D7"/>
    <w:rsid w:val="00C6024F"/>
    <w:rsid w:val="00C60DE7"/>
    <w:rsid w:val="00C62E89"/>
    <w:rsid w:val="00C647A5"/>
    <w:rsid w:val="00C658F6"/>
    <w:rsid w:val="00C6741E"/>
    <w:rsid w:val="00C6754E"/>
    <w:rsid w:val="00C678FA"/>
    <w:rsid w:val="00C7047A"/>
    <w:rsid w:val="00C70CAE"/>
    <w:rsid w:val="00C72CBD"/>
    <w:rsid w:val="00C72DF4"/>
    <w:rsid w:val="00C73563"/>
    <w:rsid w:val="00C75CBF"/>
    <w:rsid w:val="00C761AD"/>
    <w:rsid w:val="00C76318"/>
    <w:rsid w:val="00C765D0"/>
    <w:rsid w:val="00C76B7F"/>
    <w:rsid w:val="00C76C67"/>
    <w:rsid w:val="00C76F40"/>
    <w:rsid w:val="00C800C5"/>
    <w:rsid w:val="00C80994"/>
    <w:rsid w:val="00C80AFF"/>
    <w:rsid w:val="00C813E4"/>
    <w:rsid w:val="00C81BF2"/>
    <w:rsid w:val="00C82333"/>
    <w:rsid w:val="00C82850"/>
    <w:rsid w:val="00C83BBE"/>
    <w:rsid w:val="00C851B8"/>
    <w:rsid w:val="00C8535C"/>
    <w:rsid w:val="00C855EE"/>
    <w:rsid w:val="00C85B93"/>
    <w:rsid w:val="00C873F9"/>
    <w:rsid w:val="00C90066"/>
    <w:rsid w:val="00C9183C"/>
    <w:rsid w:val="00C9356E"/>
    <w:rsid w:val="00C93679"/>
    <w:rsid w:val="00C93704"/>
    <w:rsid w:val="00C952D5"/>
    <w:rsid w:val="00C960E3"/>
    <w:rsid w:val="00C979DA"/>
    <w:rsid w:val="00CA011B"/>
    <w:rsid w:val="00CA2D4E"/>
    <w:rsid w:val="00CA389E"/>
    <w:rsid w:val="00CA4BFC"/>
    <w:rsid w:val="00CA5B94"/>
    <w:rsid w:val="00CA5FD8"/>
    <w:rsid w:val="00CA7C91"/>
    <w:rsid w:val="00CB07D4"/>
    <w:rsid w:val="00CB0B0E"/>
    <w:rsid w:val="00CB26D8"/>
    <w:rsid w:val="00CB2EA4"/>
    <w:rsid w:val="00CB3BD6"/>
    <w:rsid w:val="00CB4E2A"/>
    <w:rsid w:val="00CB5EBF"/>
    <w:rsid w:val="00CC0B01"/>
    <w:rsid w:val="00CC29BB"/>
    <w:rsid w:val="00CC34C4"/>
    <w:rsid w:val="00CC3744"/>
    <w:rsid w:val="00CC3F74"/>
    <w:rsid w:val="00CC40E4"/>
    <w:rsid w:val="00CC52C2"/>
    <w:rsid w:val="00CC565B"/>
    <w:rsid w:val="00CC573B"/>
    <w:rsid w:val="00CC620C"/>
    <w:rsid w:val="00CC730D"/>
    <w:rsid w:val="00CD3481"/>
    <w:rsid w:val="00CD51FA"/>
    <w:rsid w:val="00CD5C25"/>
    <w:rsid w:val="00CE143A"/>
    <w:rsid w:val="00CE175A"/>
    <w:rsid w:val="00CE27AE"/>
    <w:rsid w:val="00CE2F36"/>
    <w:rsid w:val="00CE32EC"/>
    <w:rsid w:val="00CE3F9F"/>
    <w:rsid w:val="00CE4AFD"/>
    <w:rsid w:val="00CE50A4"/>
    <w:rsid w:val="00CE666E"/>
    <w:rsid w:val="00CE6B37"/>
    <w:rsid w:val="00CE6D77"/>
    <w:rsid w:val="00CE7208"/>
    <w:rsid w:val="00CE7B55"/>
    <w:rsid w:val="00CF0441"/>
    <w:rsid w:val="00CF051D"/>
    <w:rsid w:val="00CF3024"/>
    <w:rsid w:val="00CF3B8A"/>
    <w:rsid w:val="00CF3FED"/>
    <w:rsid w:val="00CF450C"/>
    <w:rsid w:val="00CF4AAD"/>
    <w:rsid w:val="00CF5519"/>
    <w:rsid w:val="00CF63EC"/>
    <w:rsid w:val="00CF653E"/>
    <w:rsid w:val="00CF74A3"/>
    <w:rsid w:val="00D00113"/>
    <w:rsid w:val="00D014D1"/>
    <w:rsid w:val="00D01A91"/>
    <w:rsid w:val="00D01CE4"/>
    <w:rsid w:val="00D02AFF"/>
    <w:rsid w:val="00D03335"/>
    <w:rsid w:val="00D03690"/>
    <w:rsid w:val="00D03D7F"/>
    <w:rsid w:val="00D057E6"/>
    <w:rsid w:val="00D05926"/>
    <w:rsid w:val="00D05D5B"/>
    <w:rsid w:val="00D06544"/>
    <w:rsid w:val="00D06C0D"/>
    <w:rsid w:val="00D07F2E"/>
    <w:rsid w:val="00D10CA7"/>
    <w:rsid w:val="00D13D17"/>
    <w:rsid w:val="00D15DEA"/>
    <w:rsid w:val="00D16307"/>
    <w:rsid w:val="00D16B7F"/>
    <w:rsid w:val="00D17205"/>
    <w:rsid w:val="00D17CC2"/>
    <w:rsid w:val="00D2020A"/>
    <w:rsid w:val="00D21C42"/>
    <w:rsid w:val="00D23E31"/>
    <w:rsid w:val="00D24A6D"/>
    <w:rsid w:val="00D2779D"/>
    <w:rsid w:val="00D27A61"/>
    <w:rsid w:val="00D33606"/>
    <w:rsid w:val="00D33E4A"/>
    <w:rsid w:val="00D36005"/>
    <w:rsid w:val="00D4043A"/>
    <w:rsid w:val="00D40906"/>
    <w:rsid w:val="00D41A6F"/>
    <w:rsid w:val="00D439D2"/>
    <w:rsid w:val="00D43EB5"/>
    <w:rsid w:val="00D4441A"/>
    <w:rsid w:val="00D4477D"/>
    <w:rsid w:val="00D507A8"/>
    <w:rsid w:val="00D515C5"/>
    <w:rsid w:val="00D519A2"/>
    <w:rsid w:val="00D51C3A"/>
    <w:rsid w:val="00D52472"/>
    <w:rsid w:val="00D5252E"/>
    <w:rsid w:val="00D541C8"/>
    <w:rsid w:val="00D558BC"/>
    <w:rsid w:val="00D56C14"/>
    <w:rsid w:val="00D6452D"/>
    <w:rsid w:val="00D64562"/>
    <w:rsid w:val="00D65492"/>
    <w:rsid w:val="00D71AD2"/>
    <w:rsid w:val="00D71EFE"/>
    <w:rsid w:val="00D754DC"/>
    <w:rsid w:val="00D75C00"/>
    <w:rsid w:val="00D75FDD"/>
    <w:rsid w:val="00D7664D"/>
    <w:rsid w:val="00D76F9C"/>
    <w:rsid w:val="00D80B06"/>
    <w:rsid w:val="00D80EC2"/>
    <w:rsid w:val="00D81348"/>
    <w:rsid w:val="00D829BB"/>
    <w:rsid w:val="00D832B4"/>
    <w:rsid w:val="00D83875"/>
    <w:rsid w:val="00D87069"/>
    <w:rsid w:val="00D87535"/>
    <w:rsid w:val="00D8755A"/>
    <w:rsid w:val="00D8788C"/>
    <w:rsid w:val="00D903B0"/>
    <w:rsid w:val="00D91840"/>
    <w:rsid w:val="00D92F2D"/>
    <w:rsid w:val="00D957BC"/>
    <w:rsid w:val="00D9590D"/>
    <w:rsid w:val="00D95E2B"/>
    <w:rsid w:val="00D960CE"/>
    <w:rsid w:val="00DA1F4B"/>
    <w:rsid w:val="00DA2B18"/>
    <w:rsid w:val="00DA5E41"/>
    <w:rsid w:val="00DA6DCB"/>
    <w:rsid w:val="00DB3D29"/>
    <w:rsid w:val="00DB530A"/>
    <w:rsid w:val="00DB6159"/>
    <w:rsid w:val="00DB6E60"/>
    <w:rsid w:val="00DB7F79"/>
    <w:rsid w:val="00DC18B2"/>
    <w:rsid w:val="00DC2107"/>
    <w:rsid w:val="00DC234F"/>
    <w:rsid w:val="00DC3FE2"/>
    <w:rsid w:val="00DC7B71"/>
    <w:rsid w:val="00DD0EAB"/>
    <w:rsid w:val="00DD211B"/>
    <w:rsid w:val="00DD3593"/>
    <w:rsid w:val="00DD3CC9"/>
    <w:rsid w:val="00DD5855"/>
    <w:rsid w:val="00DD6041"/>
    <w:rsid w:val="00DD6852"/>
    <w:rsid w:val="00DD6EDA"/>
    <w:rsid w:val="00DD79FE"/>
    <w:rsid w:val="00DE2681"/>
    <w:rsid w:val="00DE3249"/>
    <w:rsid w:val="00DE36C2"/>
    <w:rsid w:val="00DE4D5F"/>
    <w:rsid w:val="00DE50F9"/>
    <w:rsid w:val="00DE7650"/>
    <w:rsid w:val="00DE797D"/>
    <w:rsid w:val="00DF0815"/>
    <w:rsid w:val="00DF4107"/>
    <w:rsid w:val="00DF422F"/>
    <w:rsid w:val="00DF4F84"/>
    <w:rsid w:val="00E00521"/>
    <w:rsid w:val="00E01259"/>
    <w:rsid w:val="00E012DD"/>
    <w:rsid w:val="00E01A9E"/>
    <w:rsid w:val="00E01C47"/>
    <w:rsid w:val="00E022D3"/>
    <w:rsid w:val="00E022FF"/>
    <w:rsid w:val="00E034A8"/>
    <w:rsid w:val="00E04736"/>
    <w:rsid w:val="00E05B24"/>
    <w:rsid w:val="00E071C8"/>
    <w:rsid w:val="00E07FE3"/>
    <w:rsid w:val="00E113ED"/>
    <w:rsid w:val="00E12774"/>
    <w:rsid w:val="00E133E9"/>
    <w:rsid w:val="00E14EC1"/>
    <w:rsid w:val="00E15AA2"/>
    <w:rsid w:val="00E1643D"/>
    <w:rsid w:val="00E1752D"/>
    <w:rsid w:val="00E1785F"/>
    <w:rsid w:val="00E17ABF"/>
    <w:rsid w:val="00E20450"/>
    <w:rsid w:val="00E23715"/>
    <w:rsid w:val="00E25972"/>
    <w:rsid w:val="00E25FF7"/>
    <w:rsid w:val="00E2679B"/>
    <w:rsid w:val="00E27647"/>
    <w:rsid w:val="00E30AFF"/>
    <w:rsid w:val="00E3247A"/>
    <w:rsid w:val="00E3393C"/>
    <w:rsid w:val="00E339CC"/>
    <w:rsid w:val="00E33F87"/>
    <w:rsid w:val="00E36094"/>
    <w:rsid w:val="00E4086B"/>
    <w:rsid w:val="00E4120C"/>
    <w:rsid w:val="00E4157B"/>
    <w:rsid w:val="00E4168C"/>
    <w:rsid w:val="00E41956"/>
    <w:rsid w:val="00E41BD9"/>
    <w:rsid w:val="00E41EEF"/>
    <w:rsid w:val="00E42234"/>
    <w:rsid w:val="00E4227B"/>
    <w:rsid w:val="00E441F0"/>
    <w:rsid w:val="00E44304"/>
    <w:rsid w:val="00E50211"/>
    <w:rsid w:val="00E519FB"/>
    <w:rsid w:val="00E51B3F"/>
    <w:rsid w:val="00E520FA"/>
    <w:rsid w:val="00E52743"/>
    <w:rsid w:val="00E52A6E"/>
    <w:rsid w:val="00E53D4A"/>
    <w:rsid w:val="00E54E11"/>
    <w:rsid w:val="00E60EB2"/>
    <w:rsid w:val="00E615D8"/>
    <w:rsid w:val="00E617E5"/>
    <w:rsid w:val="00E62F83"/>
    <w:rsid w:val="00E63708"/>
    <w:rsid w:val="00E63940"/>
    <w:rsid w:val="00E63AF9"/>
    <w:rsid w:val="00E668F8"/>
    <w:rsid w:val="00E66E58"/>
    <w:rsid w:val="00E709AD"/>
    <w:rsid w:val="00E72148"/>
    <w:rsid w:val="00E73ECB"/>
    <w:rsid w:val="00E74155"/>
    <w:rsid w:val="00E7483C"/>
    <w:rsid w:val="00E75456"/>
    <w:rsid w:val="00E7610A"/>
    <w:rsid w:val="00E765CA"/>
    <w:rsid w:val="00E76EF1"/>
    <w:rsid w:val="00E8030E"/>
    <w:rsid w:val="00E822CB"/>
    <w:rsid w:val="00E8316D"/>
    <w:rsid w:val="00E832EE"/>
    <w:rsid w:val="00E8386B"/>
    <w:rsid w:val="00E85005"/>
    <w:rsid w:val="00E9092D"/>
    <w:rsid w:val="00E91D54"/>
    <w:rsid w:val="00E9279F"/>
    <w:rsid w:val="00E92AD8"/>
    <w:rsid w:val="00E94384"/>
    <w:rsid w:val="00E9481A"/>
    <w:rsid w:val="00E951A4"/>
    <w:rsid w:val="00E95A0B"/>
    <w:rsid w:val="00E96782"/>
    <w:rsid w:val="00E975B7"/>
    <w:rsid w:val="00EA10B5"/>
    <w:rsid w:val="00EA1D78"/>
    <w:rsid w:val="00EA3914"/>
    <w:rsid w:val="00EA463A"/>
    <w:rsid w:val="00EA5E02"/>
    <w:rsid w:val="00EA6105"/>
    <w:rsid w:val="00EA685E"/>
    <w:rsid w:val="00EA6DCB"/>
    <w:rsid w:val="00EA7DBB"/>
    <w:rsid w:val="00EB08CB"/>
    <w:rsid w:val="00EB1AC4"/>
    <w:rsid w:val="00EB1B99"/>
    <w:rsid w:val="00EB1DD9"/>
    <w:rsid w:val="00EB1E8B"/>
    <w:rsid w:val="00EB2082"/>
    <w:rsid w:val="00EB28D2"/>
    <w:rsid w:val="00EB2AB5"/>
    <w:rsid w:val="00EB30BE"/>
    <w:rsid w:val="00EB30D8"/>
    <w:rsid w:val="00EB432C"/>
    <w:rsid w:val="00EB5471"/>
    <w:rsid w:val="00EB5981"/>
    <w:rsid w:val="00EB5A71"/>
    <w:rsid w:val="00EB5ACE"/>
    <w:rsid w:val="00EB718A"/>
    <w:rsid w:val="00EB7680"/>
    <w:rsid w:val="00EB78A4"/>
    <w:rsid w:val="00EC06A7"/>
    <w:rsid w:val="00EC1818"/>
    <w:rsid w:val="00EC1927"/>
    <w:rsid w:val="00EC30E1"/>
    <w:rsid w:val="00EC577F"/>
    <w:rsid w:val="00EC5E3D"/>
    <w:rsid w:val="00EC6537"/>
    <w:rsid w:val="00EC655A"/>
    <w:rsid w:val="00EC6D90"/>
    <w:rsid w:val="00EC6EC6"/>
    <w:rsid w:val="00EC748E"/>
    <w:rsid w:val="00EC79C0"/>
    <w:rsid w:val="00EC7A17"/>
    <w:rsid w:val="00ED06F9"/>
    <w:rsid w:val="00ED25E9"/>
    <w:rsid w:val="00ED3063"/>
    <w:rsid w:val="00ED390C"/>
    <w:rsid w:val="00ED4C3B"/>
    <w:rsid w:val="00ED6C57"/>
    <w:rsid w:val="00EE015A"/>
    <w:rsid w:val="00EE0166"/>
    <w:rsid w:val="00EE2094"/>
    <w:rsid w:val="00EE2519"/>
    <w:rsid w:val="00EE2BE9"/>
    <w:rsid w:val="00EE31F5"/>
    <w:rsid w:val="00EE4489"/>
    <w:rsid w:val="00EE65C4"/>
    <w:rsid w:val="00EE73F5"/>
    <w:rsid w:val="00EF0569"/>
    <w:rsid w:val="00EF0DD6"/>
    <w:rsid w:val="00EF0FA8"/>
    <w:rsid w:val="00EF304D"/>
    <w:rsid w:val="00EF39A8"/>
    <w:rsid w:val="00EF5318"/>
    <w:rsid w:val="00EF540B"/>
    <w:rsid w:val="00EF5C67"/>
    <w:rsid w:val="00EF618E"/>
    <w:rsid w:val="00EF78DE"/>
    <w:rsid w:val="00F00850"/>
    <w:rsid w:val="00F01349"/>
    <w:rsid w:val="00F02200"/>
    <w:rsid w:val="00F0220F"/>
    <w:rsid w:val="00F022A5"/>
    <w:rsid w:val="00F04E23"/>
    <w:rsid w:val="00F04FC2"/>
    <w:rsid w:val="00F05C15"/>
    <w:rsid w:val="00F05E13"/>
    <w:rsid w:val="00F060FE"/>
    <w:rsid w:val="00F06410"/>
    <w:rsid w:val="00F06D89"/>
    <w:rsid w:val="00F077D6"/>
    <w:rsid w:val="00F1167C"/>
    <w:rsid w:val="00F11716"/>
    <w:rsid w:val="00F11739"/>
    <w:rsid w:val="00F11750"/>
    <w:rsid w:val="00F11F13"/>
    <w:rsid w:val="00F124BE"/>
    <w:rsid w:val="00F146D8"/>
    <w:rsid w:val="00F15DF3"/>
    <w:rsid w:val="00F16962"/>
    <w:rsid w:val="00F16B8C"/>
    <w:rsid w:val="00F17B83"/>
    <w:rsid w:val="00F17F79"/>
    <w:rsid w:val="00F20458"/>
    <w:rsid w:val="00F24E3F"/>
    <w:rsid w:val="00F25E60"/>
    <w:rsid w:val="00F277E0"/>
    <w:rsid w:val="00F300BF"/>
    <w:rsid w:val="00F3136F"/>
    <w:rsid w:val="00F3368F"/>
    <w:rsid w:val="00F3496F"/>
    <w:rsid w:val="00F35BB1"/>
    <w:rsid w:val="00F400F2"/>
    <w:rsid w:val="00F4054D"/>
    <w:rsid w:val="00F40EE3"/>
    <w:rsid w:val="00F43445"/>
    <w:rsid w:val="00F444A4"/>
    <w:rsid w:val="00F46ACB"/>
    <w:rsid w:val="00F46BBC"/>
    <w:rsid w:val="00F478B6"/>
    <w:rsid w:val="00F524B7"/>
    <w:rsid w:val="00F52F6B"/>
    <w:rsid w:val="00F5313D"/>
    <w:rsid w:val="00F53275"/>
    <w:rsid w:val="00F5527F"/>
    <w:rsid w:val="00F5699A"/>
    <w:rsid w:val="00F56EDD"/>
    <w:rsid w:val="00F574F5"/>
    <w:rsid w:val="00F62759"/>
    <w:rsid w:val="00F63420"/>
    <w:rsid w:val="00F63433"/>
    <w:rsid w:val="00F64891"/>
    <w:rsid w:val="00F65326"/>
    <w:rsid w:val="00F657C7"/>
    <w:rsid w:val="00F66289"/>
    <w:rsid w:val="00F66C9A"/>
    <w:rsid w:val="00F70425"/>
    <w:rsid w:val="00F704F9"/>
    <w:rsid w:val="00F70972"/>
    <w:rsid w:val="00F70A29"/>
    <w:rsid w:val="00F70E3E"/>
    <w:rsid w:val="00F71D43"/>
    <w:rsid w:val="00F7435E"/>
    <w:rsid w:val="00F744A0"/>
    <w:rsid w:val="00F749B4"/>
    <w:rsid w:val="00F7562E"/>
    <w:rsid w:val="00F76876"/>
    <w:rsid w:val="00F80DE0"/>
    <w:rsid w:val="00F81970"/>
    <w:rsid w:val="00F82F83"/>
    <w:rsid w:val="00F83BFE"/>
    <w:rsid w:val="00F8462D"/>
    <w:rsid w:val="00F857E7"/>
    <w:rsid w:val="00F86804"/>
    <w:rsid w:val="00F91B5C"/>
    <w:rsid w:val="00F93DD4"/>
    <w:rsid w:val="00F9401C"/>
    <w:rsid w:val="00F97F38"/>
    <w:rsid w:val="00FA1E4D"/>
    <w:rsid w:val="00FA3055"/>
    <w:rsid w:val="00FA3DD6"/>
    <w:rsid w:val="00FA4F97"/>
    <w:rsid w:val="00FA5543"/>
    <w:rsid w:val="00FA66A0"/>
    <w:rsid w:val="00FA7F39"/>
    <w:rsid w:val="00FB15A3"/>
    <w:rsid w:val="00FB16F4"/>
    <w:rsid w:val="00FB53E0"/>
    <w:rsid w:val="00FC0099"/>
    <w:rsid w:val="00FC24F7"/>
    <w:rsid w:val="00FC33CB"/>
    <w:rsid w:val="00FC39C8"/>
    <w:rsid w:val="00FC3EE8"/>
    <w:rsid w:val="00FC47ED"/>
    <w:rsid w:val="00FC4BD9"/>
    <w:rsid w:val="00FC5D7D"/>
    <w:rsid w:val="00FD1A87"/>
    <w:rsid w:val="00FD3D32"/>
    <w:rsid w:val="00FD4558"/>
    <w:rsid w:val="00FD4BBD"/>
    <w:rsid w:val="00FD7B0B"/>
    <w:rsid w:val="00FE0038"/>
    <w:rsid w:val="00FE1A72"/>
    <w:rsid w:val="00FE3674"/>
    <w:rsid w:val="00FE4B0F"/>
    <w:rsid w:val="00FE5D29"/>
    <w:rsid w:val="00FE6AED"/>
    <w:rsid w:val="00FE7167"/>
    <w:rsid w:val="00FE7F1D"/>
    <w:rsid w:val="00FF226C"/>
    <w:rsid w:val="00FF31FA"/>
    <w:rsid w:val="00FF3D57"/>
    <w:rsid w:val="00FF530F"/>
    <w:rsid w:val="00FF5A6A"/>
    <w:rsid w:val="00FF6DF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A61F5"/>
  <w15:docId w15:val="{39B3CE07-E8D9-4F02-9853-FC5DA5DB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1F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173D26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73D26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semiHidden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Frstaraden">
    <w:name w:val="Första raden"/>
    <w:basedOn w:val="Normal"/>
    <w:link w:val="FrstaradenChar"/>
    <w:qFormat/>
    <w:rsid w:val="00316AC7"/>
    <w:pPr>
      <w:spacing w:before="480"/>
    </w:pPr>
  </w:style>
  <w:style w:type="character" w:customStyle="1" w:styleId="FrstaradenChar">
    <w:name w:val="Första raden Char"/>
    <w:basedOn w:val="DefaultParagraphFont"/>
    <w:link w:val="Frstaraden"/>
    <w:rsid w:val="00316AC7"/>
  </w:style>
  <w:style w:type="paragraph" w:customStyle="1" w:styleId="Paragraf">
    <w:name w:val="Paragraf"/>
    <w:basedOn w:val="Normal"/>
    <w:link w:val="ParagrafChar"/>
    <w:qFormat/>
    <w:rsid w:val="003A62CC"/>
    <w:pPr>
      <w:spacing w:before="480"/>
    </w:pPr>
  </w:style>
  <w:style w:type="character" w:customStyle="1" w:styleId="ParagrafChar">
    <w:name w:val="Paragraf Char"/>
    <w:basedOn w:val="DefaultParagraphFont"/>
    <w:link w:val="Paragraf"/>
    <w:rsid w:val="003A62CC"/>
  </w:style>
  <w:style w:type="paragraph" w:customStyle="1" w:styleId="Paragraftext">
    <w:name w:val="Paragraftext"/>
    <w:basedOn w:val="Paragraf"/>
    <w:link w:val="ParagraftextChar"/>
    <w:qFormat/>
    <w:rsid w:val="0025770E"/>
    <w:pPr>
      <w:spacing w:before="0"/>
    </w:pPr>
  </w:style>
  <w:style w:type="character" w:customStyle="1" w:styleId="ParagraftextChar">
    <w:name w:val="Paragraftext Char"/>
    <w:basedOn w:val="ParagrafChar"/>
    <w:link w:val="Paragraftext"/>
    <w:rsid w:val="0025770E"/>
  </w:style>
  <w:style w:type="paragraph" w:styleId="Revision">
    <w:name w:val="Revision"/>
    <w:hidden/>
    <w:uiPriority w:val="99"/>
    <w:semiHidden/>
    <w:rsid w:val="0028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DDC16C7CD3456DAD4B0F2A54FB2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7B037-2E4A-49C1-908E-64CA57501456}"/>
      </w:docPartPr>
      <w:docPartBody>
        <w:p w:rsidR="005178B7" w:rsidRDefault="005178B7">
          <w:pPr>
            <w:pStyle w:val="F0DDC16C7CD3456DAD4B0F2A54FB2470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96B5116DFE6B475EAC792A7CB9273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B6F0B-FE40-4904-8A7F-C05AD9AC284E}"/>
      </w:docPartPr>
      <w:docPartBody>
        <w:p w:rsidR="005178B7" w:rsidRDefault="005178B7">
          <w:pPr>
            <w:pStyle w:val="96B5116DFE6B475EAC792A7CB927349A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16B5F8ADD4EE4E66813DAF7B1757D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C9503-BE07-421E-94F7-ACC2FB2FF28A}"/>
      </w:docPartPr>
      <w:docPartBody>
        <w:p w:rsidR="005178B7" w:rsidRDefault="005178B7">
          <w:r>
            <w:rPr>
              <w:rStyle w:val="Placeholder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B7"/>
    <w:rsid w:val="000177BE"/>
    <w:rsid w:val="000211B9"/>
    <w:rsid w:val="00025CA5"/>
    <w:rsid w:val="000504BB"/>
    <w:rsid w:val="0007140C"/>
    <w:rsid w:val="00077C20"/>
    <w:rsid w:val="00083AA9"/>
    <w:rsid w:val="000B4FEA"/>
    <w:rsid w:val="00155060"/>
    <w:rsid w:val="001601B3"/>
    <w:rsid w:val="001637DC"/>
    <w:rsid w:val="001917C7"/>
    <w:rsid w:val="001A51C3"/>
    <w:rsid w:val="001B1605"/>
    <w:rsid w:val="001B1CA2"/>
    <w:rsid w:val="001C2F4C"/>
    <w:rsid w:val="001C632E"/>
    <w:rsid w:val="001E0B7C"/>
    <w:rsid w:val="001E1907"/>
    <w:rsid w:val="001E61CA"/>
    <w:rsid w:val="001E681F"/>
    <w:rsid w:val="001F1378"/>
    <w:rsid w:val="002055A6"/>
    <w:rsid w:val="00213F05"/>
    <w:rsid w:val="0024135F"/>
    <w:rsid w:val="002578E0"/>
    <w:rsid w:val="00274775"/>
    <w:rsid w:val="00283460"/>
    <w:rsid w:val="002A25B6"/>
    <w:rsid w:val="002A7B93"/>
    <w:rsid w:val="002C7168"/>
    <w:rsid w:val="002D5FAD"/>
    <w:rsid w:val="003210CF"/>
    <w:rsid w:val="00391E26"/>
    <w:rsid w:val="003927B9"/>
    <w:rsid w:val="003B363B"/>
    <w:rsid w:val="003D77CA"/>
    <w:rsid w:val="003D7ED5"/>
    <w:rsid w:val="003F1A4D"/>
    <w:rsid w:val="003F1BBA"/>
    <w:rsid w:val="00435F56"/>
    <w:rsid w:val="00453277"/>
    <w:rsid w:val="004870A9"/>
    <w:rsid w:val="004923C6"/>
    <w:rsid w:val="004B3581"/>
    <w:rsid w:val="004C11C7"/>
    <w:rsid w:val="004C4F08"/>
    <w:rsid w:val="004E55DB"/>
    <w:rsid w:val="005049DB"/>
    <w:rsid w:val="005178B7"/>
    <w:rsid w:val="00544CA9"/>
    <w:rsid w:val="00575A84"/>
    <w:rsid w:val="005B35C2"/>
    <w:rsid w:val="005D51F6"/>
    <w:rsid w:val="005D5EB0"/>
    <w:rsid w:val="00652C03"/>
    <w:rsid w:val="006556CC"/>
    <w:rsid w:val="0065698F"/>
    <w:rsid w:val="00674F4F"/>
    <w:rsid w:val="00675FA3"/>
    <w:rsid w:val="00692E87"/>
    <w:rsid w:val="00696CD0"/>
    <w:rsid w:val="006E039C"/>
    <w:rsid w:val="00716A0F"/>
    <w:rsid w:val="0072692D"/>
    <w:rsid w:val="00745B37"/>
    <w:rsid w:val="00747CE3"/>
    <w:rsid w:val="00752BD9"/>
    <w:rsid w:val="0076494C"/>
    <w:rsid w:val="007747D4"/>
    <w:rsid w:val="007A3F27"/>
    <w:rsid w:val="007A4D31"/>
    <w:rsid w:val="007C10CC"/>
    <w:rsid w:val="007C33A3"/>
    <w:rsid w:val="007D40DC"/>
    <w:rsid w:val="007D5E67"/>
    <w:rsid w:val="007E7A80"/>
    <w:rsid w:val="00815DAB"/>
    <w:rsid w:val="00835581"/>
    <w:rsid w:val="0087001B"/>
    <w:rsid w:val="008F4A01"/>
    <w:rsid w:val="00901B14"/>
    <w:rsid w:val="00923427"/>
    <w:rsid w:val="009847ED"/>
    <w:rsid w:val="009B0F05"/>
    <w:rsid w:val="009B4EA6"/>
    <w:rsid w:val="009B6CD5"/>
    <w:rsid w:val="009C167B"/>
    <w:rsid w:val="009C214B"/>
    <w:rsid w:val="009F0252"/>
    <w:rsid w:val="00A2646E"/>
    <w:rsid w:val="00A36C10"/>
    <w:rsid w:val="00A45813"/>
    <w:rsid w:val="00A51EC6"/>
    <w:rsid w:val="00A53DF0"/>
    <w:rsid w:val="00A560CA"/>
    <w:rsid w:val="00AB027E"/>
    <w:rsid w:val="00AB08F4"/>
    <w:rsid w:val="00AB14D1"/>
    <w:rsid w:val="00B10B61"/>
    <w:rsid w:val="00B212DA"/>
    <w:rsid w:val="00B563A8"/>
    <w:rsid w:val="00B60AB2"/>
    <w:rsid w:val="00C119D3"/>
    <w:rsid w:val="00C342AE"/>
    <w:rsid w:val="00C40006"/>
    <w:rsid w:val="00CD0D3B"/>
    <w:rsid w:val="00CD470C"/>
    <w:rsid w:val="00CF242F"/>
    <w:rsid w:val="00D2106A"/>
    <w:rsid w:val="00D42996"/>
    <w:rsid w:val="00D63DC1"/>
    <w:rsid w:val="00DA012D"/>
    <w:rsid w:val="00DB11EB"/>
    <w:rsid w:val="00DC6FE3"/>
    <w:rsid w:val="00DF5C20"/>
    <w:rsid w:val="00E0138E"/>
    <w:rsid w:val="00E07222"/>
    <w:rsid w:val="00E34337"/>
    <w:rsid w:val="00E9126B"/>
    <w:rsid w:val="00EA6335"/>
    <w:rsid w:val="00EA7EBC"/>
    <w:rsid w:val="00ED70BE"/>
    <w:rsid w:val="00EF7121"/>
    <w:rsid w:val="00F00708"/>
    <w:rsid w:val="00F00FBB"/>
    <w:rsid w:val="00F16DC6"/>
    <w:rsid w:val="00F450EF"/>
    <w:rsid w:val="00F70603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C03"/>
    <w:rPr>
      <w:color w:val="C00000"/>
    </w:rPr>
  </w:style>
  <w:style w:type="paragraph" w:customStyle="1" w:styleId="F0DDC16C7CD3456DAD4B0F2A54FB2470">
    <w:name w:val="F0DDC16C7CD3456DAD4B0F2A54FB2470"/>
  </w:style>
  <w:style w:type="paragraph" w:customStyle="1" w:styleId="96B5116DFE6B475EAC792A7CB927349A">
    <w:name w:val="96B5116DFE6B475EAC792A7CB9273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FC4B-A347-4B9C-8679-67A34D36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6810</Words>
  <Characters>38818</Characters>
  <Application>Microsoft Office Word</Application>
  <DocSecurity>0</DocSecurity>
  <Lines>323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dricksvatten</vt:lpstr>
    </vt:vector>
  </TitlesOfParts>
  <Company>Livsmedelsverket</Company>
  <LinksUpToDate>false</LinksUpToDate>
  <CharactersWithSpaces>45537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Předpisy Švédské potravinářské agentury týkající se vody určené k lidské spotřebě;</dc:title>
  <dc:subject/>
  <dc:creator>Krantz Caroline SUS_JU</dc:creator>
  <cp:keywords>2022:12</cp:keywords>
  <dc:description/>
  <cp:lastModifiedBy>Dimitris Dimitriadis</cp:lastModifiedBy>
  <cp:revision>4</cp:revision>
  <cp:lastPrinted>2022-03-23T10:14:00Z</cp:lastPrinted>
  <dcterms:created xsi:type="dcterms:W3CDTF">2023-01-09T12:09:00Z</dcterms:created>
  <dcterms:modified xsi:type="dcterms:W3CDTF">2023-01-10T09:23:00Z</dcterms:modified>
</cp:coreProperties>
</file>