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27836" w14:textId="77777777" w:rsidR="001D6E66" w:rsidRPr="00A87CD2" w:rsidRDefault="001D6E66" w:rsidP="001D6E66">
      <w:pPr>
        <w:spacing w:after="0" w:line="240" w:lineRule="auto"/>
        <w:jc w:val="center"/>
        <w:rPr>
          <w:rFonts w:ascii="Times New Roman" w:eastAsia="Times New Roman" w:hAnsi="Times New Roman" w:cs="Times New Roman"/>
          <w:b/>
          <w:sz w:val="28"/>
          <w:szCs w:val="28"/>
        </w:rPr>
      </w:pPr>
      <w:r>
        <w:rPr>
          <w:rFonts w:ascii="Times New Roman" w:hAnsi="Times New Roman"/>
          <w:b/>
          <w:sz w:val="28"/>
        </w:rPr>
        <w:t>Dekret nr.../2022 z dnia... ... w sprawie</w:t>
      </w:r>
    </w:p>
    <w:p w14:paraId="779AB31D" w14:textId="77777777" w:rsidR="00776125" w:rsidRPr="00776125" w:rsidRDefault="00776125" w:rsidP="00776125">
      <w:pPr>
        <w:spacing w:after="0" w:line="240" w:lineRule="auto"/>
        <w:jc w:val="center"/>
        <w:rPr>
          <w:rFonts w:ascii="Times New Roman" w:eastAsia="Times New Roman" w:hAnsi="Times New Roman" w:cs="Times New Roman"/>
          <w:b/>
          <w:sz w:val="28"/>
          <w:szCs w:val="28"/>
        </w:rPr>
      </w:pPr>
      <w:r>
        <w:rPr>
          <w:rFonts w:ascii="Times New Roman" w:hAnsi="Times New Roman"/>
          <w:b/>
          <w:sz w:val="28"/>
        </w:rPr>
        <w:t xml:space="preserve">dodatkowego podatku od dochodu </w:t>
      </w:r>
    </w:p>
    <w:p w14:paraId="04D65759" w14:textId="77777777" w:rsidR="000450C1" w:rsidRDefault="000450C1"/>
    <w:p w14:paraId="2DE1B5E5" w14:textId="77777777" w:rsidR="001D6E66" w:rsidRDefault="001D6E66"/>
    <w:p w14:paraId="470BCD62" w14:textId="77777777" w:rsidR="001D6E66" w:rsidRDefault="001D6E66" w:rsidP="001D6E66">
      <w:pPr>
        <w:pStyle w:val="ListParagraph"/>
        <w:keepNext/>
        <w:numPr>
          <w:ilvl w:val="0"/>
          <w:numId w:val="4"/>
        </w:numPr>
        <w:spacing w:before="240" w:after="0" w:line="240" w:lineRule="auto"/>
        <w:jc w:val="center"/>
        <w:rPr>
          <w:rFonts w:ascii="Times New Roman" w:hAnsi="Times New Roman" w:cs="Times New Roman"/>
          <w:b/>
          <w:bCs/>
          <w:sz w:val="24"/>
          <w:szCs w:val="24"/>
        </w:rPr>
      </w:pPr>
      <w:r>
        <w:rPr>
          <w:rFonts w:ascii="Times New Roman" w:hAnsi="Times New Roman"/>
          <w:b/>
          <w:sz w:val="24"/>
        </w:rPr>
        <w:t xml:space="preserve">Odstępstwo od przepisów ustawy CIII z 2011 r. o podatku od produktów zdrowia publicznego </w:t>
      </w:r>
    </w:p>
    <w:p w14:paraId="2AD31579" w14:textId="77777777" w:rsidR="001D6E66" w:rsidRDefault="001D6E66" w:rsidP="001D6E66">
      <w:pPr>
        <w:keepNext/>
        <w:spacing w:before="240" w:after="0" w:line="240" w:lineRule="auto"/>
        <w:ind w:left="142"/>
        <w:rPr>
          <w:rFonts w:ascii="Times New Roman" w:hAnsi="Times New Roman" w:cs="Times New Roman"/>
          <w:sz w:val="24"/>
          <w:szCs w:val="24"/>
        </w:rPr>
      </w:pPr>
    </w:p>
    <w:p w14:paraId="7EEB99DF" w14:textId="77777777" w:rsidR="001D6E66" w:rsidRPr="001D6E66" w:rsidRDefault="001D6E66" w:rsidP="001D6E66">
      <w:pPr>
        <w:keepNext/>
        <w:spacing w:before="240" w:after="0" w:line="240" w:lineRule="auto"/>
        <w:ind w:left="142"/>
        <w:jc w:val="center"/>
        <w:rPr>
          <w:rFonts w:ascii="Times New Roman" w:hAnsi="Times New Roman" w:cs="Times New Roman"/>
          <w:b/>
          <w:bCs/>
          <w:sz w:val="24"/>
          <w:szCs w:val="24"/>
        </w:rPr>
      </w:pPr>
      <w:r>
        <w:rPr>
          <w:rFonts w:ascii="Times New Roman" w:hAnsi="Times New Roman"/>
          <w:b/>
          <w:sz w:val="24"/>
        </w:rPr>
        <w:t>§ 12</w:t>
      </w:r>
    </w:p>
    <w:p w14:paraId="2F7AF4D4" w14:textId="77777777" w:rsidR="001D6E66" w:rsidRDefault="001D6E66" w:rsidP="001D6E66">
      <w:pPr>
        <w:keepNext/>
        <w:autoSpaceDE w:val="0"/>
        <w:autoSpaceDN w:val="0"/>
        <w:spacing w:before="120" w:after="0" w:line="240" w:lineRule="auto"/>
        <w:ind w:firstLine="426"/>
        <w:jc w:val="both"/>
        <w:rPr>
          <w:rFonts w:ascii="Times New Roman" w:hAnsi="Times New Roman" w:cs="Times New Roman"/>
          <w:sz w:val="24"/>
          <w:szCs w:val="24"/>
        </w:rPr>
      </w:pPr>
    </w:p>
    <w:p w14:paraId="1B0F2363" w14:textId="77777777" w:rsidR="00776125" w:rsidRDefault="00776125" w:rsidP="00776125">
      <w:pPr>
        <w:keepNext/>
        <w:autoSpaceDE w:val="0"/>
        <w:autoSpaceDN w:val="0"/>
        <w:spacing w:before="120" w:after="0" w:line="240" w:lineRule="auto"/>
        <w:ind w:firstLine="426"/>
        <w:jc w:val="both"/>
        <w:rPr>
          <w:rFonts w:ascii="Times New Roman" w:hAnsi="Times New Roman" w:cs="Times New Roman"/>
          <w:sz w:val="24"/>
          <w:szCs w:val="24"/>
        </w:rPr>
      </w:pPr>
      <w:r>
        <w:rPr>
          <w:rFonts w:ascii="Times New Roman" w:hAnsi="Times New Roman"/>
          <w:sz w:val="24"/>
        </w:rPr>
        <w:t>(1) W drodze odstępstwa od § 1 ustawy CIII z 2011 r. o podatku od produktów zdrowia publicznego (zwanej dalej: ustawą Neta), do celów ustawy Neta stosuje się następujące definicje:</w:t>
      </w:r>
    </w:p>
    <w:p w14:paraId="2ECD538C" w14:textId="77777777" w:rsidR="00776125" w:rsidRDefault="00776125" w:rsidP="00776125">
      <w:pPr>
        <w:pStyle w:val="ListParagraph"/>
        <w:numPr>
          <w:ilvl w:val="0"/>
          <w:numId w:val="3"/>
        </w:numPr>
        <w:tabs>
          <w:tab w:val="left" w:pos="567"/>
          <w:tab w:val="left" w:pos="851"/>
        </w:tabs>
        <w:spacing w:before="120" w:after="0" w:line="240" w:lineRule="auto"/>
        <w:ind w:left="142" w:firstLine="425"/>
        <w:contextualSpacing w:val="0"/>
        <w:jc w:val="both"/>
        <w:rPr>
          <w:rFonts w:ascii="Times New Roman" w:hAnsi="Times New Roman" w:cs="Times New Roman"/>
          <w:sz w:val="24"/>
          <w:szCs w:val="24"/>
        </w:rPr>
      </w:pPr>
      <w:r>
        <w:rPr>
          <w:rFonts w:ascii="Times New Roman" w:hAnsi="Times New Roman"/>
          <w:i/>
          <w:sz w:val="24"/>
        </w:rPr>
        <w:t xml:space="preserve">numer VTSZ </w:t>
      </w:r>
      <w:r>
        <w:rPr>
          <w:rFonts w:ascii="Times New Roman" w:hAnsi="Times New Roman"/>
          <w:sz w:val="24"/>
        </w:rPr>
        <w:t>: pozycja taryfowa zgodnie z Nomenklaturą Scaloną określoną w załączniku I do rozporządzenia Rady (EWG) nr 2658/87 z dnia 23 lipca 1987 r. w sprawie nomenklatury taryfowej i statystycznej oraz w sprawie Wspólnej Taryfy Celnej, w brzmieniu obowiązującym w dniu 15 maja 2022 r.;</w:t>
      </w:r>
    </w:p>
    <w:p w14:paraId="160AFFBF" w14:textId="77777777" w:rsidR="00776125" w:rsidRPr="003858EF" w:rsidRDefault="00776125" w:rsidP="00776125">
      <w:pPr>
        <w:pStyle w:val="ListParagraph"/>
        <w:numPr>
          <w:ilvl w:val="0"/>
          <w:numId w:val="3"/>
        </w:numPr>
        <w:tabs>
          <w:tab w:val="left" w:pos="567"/>
          <w:tab w:val="left" w:pos="851"/>
        </w:tabs>
        <w:spacing w:before="120" w:after="0" w:line="240" w:lineRule="auto"/>
        <w:ind w:left="142" w:firstLine="425"/>
        <w:contextualSpacing w:val="0"/>
        <w:jc w:val="both"/>
        <w:rPr>
          <w:rFonts w:ascii="Times New Roman" w:hAnsi="Times New Roman" w:cs="Times New Roman"/>
          <w:sz w:val="24"/>
          <w:szCs w:val="24"/>
        </w:rPr>
      </w:pPr>
      <w:r>
        <w:rPr>
          <w:rFonts w:ascii="Times New Roman" w:hAnsi="Times New Roman"/>
          <w:i/>
          <w:sz w:val="24"/>
        </w:rPr>
        <w:t xml:space="preserve">syrop: </w:t>
      </w:r>
      <w:r>
        <w:rPr>
          <w:rFonts w:ascii="Times New Roman" w:hAnsi="Times New Roman"/>
          <w:sz w:val="24"/>
        </w:rPr>
        <w:t>syrop owocowy wg Codex Alimentarius Hungaricus, syrop na bazie wody i ekstraktu zgodnie z Codex Alimentarius Hungaricus oraz preparat objęty numerem VTSZ 2106 stosowany do przygotowania napoju o smaku i zapachu typowym dla jego nazwy, wytworzonego z cukru, syropu cukrowego lub substancji słodzących, z dodatkiem środków aromatyzujących, dodatków lub ich kombinacji.</w:t>
      </w:r>
    </w:p>
    <w:p w14:paraId="3F020CB7" w14:textId="77777777" w:rsidR="00776125" w:rsidRPr="000659B4" w:rsidRDefault="00776125" w:rsidP="00776125">
      <w:pPr>
        <w:tabs>
          <w:tab w:val="left" w:pos="1418"/>
        </w:tabs>
        <w:spacing w:before="120" w:after="0" w:line="240" w:lineRule="auto"/>
        <w:ind w:firstLine="426"/>
        <w:jc w:val="both"/>
        <w:rPr>
          <w:rFonts w:ascii="Times New Roman" w:hAnsi="Times New Roman" w:cs="Times New Roman"/>
          <w:sz w:val="24"/>
          <w:szCs w:val="24"/>
        </w:rPr>
      </w:pPr>
      <w:r>
        <w:rPr>
          <w:rFonts w:ascii="Times New Roman" w:hAnsi="Times New Roman"/>
          <w:sz w:val="24"/>
        </w:rPr>
        <w:t xml:space="preserve">(2) Na zasadzie odstępstwa od § 2 ustawy Neta produkt paczkowany wskazany w </w:t>
      </w:r>
      <w:r>
        <w:rPr>
          <w:rFonts w:ascii="Times New Roman" w:hAnsi="Times New Roman"/>
          <w:i/>
          <w:sz w:val="24"/>
        </w:rPr>
        <w:t>załączniku 2</w:t>
      </w:r>
      <w:r>
        <w:rPr>
          <w:rFonts w:ascii="Times New Roman" w:hAnsi="Times New Roman"/>
          <w:sz w:val="24"/>
        </w:rPr>
        <w:t xml:space="preserve"> podlega podatkowi od produktów zdrowia publicznego. </w:t>
      </w:r>
    </w:p>
    <w:p w14:paraId="4CAEA983" w14:textId="77777777" w:rsidR="00776125" w:rsidRPr="00BF0126" w:rsidRDefault="00776125" w:rsidP="00776125">
      <w:pPr>
        <w:pStyle w:val="ListParagraph"/>
        <w:tabs>
          <w:tab w:val="left" w:pos="1418"/>
        </w:tabs>
        <w:spacing w:before="120" w:after="0" w:line="240" w:lineRule="auto"/>
        <w:ind w:left="0" w:firstLine="426"/>
        <w:contextualSpacing w:val="0"/>
        <w:jc w:val="both"/>
        <w:rPr>
          <w:rFonts w:ascii="Times New Roman" w:hAnsi="Times New Roman" w:cs="Times New Roman"/>
          <w:sz w:val="24"/>
          <w:szCs w:val="24"/>
        </w:rPr>
      </w:pPr>
      <w:r>
        <w:rPr>
          <w:rFonts w:ascii="Times New Roman" w:hAnsi="Times New Roman"/>
          <w:sz w:val="24"/>
        </w:rPr>
        <w:t xml:space="preserve">(3) W drodze odstępstwa od § 6 ustawy Neta kwota podatku ustalana jest poprzez zastosowanie stawki określonej w tabeli w </w:t>
      </w:r>
      <w:r>
        <w:rPr>
          <w:rFonts w:ascii="Times New Roman" w:hAnsi="Times New Roman"/>
          <w:i/>
          <w:sz w:val="24"/>
        </w:rPr>
        <w:t>załączniku 2</w:t>
      </w:r>
      <w:r>
        <w:rPr>
          <w:rFonts w:ascii="Times New Roman" w:hAnsi="Times New Roman"/>
          <w:sz w:val="24"/>
        </w:rPr>
        <w:t>.</w:t>
      </w:r>
    </w:p>
    <w:p w14:paraId="63A9E90B" w14:textId="77777777" w:rsidR="00776125" w:rsidRDefault="00776125" w:rsidP="00776125">
      <w:pPr>
        <w:shd w:val="clear" w:color="auto" w:fill="FFFFFF" w:themeFill="background1"/>
        <w:spacing w:before="240" w:after="0" w:line="240" w:lineRule="auto"/>
        <w:ind w:firstLine="426"/>
        <w:jc w:val="both"/>
        <w:rPr>
          <w:rFonts w:ascii="Times New Roman" w:hAnsi="Times New Roman" w:cs="Times New Roman"/>
          <w:sz w:val="24"/>
          <w:szCs w:val="24"/>
        </w:rPr>
      </w:pPr>
      <w:r>
        <w:rPr>
          <w:rFonts w:ascii="Times New Roman" w:hAnsi="Times New Roman"/>
          <w:sz w:val="24"/>
        </w:rPr>
        <w:t xml:space="preserve">(4) § 10/A ust. 5–6 ustawy Neta nie ma zastosowania. </w:t>
      </w:r>
    </w:p>
    <w:p w14:paraId="085E3EC4" w14:textId="77777777" w:rsidR="001D6E66" w:rsidRDefault="00776125" w:rsidP="00776125">
      <w:r>
        <w:rPr>
          <w:rFonts w:ascii="Times New Roman" w:hAnsi="Times New Roman"/>
          <w:sz w:val="24"/>
        </w:rPr>
        <w:t>(5) Projekt tej sekcji został uprzednio zgłoszony, zgodnie z art. 5–7 dyrektywy Parlamentu Europejskiego i Rady (UE) 2015/1535 z dnia 9 września 2015 r. ustanawiającej procedurę udzielania informacji w dziedzinie przepisów technicznych oraz zasad dotyczących usług społeczeństwa informacyjnego. </w:t>
      </w:r>
    </w:p>
    <w:p w14:paraId="229A8AAB" w14:textId="77777777" w:rsidR="001D6E66" w:rsidRDefault="001D6E66"/>
    <w:p w14:paraId="1DC69512" w14:textId="77777777" w:rsidR="001D6E66" w:rsidRPr="00041338" w:rsidRDefault="001D6E66" w:rsidP="001D6E66">
      <w:pPr>
        <w:pStyle w:val="ListParagraph"/>
        <w:keepNext/>
        <w:spacing w:before="240" w:after="240" w:line="240" w:lineRule="auto"/>
        <w:ind w:left="0"/>
        <w:contextualSpacing w:val="0"/>
        <w:jc w:val="center"/>
        <w:rPr>
          <w:rFonts w:ascii="Times New Roman" w:hAnsi="Times New Roman" w:cs="Times New Roman"/>
          <w:b/>
          <w:bCs/>
          <w:sz w:val="24"/>
          <w:szCs w:val="24"/>
        </w:rPr>
      </w:pPr>
      <w:r>
        <w:rPr>
          <w:rFonts w:ascii="Times New Roman" w:hAnsi="Times New Roman"/>
          <w:b/>
          <w:sz w:val="24"/>
        </w:rPr>
        <w:t>13. Przepisy wykonawcze</w:t>
      </w:r>
    </w:p>
    <w:p w14:paraId="665189EF" w14:textId="77777777" w:rsidR="001D6E66" w:rsidRDefault="001D6E66" w:rsidP="001D6E66">
      <w:pPr>
        <w:keepNext/>
        <w:spacing w:before="120" w:after="0" w:line="240" w:lineRule="auto"/>
        <w:rPr>
          <w:rFonts w:ascii="Times New Roman" w:hAnsi="Times New Roman" w:cs="Times New Roman"/>
          <w:caps/>
          <w:sz w:val="24"/>
          <w:szCs w:val="24"/>
        </w:rPr>
      </w:pPr>
    </w:p>
    <w:p w14:paraId="61259114" w14:textId="4995FF7B" w:rsidR="001D6E66" w:rsidRPr="001D6E66" w:rsidRDefault="002375C8" w:rsidP="001D6E66">
      <w:pPr>
        <w:keepNext/>
        <w:spacing w:before="120" w:after="0" w:line="240" w:lineRule="auto"/>
        <w:jc w:val="center"/>
        <w:rPr>
          <w:rFonts w:ascii="Times New Roman" w:hAnsi="Times New Roman" w:cs="Times New Roman"/>
          <w:b/>
          <w:caps/>
          <w:sz w:val="24"/>
          <w:szCs w:val="24"/>
        </w:rPr>
      </w:pPr>
      <w:r>
        <w:rPr>
          <w:rFonts w:ascii="Times New Roman" w:hAnsi="Times New Roman"/>
          <w:b/>
          <w:sz w:val="24"/>
        </w:rPr>
        <w:t xml:space="preserve">§ </w:t>
      </w:r>
      <w:r>
        <w:rPr>
          <w:rFonts w:ascii="Times New Roman" w:hAnsi="Times New Roman"/>
          <w:b/>
          <w:caps/>
          <w:sz w:val="24"/>
        </w:rPr>
        <w:t>21</w:t>
      </w:r>
    </w:p>
    <w:p w14:paraId="793BA4BF" w14:textId="77777777" w:rsidR="001D6E66" w:rsidRDefault="001D6E66" w:rsidP="001D6E66">
      <w:pPr>
        <w:rPr>
          <w:rFonts w:ascii="Times New Roman" w:hAnsi="Times New Roman" w:cs="Times New Roman"/>
          <w:sz w:val="24"/>
          <w:szCs w:val="24"/>
          <w:lang w:eastAsia="hu-HU"/>
        </w:rPr>
      </w:pPr>
    </w:p>
    <w:p w14:paraId="002C3697" w14:textId="77777777" w:rsidR="001D6E66" w:rsidRDefault="001D6E66" w:rsidP="001D6E66">
      <w:pPr>
        <w:rPr>
          <w:rFonts w:ascii="Times New Roman" w:hAnsi="Times New Roman" w:cs="Times New Roman"/>
          <w:sz w:val="24"/>
          <w:szCs w:val="24"/>
        </w:rPr>
      </w:pPr>
      <w:r>
        <w:rPr>
          <w:rFonts w:ascii="Times New Roman" w:hAnsi="Times New Roman"/>
          <w:sz w:val="24"/>
        </w:rPr>
        <w:t>Niniejsze rozporządzenie wchodzi w życie z dniem 1 lipca 2022 r.</w:t>
      </w:r>
    </w:p>
    <w:p w14:paraId="3B36F46E" w14:textId="77777777" w:rsidR="001D6E66" w:rsidRDefault="001D6E66" w:rsidP="001D6E66">
      <w:pPr>
        <w:rPr>
          <w:rFonts w:ascii="Times New Roman" w:hAnsi="Times New Roman" w:cs="Times New Roman"/>
          <w:sz w:val="24"/>
          <w:szCs w:val="24"/>
          <w:lang w:eastAsia="hu-HU"/>
        </w:rPr>
      </w:pPr>
    </w:p>
    <w:p w14:paraId="02220C1C" w14:textId="77777777" w:rsidR="00776125" w:rsidRPr="00776125" w:rsidRDefault="00776125" w:rsidP="00776125">
      <w:pPr>
        <w:pageBreakBefore/>
        <w:spacing w:after="0" w:line="240" w:lineRule="auto"/>
        <w:jc w:val="right"/>
        <w:rPr>
          <w:rFonts w:ascii="Times New Roman" w:eastAsia="Times New Roman" w:hAnsi="Times New Roman" w:cs="Times New Roman"/>
          <w:i/>
          <w:sz w:val="24"/>
          <w:szCs w:val="24"/>
        </w:rPr>
      </w:pPr>
      <w:r>
        <w:rPr>
          <w:rFonts w:ascii="Times New Roman" w:hAnsi="Times New Roman"/>
          <w:i/>
          <w:sz w:val="24"/>
        </w:rPr>
        <w:lastRenderedPageBreak/>
        <w:t xml:space="preserve">Załącznik 2 do dekretu rządowego nr.../2022 z dnia...... </w:t>
      </w:r>
    </w:p>
    <w:p w14:paraId="6F37526E" w14:textId="77777777" w:rsidR="00776125" w:rsidRPr="00776125" w:rsidRDefault="00776125" w:rsidP="00776125">
      <w:pPr>
        <w:pStyle w:val="ListParagraph"/>
        <w:tabs>
          <w:tab w:val="left" w:pos="1418"/>
        </w:tabs>
        <w:ind w:firstLine="425"/>
        <w:jc w:val="center"/>
        <w:rPr>
          <w:rFonts w:ascii="Times New Roman" w:hAnsi="Times New Roman" w:cs="Times New Roman"/>
          <w:b/>
          <w:sz w:val="24"/>
          <w:szCs w:val="24"/>
        </w:rPr>
      </w:pPr>
    </w:p>
    <w:p w14:paraId="38623203" w14:textId="77777777" w:rsidR="00776125" w:rsidRPr="00776125" w:rsidRDefault="00776125" w:rsidP="00776125">
      <w:pPr>
        <w:pStyle w:val="ListParagraph"/>
        <w:tabs>
          <w:tab w:val="left" w:pos="1418"/>
        </w:tabs>
        <w:jc w:val="center"/>
        <w:rPr>
          <w:rFonts w:ascii="Times New Roman" w:hAnsi="Times New Roman" w:cs="Times New Roman"/>
          <w:b/>
          <w:sz w:val="24"/>
          <w:szCs w:val="24"/>
        </w:rPr>
      </w:pPr>
      <w:r>
        <w:rPr>
          <w:rFonts w:ascii="Times New Roman" w:hAnsi="Times New Roman"/>
          <w:b/>
          <w:sz w:val="24"/>
        </w:rPr>
        <w:t>Produkty podlegające podatkowi od produktów zdrowia publicznego</w:t>
      </w:r>
    </w:p>
    <w:p w14:paraId="2A2564CC" w14:textId="77777777" w:rsidR="00776125" w:rsidRPr="00776125" w:rsidRDefault="00776125" w:rsidP="00776125">
      <w:pPr>
        <w:pStyle w:val="ListParagraph"/>
        <w:tabs>
          <w:tab w:val="left" w:pos="1418"/>
        </w:tabs>
        <w:ind w:firstLine="425"/>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69"/>
        <w:gridCol w:w="1032"/>
        <w:gridCol w:w="5173"/>
        <w:gridCol w:w="1886"/>
      </w:tblGrid>
      <w:tr w:rsidR="00776125" w:rsidRPr="00776125" w14:paraId="26C10206" w14:textId="77777777" w:rsidTr="00B040D6">
        <w:tc>
          <w:tcPr>
            <w:tcW w:w="969" w:type="dxa"/>
          </w:tcPr>
          <w:p w14:paraId="7798B96D" w14:textId="77777777" w:rsidR="00776125" w:rsidRPr="00776125" w:rsidRDefault="00776125" w:rsidP="00B040D6">
            <w:pPr>
              <w:autoSpaceDE w:val="0"/>
              <w:autoSpaceDN w:val="0"/>
              <w:adjustRightInd w:val="0"/>
              <w:spacing w:before="240" w:after="240" w:line="240" w:lineRule="auto"/>
              <w:jc w:val="center"/>
              <w:rPr>
                <w:sz w:val="24"/>
                <w:szCs w:val="24"/>
              </w:rPr>
            </w:pPr>
          </w:p>
        </w:tc>
        <w:tc>
          <w:tcPr>
            <w:tcW w:w="1032" w:type="dxa"/>
          </w:tcPr>
          <w:p w14:paraId="390E8A3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A</w:t>
            </w:r>
          </w:p>
        </w:tc>
        <w:tc>
          <w:tcPr>
            <w:tcW w:w="5173" w:type="dxa"/>
          </w:tcPr>
          <w:p w14:paraId="7DD8AD4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B</w:t>
            </w:r>
          </w:p>
        </w:tc>
        <w:tc>
          <w:tcPr>
            <w:tcW w:w="1886" w:type="dxa"/>
          </w:tcPr>
          <w:p w14:paraId="7C7B719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C</w:t>
            </w:r>
          </w:p>
        </w:tc>
      </w:tr>
      <w:tr w:rsidR="00776125" w:rsidRPr="00776125" w14:paraId="4927E312" w14:textId="77777777" w:rsidTr="00B040D6">
        <w:tc>
          <w:tcPr>
            <w:tcW w:w="969" w:type="dxa"/>
          </w:tcPr>
          <w:p w14:paraId="5577702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w:t>
            </w:r>
          </w:p>
        </w:tc>
        <w:tc>
          <w:tcPr>
            <w:tcW w:w="1032" w:type="dxa"/>
          </w:tcPr>
          <w:p w14:paraId="6215748F" w14:textId="77777777" w:rsidR="00776125" w:rsidRPr="00776125" w:rsidRDefault="00776125" w:rsidP="00B040D6">
            <w:pPr>
              <w:autoSpaceDE w:val="0"/>
              <w:autoSpaceDN w:val="0"/>
              <w:adjustRightInd w:val="0"/>
              <w:spacing w:before="240" w:after="240" w:line="240" w:lineRule="auto"/>
              <w:jc w:val="center"/>
              <w:rPr>
                <w:sz w:val="24"/>
                <w:szCs w:val="24"/>
              </w:rPr>
            </w:pPr>
          </w:p>
        </w:tc>
        <w:tc>
          <w:tcPr>
            <w:tcW w:w="5173" w:type="dxa"/>
          </w:tcPr>
          <w:p w14:paraId="6C25723B"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Towary podlegające opodatkowaniu</w:t>
            </w:r>
          </w:p>
        </w:tc>
        <w:tc>
          <w:tcPr>
            <w:tcW w:w="1886" w:type="dxa"/>
          </w:tcPr>
          <w:p w14:paraId="739C2AEE"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Stawka podatku</w:t>
            </w:r>
          </w:p>
        </w:tc>
      </w:tr>
      <w:tr w:rsidR="00776125" w:rsidRPr="00776125" w14:paraId="422A5532" w14:textId="77777777" w:rsidTr="00B040D6">
        <w:tc>
          <w:tcPr>
            <w:tcW w:w="969" w:type="dxa"/>
          </w:tcPr>
          <w:p w14:paraId="1A3F181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w:t>
            </w:r>
          </w:p>
        </w:tc>
        <w:tc>
          <w:tcPr>
            <w:tcW w:w="1032" w:type="dxa"/>
          </w:tcPr>
          <w:p w14:paraId="018ACE3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a)</w:t>
            </w:r>
          </w:p>
        </w:tc>
        <w:tc>
          <w:tcPr>
            <w:tcW w:w="5173" w:type="dxa"/>
            <w:vAlign w:val="center"/>
          </w:tcPr>
          <w:p w14:paraId="4515FADB" w14:textId="77777777" w:rsidR="00776125" w:rsidRPr="00776125" w:rsidRDefault="00776125" w:rsidP="00B040D6">
            <w:pPr>
              <w:pStyle w:val="ListParagraph"/>
              <w:tabs>
                <w:tab w:val="left" w:pos="1418"/>
              </w:tabs>
              <w:spacing w:before="120" w:after="120" w:line="240" w:lineRule="auto"/>
              <w:ind w:left="0"/>
              <w:contextualSpacing w:val="0"/>
              <w:rPr>
                <w:sz w:val="24"/>
                <w:szCs w:val="24"/>
              </w:rPr>
            </w:pPr>
            <w:r>
              <w:rPr>
                <w:sz w:val="24"/>
              </w:rPr>
              <w:t>Napoje orzeźwiające</w:t>
            </w:r>
          </w:p>
        </w:tc>
        <w:tc>
          <w:tcPr>
            <w:tcW w:w="1886" w:type="dxa"/>
            <w:shd w:val="clear" w:color="auto" w:fill="E7E6E6" w:themeFill="background2"/>
          </w:tcPr>
          <w:p w14:paraId="77458C75"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1B4887EC" w14:textId="77777777" w:rsidTr="00B040D6">
        <w:tc>
          <w:tcPr>
            <w:tcW w:w="969" w:type="dxa"/>
          </w:tcPr>
          <w:p w14:paraId="6D13403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w:t>
            </w:r>
          </w:p>
        </w:tc>
        <w:tc>
          <w:tcPr>
            <w:tcW w:w="1032" w:type="dxa"/>
          </w:tcPr>
          <w:p w14:paraId="1692A09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aa)</w:t>
            </w:r>
          </w:p>
        </w:tc>
        <w:tc>
          <w:tcPr>
            <w:tcW w:w="5173" w:type="dxa"/>
          </w:tcPr>
          <w:p w14:paraId="1228C151" w14:textId="77777777" w:rsidR="00776125" w:rsidRPr="00776125" w:rsidRDefault="00776125" w:rsidP="00B040D6">
            <w:pPr>
              <w:pStyle w:val="ListParagraph"/>
              <w:tabs>
                <w:tab w:val="left" w:pos="1418"/>
              </w:tabs>
              <w:spacing w:before="120" w:after="120" w:line="240" w:lineRule="auto"/>
              <w:ind w:left="0"/>
              <w:contextualSpacing w:val="0"/>
              <w:jc w:val="both"/>
              <w:rPr>
                <w:sz w:val="24"/>
                <w:szCs w:val="24"/>
              </w:rPr>
            </w:pPr>
            <w:r>
              <w:rPr>
                <w:sz w:val="24"/>
              </w:rPr>
              <w:t xml:space="preserve">produkty objęte numerami VTSZ 2009 i 2202, które nie są napojami energetycznymi ani syropami, zawierające dodatek cukru, o zawartości cukru przekraczającej 8 gramów na 100 ml lub zawierające zarówno dodatek cukru, jak i substancje słodzące, </w:t>
            </w:r>
          </w:p>
          <w:p w14:paraId="408CF3D4" w14:textId="77777777" w:rsidR="00776125" w:rsidRPr="00776125" w:rsidRDefault="00776125" w:rsidP="00776125">
            <w:pPr>
              <w:pStyle w:val="ListParagraph"/>
              <w:numPr>
                <w:ilvl w:val="0"/>
                <w:numId w:val="7"/>
              </w:numPr>
              <w:tabs>
                <w:tab w:val="left" w:pos="1418"/>
              </w:tabs>
              <w:spacing w:before="120" w:after="0" w:line="240" w:lineRule="auto"/>
              <w:contextualSpacing w:val="0"/>
              <w:jc w:val="both"/>
              <w:rPr>
                <w:sz w:val="24"/>
                <w:szCs w:val="24"/>
              </w:rPr>
            </w:pPr>
            <w:r>
              <w:rPr>
                <w:sz w:val="24"/>
              </w:rPr>
              <w:t xml:space="preserve">z wyjątkiem nektarów, soków owocowych i soków warzywnych o zawartości co najmniej 50 % owoców lub warzyw oraz </w:t>
            </w:r>
          </w:p>
          <w:p w14:paraId="7A72D6B7" w14:textId="77777777" w:rsidR="00776125" w:rsidRPr="00776125" w:rsidRDefault="00776125" w:rsidP="00776125">
            <w:pPr>
              <w:pStyle w:val="ListParagraph"/>
              <w:numPr>
                <w:ilvl w:val="0"/>
                <w:numId w:val="7"/>
              </w:numPr>
              <w:tabs>
                <w:tab w:val="left" w:pos="1418"/>
              </w:tabs>
              <w:spacing w:before="120" w:after="0" w:line="240" w:lineRule="auto"/>
              <w:contextualSpacing w:val="0"/>
              <w:jc w:val="both"/>
              <w:rPr>
                <w:sz w:val="24"/>
                <w:szCs w:val="24"/>
              </w:rPr>
            </w:pPr>
            <w:r>
              <w:rPr>
                <w:sz w:val="24"/>
              </w:rPr>
              <w:t xml:space="preserve">produkty wykorzystujące co najmniej 50 % surowców mlecznych </w:t>
            </w:r>
          </w:p>
          <w:p w14:paraId="22A42E5B" w14:textId="77777777" w:rsidR="00776125" w:rsidRPr="00776125" w:rsidRDefault="00776125" w:rsidP="00B040D6">
            <w:pPr>
              <w:tabs>
                <w:tab w:val="left" w:pos="1418"/>
              </w:tabs>
              <w:spacing w:before="120" w:line="240" w:lineRule="auto"/>
              <w:jc w:val="both"/>
              <w:rPr>
                <w:sz w:val="24"/>
                <w:szCs w:val="24"/>
              </w:rPr>
            </w:pPr>
          </w:p>
        </w:tc>
        <w:tc>
          <w:tcPr>
            <w:tcW w:w="1886" w:type="dxa"/>
          </w:tcPr>
          <w:p w14:paraId="0F9326EA"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23 HUF/litr</w:t>
            </w:r>
          </w:p>
        </w:tc>
      </w:tr>
      <w:tr w:rsidR="00776125" w:rsidRPr="00776125" w14:paraId="1BCEBC10" w14:textId="77777777" w:rsidTr="00B040D6">
        <w:tc>
          <w:tcPr>
            <w:tcW w:w="969" w:type="dxa"/>
          </w:tcPr>
          <w:p w14:paraId="489322F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4</w:t>
            </w:r>
          </w:p>
        </w:tc>
        <w:tc>
          <w:tcPr>
            <w:tcW w:w="1032" w:type="dxa"/>
          </w:tcPr>
          <w:p w14:paraId="4FB0C9A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ab)</w:t>
            </w:r>
          </w:p>
        </w:tc>
        <w:tc>
          <w:tcPr>
            <w:tcW w:w="5173" w:type="dxa"/>
          </w:tcPr>
          <w:p w14:paraId="4C34CB6E" w14:textId="77777777" w:rsidR="00776125" w:rsidRPr="00776125" w:rsidRDefault="00776125" w:rsidP="00B040D6">
            <w:pPr>
              <w:spacing w:before="120" w:after="120" w:line="240" w:lineRule="auto"/>
              <w:jc w:val="both"/>
              <w:rPr>
                <w:sz w:val="24"/>
                <w:szCs w:val="24"/>
              </w:rPr>
            </w:pPr>
            <w:r>
              <w:rPr>
                <w:sz w:val="24"/>
              </w:rPr>
              <w:t>produkty objęte numerami VTSZ 2009 i 2202, które nie są napojami energetycznymi lub syropami, niezawierające dodatku cukru, ale zawierające substancje słodzące, lub niezawierające substancji słodzących, ale zawierające dodatek cukru, o zawartości cukru nieprzekraczającej 8 gramów na 100 ml,</w:t>
            </w:r>
          </w:p>
          <w:p w14:paraId="206D2AE8"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t xml:space="preserve">z wyjątkiem nektarów, soków owocowych i soków warzywnych o zawartości co najmniej 50 % owoców lub warzyw oraz </w:t>
            </w:r>
          </w:p>
          <w:p w14:paraId="1713C7FF"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t xml:space="preserve">produkty wykorzystujące co najmniej 50 % surowców mlecznych </w:t>
            </w:r>
          </w:p>
          <w:p w14:paraId="6CEC4093" w14:textId="77777777" w:rsidR="00776125" w:rsidRPr="00776125" w:rsidRDefault="00776125" w:rsidP="00B040D6">
            <w:pPr>
              <w:spacing w:before="120" w:after="120" w:line="240" w:lineRule="auto"/>
              <w:jc w:val="both"/>
              <w:rPr>
                <w:sz w:val="24"/>
                <w:szCs w:val="24"/>
              </w:rPr>
            </w:pPr>
          </w:p>
        </w:tc>
        <w:tc>
          <w:tcPr>
            <w:tcW w:w="1886" w:type="dxa"/>
          </w:tcPr>
          <w:p w14:paraId="3E76376C" w14:textId="77777777" w:rsidR="00776125" w:rsidRPr="00776125" w:rsidRDefault="00776125" w:rsidP="00B040D6">
            <w:pPr>
              <w:autoSpaceDE w:val="0"/>
              <w:autoSpaceDN w:val="0"/>
              <w:adjustRightInd w:val="0"/>
              <w:spacing w:line="240" w:lineRule="auto"/>
              <w:ind w:firstLine="204"/>
              <w:jc w:val="both"/>
              <w:rPr>
                <w:sz w:val="24"/>
                <w:szCs w:val="24"/>
              </w:rPr>
            </w:pPr>
          </w:p>
          <w:p w14:paraId="5838F2FD" w14:textId="77777777" w:rsidR="00776125" w:rsidRPr="00776125" w:rsidRDefault="00776125" w:rsidP="00B040D6">
            <w:pPr>
              <w:autoSpaceDE w:val="0"/>
              <w:autoSpaceDN w:val="0"/>
              <w:adjustRightInd w:val="0"/>
              <w:spacing w:line="240" w:lineRule="auto"/>
              <w:ind w:firstLine="204"/>
              <w:jc w:val="both"/>
              <w:rPr>
                <w:sz w:val="24"/>
                <w:szCs w:val="24"/>
              </w:rPr>
            </w:pPr>
            <w:r>
              <w:rPr>
                <w:sz w:val="24"/>
              </w:rPr>
              <w:t>8 HUF/litr</w:t>
            </w:r>
          </w:p>
        </w:tc>
      </w:tr>
      <w:tr w:rsidR="00776125" w:rsidRPr="00776125" w14:paraId="22AF7D90" w14:textId="77777777" w:rsidTr="00B040D6">
        <w:tc>
          <w:tcPr>
            <w:tcW w:w="969" w:type="dxa"/>
          </w:tcPr>
          <w:p w14:paraId="651177B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5</w:t>
            </w:r>
          </w:p>
        </w:tc>
        <w:tc>
          <w:tcPr>
            <w:tcW w:w="1032" w:type="dxa"/>
          </w:tcPr>
          <w:p w14:paraId="6A2AB9B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ac)</w:t>
            </w:r>
          </w:p>
        </w:tc>
        <w:tc>
          <w:tcPr>
            <w:tcW w:w="5173" w:type="dxa"/>
          </w:tcPr>
          <w:p w14:paraId="04247715" w14:textId="77777777" w:rsidR="00776125" w:rsidRPr="00776125" w:rsidRDefault="00776125" w:rsidP="00B040D6">
            <w:pPr>
              <w:autoSpaceDE w:val="0"/>
              <w:autoSpaceDN w:val="0"/>
              <w:adjustRightInd w:val="0"/>
              <w:spacing w:before="120" w:after="120" w:line="240" w:lineRule="auto"/>
              <w:jc w:val="both"/>
              <w:rPr>
                <w:sz w:val="24"/>
                <w:szCs w:val="24"/>
              </w:rPr>
            </w:pPr>
            <w:r>
              <w:rPr>
                <w:sz w:val="24"/>
              </w:rPr>
              <w:t>syropy zawierające dodatek cukru, o zawartości cukru przekraczającej 8 gramów na 100 mililitrów lub zawierające zarówno dodatek cukru, jak i substancje słodzące,</w:t>
            </w:r>
          </w:p>
          <w:p w14:paraId="05F917EE"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t>z wyjątkiem syropów na bazie ekstraktu zgodnie z Codex Alimentarius Hungaricus oraz</w:t>
            </w:r>
          </w:p>
          <w:p w14:paraId="4017BAE3"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lastRenderedPageBreak/>
              <w:t>syropy o zawartości co najmniej 50 % owoców lub warzyw</w:t>
            </w:r>
          </w:p>
          <w:p w14:paraId="69695D7F" w14:textId="77777777" w:rsidR="00776125" w:rsidRPr="00776125" w:rsidRDefault="00776125" w:rsidP="00B040D6">
            <w:pPr>
              <w:autoSpaceDE w:val="0"/>
              <w:autoSpaceDN w:val="0"/>
              <w:adjustRightInd w:val="0"/>
              <w:spacing w:before="120" w:after="120" w:line="240" w:lineRule="auto"/>
              <w:jc w:val="both"/>
              <w:rPr>
                <w:sz w:val="24"/>
                <w:szCs w:val="24"/>
              </w:rPr>
            </w:pPr>
          </w:p>
        </w:tc>
        <w:tc>
          <w:tcPr>
            <w:tcW w:w="1886" w:type="dxa"/>
          </w:tcPr>
          <w:p w14:paraId="0A34B279"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lastRenderedPageBreak/>
              <w:t>310 HUF/litr</w:t>
            </w:r>
          </w:p>
        </w:tc>
      </w:tr>
      <w:tr w:rsidR="00776125" w:rsidRPr="00776125" w14:paraId="1DBA8A2E" w14:textId="77777777" w:rsidTr="00B040D6">
        <w:tc>
          <w:tcPr>
            <w:tcW w:w="969" w:type="dxa"/>
          </w:tcPr>
          <w:p w14:paraId="4170BA3B"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6</w:t>
            </w:r>
          </w:p>
        </w:tc>
        <w:tc>
          <w:tcPr>
            <w:tcW w:w="1032" w:type="dxa"/>
          </w:tcPr>
          <w:p w14:paraId="1CA536C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ad)</w:t>
            </w:r>
          </w:p>
        </w:tc>
        <w:tc>
          <w:tcPr>
            <w:tcW w:w="5173" w:type="dxa"/>
          </w:tcPr>
          <w:p w14:paraId="09329BB4" w14:textId="77777777" w:rsidR="00776125" w:rsidRPr="00776125" w:rsidRDefault="00776125" w:rsidP="00B040D6">
            <w:pPr>
              <w:autoSpaceDE w:val="0"/>
              <w:autoSpaceDN w:val="0"/>
              <w:adjustRightInd w:val="0"/>
              <w:spacing w:before="120" w:after="120" w:line="240" w:lineRule="auto"/>
              <w:jc w:val="both"/>
              <w:rPr>
                <w:sz w:val="24"/>
                <w:szCs w:val="24"/>
              </w:rPr>
            </w:pPr>
            <w:r>
              <w:rPr>
                <w:sz w:val="24"/>
              </w:rPr>
              <w:t>syropy niezawierające dodatku cukru, ale zawierające substancje słodzące, lub niezawierające substancji słodzących, ale zawierające dodatek cukru, o zawartości cukru nieprzekraczającej 8 gramów na 100 mililitrów,</w:t>
            </w:r>
          </w:p>
          <w:p w14:paraId="758BF917"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t>z wyjątkiem syropów na bazie ekstraktu zgodnie z Codex Alimentarius Hungaricus oraz</w:t>
            </w:r>
          </w:p>
          <w:p w14:paraId="15DFEA1C"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t>syropy o zawartości co najmniej 50 % owoców lub warzyw</w:t>
            </w:r>
          </w:p>
          <w:p w14:paraId="4A24E64C" w14:textId="77777777" w:rsidR="00776125" w:rsidRPr="00776125" w:rsidRDefault="00776125" w:rsidP="00B040D6">
            <w:pPr>
              <w:autoSpaceDE w:val="0"/>
              <w:autoSpaceDN w:val="0"/>
              <w:adjustRightInd w:val="0"/>
              <w:spacing w:before="120" w:after="120" w:line="240" w:lineRule="auto"/>
              <w:jc w:val="both"/>
              <w:rPr>
                <w:sz w:val="24"/>
                <w:szCs w:val="24"/>
              </w:rPr>
            </w:pPr>
          </w:p>
        </w:tc>
        <w:tc>
          <w:tcPr>
            <w:tcW w:w="1886" w:type="dxa"/>
          </w:tcPr>
          <w:p w14:paraId="04A3DF4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105 HUF/litr</w:t>
            </w:r>
          </w:p>
        </w:tc>
      </w:tr>
      <w:tr w:rsidR="00776125" w:rsidRPr="00776125" w14:paraId="74593F67" w14:textId="77777777" w:rsidTr="00B040D6">
        <w:tc>
          <w:tcPr>
            <w:tcW w:w="969" w:type="dxa"/>
          </w:tcPr>
          <w:p w14:paraId="1853CE3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7</w:t>
            </w:r>
          </w:p>
        </w:tc>
        <w:tc>
          <w:tcPr>
            <w:tcW w:w="1032" w:type="dxa"/>
          </w:tcPr>
          <w:p w14:paraId="621A129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b)</w:t>
            </w:r>
          </w:p>
        </w:tc>
        <w:tc>
          <w:tcPr>
            <w:tcW w:w="5173" w:type="dxa"/>
            <w:vAlign w:val="center"/>
          </w:tcPr>
          <w:p w14:paraId="1D479D5F" w14:textId="77777777" w:rsidR="00776125" w:rsidRPr="00776125" w:rsidRDefault="00776125" w:rsidP="00B040D6">
            <w:pPr>
              <w:spacing w:before="120" w:after="120" w:line="240" w:lineRule="auto"/>
              <w:rPr>
                <w:sz w:val="24"/>
                <w:szCs w:val="24"/>
              </w:rPr>
            </w:pPr>
            <w:r>
              <w:rPr>
                <w:sz w:val="24"/>
              </w:rPr>
              <w:t>Napoje energetyczne</w:t>
            </w:r>
          </w:p>
        </w:tc>
        <w:tc>
          <w:tcPr>
            <w:tcW w:w="1886" w:type="dxa"/>
            <w:shd w:val="clear" w:color="auto" w:fill="E7E6E6" w:themeFill="background2"/>
          </w:tcPr>
          <w:p w14:paraId="5F6D04AD"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03275141" w14:textId="77777777" w:rsidTr="00B040D6">
        <w:tc>
          <w:tcPr>
            <w:tcW w:w="969" w:type="dxa"/>
          </w:tcPr>
          <w:p w14:paraId="1EE25B77"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8</w:t>
            </w:r>
          </w:p>
        </w:tc>
        <w:tc>
          <w:tcPr>
            <w:tcW w:w="1032" w:type="dxa"/>
          </w:tcPr>
          <w:p w14:paraId="6CDBA03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ba)</w:t>
            </w:r>
          </w:p>
        </w:tc>
        <w:tc>
          <w:tcPr>
            <w:tcW w:w="5173" w:type="dxa"/>
          </w:tcPr>
          <w:p w14:paraId="409F7DAF"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produkty objęte numerami VTSZ 2009 i 2202 zawierające metyloksantynę, w tym przypadki, w których jeden ze składników produktu zawiera metyloksantynę, o zawartości metyloksantyny przekraczającej 15 miligramów na 100 mililitrów </w:t>
            </w:r>
          </w:p>
        </w:tc>
        <w:tc>
          <w:tcPr>
            <w:tcW w:w="1886" w:type="dxa"/>
          </w:tcPr>
          <w:p w14:paraId="41A5728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65 HUF/litr</w:t>
            </w:r>
          </w:p>
        </w:tc>
      </w:tr>
      <w:tr w:rsidR="00776125" w:rsidRPr="00776125" w14:paraId="6CE236A4" w14:textId="77777777" w:rsidTr="00B040D6">
        <w:tc>
          <w:tcPr>
            <w:tcW w:w="969" w:type="dxa"/>
          </w:tcPr>
          <w:p w14:paraId="1664E489"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9</w:t>
            </w:r>
          </w:p>
        </w:tc>
        <w:tc>
          <w:tcPr>
            <w:tcW w:w="1032" w:type="dxa"/>
          </w:tcPr>
          <w:p w14:paraId="37A01EE9"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bb)</w:t>
            </w:r>
          </w:p>
        </w:tc>
        <w:tc>
          <w:tcPr>
            <w:tcW w:w="5173" w:type="dxa"/>
          </w:tcPr>
          <w:p w14:paraId="14CE9189"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produkty objęte numerami VTSZ 2009 i 2202 zawierające metyloksantynę, w tym przypadki, w których jeden ze składników produktu zawiera metyloksantynę i jeśli zawierają taurynę, żeń-szeń, L-argininę lub ich kombinację</w:t>
            </w:r>
          </w:p>
        </w:tc>
        <w:tc>
          <w:tcPr>
            <w:tcW w:w="1886" w:type="dxa"/>
          </w:tcPr>
          <w:p w14:paraId="53B1F3C9"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390 HUF/litr</w:t>
            </w:r>
          </w:p>
        </w:tc>
      </w:tr>
      <w:tr w:rsidR="00776125" w:rsidRPr="00776125" w14:paraId="4F68CE63" w14:textId="77777777" w:rsidTr="00B040D6">
        <w:tc>
          <w:tcPr>
            <w:tcW w:w="969" w:type="dxa"/>
          </w:tcPr>
          <w:p w14:paraId="3D571C8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10</w:t>
            </w:r>
          </w:p>
        </w:tc>
        <w:tc>
          <w:tcPr>
            <w:tcW w:w="1032" w:type="dxa"/>
          </w:tcPr>
          <w:p w14:paraId="51ED3C2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c)</w:t>
            </w:r>
          </w:p>
        </w:tc>
        <w:tc>
          <w:tcPr>
            <w:tcW w:w="5173" w:type="dxa"/>
            <w:vAlign w:val="center"/>
          </w:tcPr>
          <w:p w14:paraId="1528B1D5" w14:textId="77777777" w:rsidR="00776125" w:rsidRPr="00776125" w:rsidRDefault="00776125" w:rsidP="00B040D6">
            <w:pPr>
              <w:tabs>
                <w:tab w:val="left" w:pos="567"/>
              </w:tabs>
              <w:autoSpaceDE w:val="0"/>
              <w:autoSpaceDN w:val="0"/>
              <w:adjustRightInd w:val="0"/>
              <w:spacing w:before="120" w:after="120" w:line="240" w:lineRule="auto"/>
              <w:rPr>
                <w:sz w:val="24"/>
                <w:szCs w:val="24"/>
              </w:rPr>
            </w:pPr>
            <w:r>
              <w:rPr>
                <w:sz w:val="24"/>
              </w:rPr>
              <w:t>Pakowane preparaty słodzone</w:t>
            </w:r>
          </w:p>
        </w:tc>
        <w:tc>
          <w:tcPr>
            <w:tcW w:w="1886" w:type="dxa"/>
            <w:shd w:val="clear" w:color="auto" w:fill="E7E6E6" w:themeFill="background2"/>
          </w:tcPr>
          <w:p w14:paraId="553AE4CF"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3CD0EA7C" w14:textId="77777777" w:rsidTr="00B040D6">
        <w:tc>
          <w:tcPr>
            <w:tcW w:w="969" w:type="dxa"/>
          </w:tcPr>
          <w:p w14:paraId="02C2891B"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11</w:t>
            </w:r>
          </w:p>
        </w:tc>
        <w:tc>
          <w:tcPr>
            <w:tcW w:w="1032" w:type="dxa"/>
          </w:tcPr>
          <w:p w14:paraId="7C127BD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ca)</w:t>
            </w:r>
          </w:p>
        </w:tc>
        <w:tc>
          <w:tcPr>
            <w:tcW w:w="5173" w:type="dxa"/>
          </w:tcPr>
          <w:p w14:paraId="6C24E4CE"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produkty objęte numerami VTSZ 1704, 1905, nieobjęte lit. </w:t>
            </w:r>
            <w:r>
              <w:rPr>
                <w:i/>
                <w:sz w:val="24"/>
              </w:rPr>
              <w:t>d)</w:t>
            </w:r>
            <w:r>
              <w:rPr>
                <w:sz w:val="24"/>
              </w:rPr>
              <w:t xml:space="preserve"> i 2105 zawierające dodatek cukru, o zawartości cukru przekraczającej 25 gramów na 100 gramów lub zawierające zarówno dodatek cukru, jak i substancje słodzące, z wyłączeniem produktów zawierających co najmniej 20 gramów miodu na 100 gramów, pod warunkiem że ich zawartość cukru nie przekracza 40 gramów na 100 gramów, oraz produktów objętych numerami VTSZ 1905 10 i 1905 40</w:t>
            </w:r>
          </w:p>
        </w:tc>
        <w:tc>
          <w:tcPr>
            <w:tcW w:w="1886" w:type="dxa"/>
          </w:tcPr>
          <w:p w14:paraId="5E6AA88C"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210 HUF/kilogram</w:t>
            </w:r>
          </w:p>
        </w:tc>
      </w:tr>
      <w:tr w:rsidR="00776125" w:rsidRPr="00776125" w14:paraId="42F1CEF1" w14:textId="77777777" w:rsidTr="00B040D6">
        <w:trPr>
          <w:trHeight w:val="2831"/>
        </w:trPr>
        <w:tc>
          <w:tcPr>
            <w:tcW w:w="969" w:type="dxa"/>
          </w:tcPr>
          <w:p w14:paraId="35C078E7"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lastRenderedPageBreak/>
              <w:t>12</w:t>
            </w:r>
          </w:p>
        </w:tc>
        <w:tc>
          <w:tcPr>
            <w:tcW w:w="1032" w:type="dxa"/>
          </w:tcPr>
          <w:p w14:paraId="33EB184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cb)</w:t>
            </w:r>
          </w:p>
        </w:tc>
        <w:tc>
          <w:tcPr>
            <w:tcW w:w="5173" w:type="dxa"/>
          </w:tcPr>
          <w:p w14:paraId="5D100867"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produkty objęte numerami VTSZ 1704, 1905 nieobjęte lit. </w:t>
            </w:r>
            <w:r>
              <w:rPr>
                <w:i/>
                <w:sz w:val="24"/>
              </w:rPr>
              <w:t>d)</w:t>
            </w:r>
            <w:r>
              <w:rPr>
                <w:sz w:val="24"/>
              </w:rPr>
              <w:t xml:space="preserve"> oraz 2105, niezawierające dodatku cukru, ale zawierające substancje słodzące, lub niezawierające substancji słodzących, ale zawierające dodatek cukru, o zawartości cukru nieprzekraczającej 25 gramów na 100 gramów, z wyłączeniem </w:t>
            </w:r>
          </w:p>
          <w:p w14:paraId="4B1F4DBB"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 xml:space="preserve">produktów zawierających co najmniej 20 gramów miodu na 100 gramów, pod warunkiem że ich zawartość cukru nie przekracza 25 gramów na 100 gramów, oraz </w:t>
            </w:r>
          </w:p>
          <w:p w14:paraId="0AF5D182"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produkty objęte numerami VTSZ 1905 10 i 1905 40</w:t>
            </w:r>
          </w:p>
        </w:tc>
        <w:tc>
          <w:tcPr>
            <w:tcW w:w="1886" w:type="dxa"/>
          </w:tcPr>
          <w:p w14:paraId="1373222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65 HUF/kilogram</w:t>
            </w:r>
          </w:p>
        </w:tc>
      </w:tr>
      <w:tr w:rsidR="00776125" w:rsidRPr="00776125" w14:paraId="1D586C74" w14:textId="77777777" w:rsidTr="00B040D6">
        <w:tc>
          <w:tcPr>
            <w:tcW w:w="969" w:type="dxa"/>
          </w:tcPr>
          <w:p w14:paraId="519CC3CC"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13</w:t>
            </w:r>
          </w:p>
        </w:tc>
        <w:tc>
          <w:tcPr>
            <w:tcW w:w="1032" w:type="dxa"/>
          </w:tcPr>
          <w:p w14:paraId="0610578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cc)</w:t>
            </w:r>
          </w:p>
        </w:tc>
        <w:tc>
          <w:tcPr>
            <w:tcW w:w="5173" w:type="dxa"/>
          </w:tcPr>
          <w:p w14:paraId="3BFBB263"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produkty objęte numerem VTSZ 1806 o zawartości kakao mniejszej niż 40 gramów na 100 gramów, zawierające dodatek cukru, o zawartości cukru przekraczającej 40 gramów na 100 gramów lub zawierające zarówno dodatek cukru, jak i substancje słodzące, </w:t>
            </w:r>
          </w:p>
          <w:p w14:paraId="41F74499"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z wyjątkiem produktów zawierających co najmniej 50 % surowców mlecznych oraz</w:t>
            </w:r>
          </w:p>
          <w:p w14:paraId="460F8A1B"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 xml:space="preserve">produktów objętych lit. ce) </w:t>
            </w:r>
          </w:p>
          <w:p w14:paraId="5D32168F" w14:textId="77777777" w:rsidR="00776125" w:rsidRPr="00776125" w:rsidRDefault="00776125" w:rsidP="00B040D6">
            <w:pPr>
              <w:tabs>
                <w:tab w:val="left" w:pos="567"/>
              </w:tabs>
              <w:spacing w:before="120" w:line="240" w:lineRule="auto"/>
              <w:jc w:val="both"/>
              <w:rPr>
                <w:sz w:val="24"/>
                <w:szCs w:val="24"/>
              </w:rPr>
            </w:pPr>
          </w:p>
        </w:tc>
        <w:tc>
          <w:tcPr>
            <w:tcW w:w="1886" w:type="dxa"/>
          </w:tcPr>
          <w:p w14:paraId="6598433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210 HUF/kilogram</w:t>
            </w:r>
          </w:p>
        </w:tc>
      </w:tr>
      <w:tr w:rsidR="00776125" w:rsidRPr="00776125" w14:paraId="7F562C93" w14:textId="77777777" w:rsidTr="00B040D6">
        <w:tc>
          <w:tcPr>
            <w:tcW w:w="969" w:type="dxa"/>
          </w:tcPr>
          <w:p w14:paraId="64456A3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14</w:t>
            </w:r>
          </w:p>
        </w:tc>
        <w:tc>
          <w:tcPr>
            <w:tcW w:w="1032" w:type="dxa"/>
          </w:tcPr>
          <w:p w14:paraId="5607C1A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cd)</w:t>
            </w:r>
          </w:p>
        </w:tc>
        <w:tc>
          <w:tcPr>
            <w:tcW w:w="5173" w:type="dxa"/>
          </w:tcPr>
          <w:p w14:paraId="029CF412" w14:textId="77777777" w:rsidR="00776125" w:rsidRPr="00776125" w:rsidRDefault="00776125" w:rsidP="00B040D6">
            <w:pPr>
              <w:tabs>
                <w:tab w:val="left" w:pos="567"/>
              </w:tabs>
              <w:spacing w:before="120" w:line="240" w:lineRule="auto"/>
              <w:jc w:val="both"/>
              <w:rPr>
                <w:sz w:val="24"/>
                <w:szCs w:val="24"/>
              </w:rPr>
            </w:pPr>
            <w:r>
              <w:rPr>
                <w:sz w:val="24"/>
              </w:rPr>
              <w:t xml:space="preserve">produkty objęte numerem VTSZ 1806 o zawartości kakao mniejszej niż 40 gramów na 100 gramów, niezawierające dodatku cukru, ale zawierające substancje słodzące, lub niezawierające substancji słodzących, ale zawierające dodatek cukru, o zawartości cukru nieprzekraczającej 40 gramów na 100 gramów, </w:t>
            </w:r>
          </w:p>
          <w:p w14:paraId="5A4C0631"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 xml:space="preserve">z wyjątkiem produktów zawierających co najmniej 50 % surowców mlecznych oraz </w:t>
            </w:r>
          </w:p>
          <w:p w14:paraId="319673B9"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 xml:space="preserve">produktów objętych lit. ce) </w:t>
            </w:r>
          </w:p>
          <w:p w14:paraId="73E25C97"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p>
        </w:tc>
        <w:tc>
          <w:tcPr>
            <w:tcW w:w="1886" w:type="dxa"/>
          </w:tcPr>
          <w:p w14:paraId="4E070BA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65 HUF/kilogram</w:t>
            </w:r>
          </w:p>
        </w:tc>
      </w:tr>
      <w:tr w:rsidR="00776125" w:rsidRPr="00776125" w14:paraId="25F8DC2F" w14:textId="77777777" w:rsidTr="00B040D6">
        <w:tc>
          <w:tcPr>
            <w:tcW w:w="969" w:type="dxa"/>
          </w:tcPr>
          <w:p w14:paraId="27F904BB"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15</w:t>
            </w:r>
          </w:p>
        </w:tc>
        <w:tc>
          <w:tcPr>
            <w:tcW w:w="1032" w:type="dxa"/>
          </w:tcPr>
          <w:p w14:paraId="1737413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ce)</w:t>
            </w:r>
          </w:p>
        </w:tc>
        <w:tc>
          <w:tcPr>
            <w:tcW w:w="5173" w:type="dxa"/>
          </w:tcPr>
          <w:p w14:paraId="3DCCC4AD"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produkty objęte numerem VTSZ 1806 10 o zawartości kakao mniejszej niż 40 gramów na 100 gramów, zawierające dodatek cukru i substancji słodzących, lub niezawierające substancji słodzących, ale zawierające dodatek cukru, o zawartości cukru przekraczającej 40 gramów na 100 gramów</w:t>
            </w:r>
          </w:p>
        </w:tc>
        <w:tc>
          <w:tcPr>
            <w:tcW w:w="1886" w:type="dxa"/>
          </w:tcPr>
          <w:p w14:paraId="73A1EC7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110 HUF/kilogram</w:t>
            </w:r>
          </w:p>
        </w:tc>
      </w:tr>
      <w:tr w:rsidR="00776125" w:rsidRPr="00776125" w14:paraId="365CE616" w14:textId="77777777" w:rsidTr="00B040D6">
        <w:tc>
          <w:tcPr>
            <w:tcW w:w="969" w:type="dxa"/>
          </w:tcPr>
          <w:p w14:paraId="5723B9D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lastRenderedPageBreak/>
              <w:t>16</w:t>
            </w:r>
          </w:p>
        </w:tc>
        <w:tc>
          <w:tcPr>
            <w:tcW w:w="1032" w:type="dxa"/>
          </w:tcPr>
          <w:p w14:paraId="109D1A8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cf)</w:t>
            </w:r>
          </w:p>
        </w:tc>
        <w:tc>
          <w:tcPr>
            <w:tcW w:w="5173" w:type="dxa"/>
          </w:tcPr>
          <w:p w14:paraId="760EF046"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produkty objęte numerem VTSZ 1806 10 o zawartości kakao mniejszej niż 40 gramów na 100 gramów, niezawierające dodatku cukru, ale zawierające substancje słodzące, lub niezawierające substancji słodzących, ale zawierające dodatek cukru, o zawartości cukru nieprzekraczającej 40 gramów na 100 gramów</w:t>
            </w:r>
          </w:p>
        </w:tc>
        <w:tc>
          <w:tcPr>
            <w:tcW w:w="1886" w:type="dxa"/>
          </w:tcPr>
          <w:p w14:paraId="3624A1B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40 HUF/kilogram </w:t>
            </w:r>
          </w:p>
        </w:tc>
      </w:tr>
      <w:tr w:rsidR="00776125" w:rsidRPr="00776125" w14:paraId="1DC24482" w14:textId="77777777" w:rsidTr="00B040D6">
        <w:tc>
          <w:tcPr>
            <w:tcW w:w="969" w:type="dxa"/>
          </w:tcPr>
          <w:p w14:paraId="24F3B67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17</w:t>
            </w:r>
          </w:p>
        </w:tc>
        <w:tc>
          <w:tcPr>
            <w:tcW w:w="1032" w:type="dxa"/>
            <w:vMerge w:val="restart"/>
          </w:tcPr>
          <w:p w14:paraId="34AB5F8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d) </w:t>
            </w:r>
          </w:p>
        </w:tc>
        <w:tc>
          <w:tcPr>
            <w:tcW w:w="5173" w:type="dxa"/>
            <w:vAlign w:val="center"/>
          </w:tcPr>
          <w:p w14:paraId="2D7C7A49" w14:textId="77777777" w:rsidR="00776125" w:rsidRPr="00776125" w:rsidRDefault="00776125" w:rsidP="00B040D6">
            <w:pPr>
              <w:autoSpaceDE w:val="0"/>
              <w:autoSpaceDN w:val="0"/>
              <w:adjustRightInd w:val="0"/>
              <w:spacing w:before="120" w:after="120" w:line="240" w:lineRule="auto"/>
              <w:rPr>
                <w:sz w:val="24"/>
                <w:szCs w:val="24"/>
              </w:rPr>
            </w:pPr>
            <w:r>
              <w:rPr>
                <w:sz w:val="24"/>
              </w:rPr>
              <w:t>Słone przekąski</w:t>
            </w:r>
          </w:p>
        </w:tc>
        <w:tc>
          <w:tcPr>
            <w:tcW w:w="1886" w:type="dxa"/>
            <w:shd w:val="clear" w:color="auto" w:fill="E7E6E6" w:themeFill="background2"/>
          </w:tcPr>
          <w:p w14:paraId="1B6C1DDC"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772530FE" w14:textId="77777777" w:rsidTr="00B040D6">
        <w:trPr>
          <w:trHeight w:val="3033"/>
        </w:trPr>
        <w:tc>
          <w:tcPr>
            <w:tcW w:w="969" w:type="dxa"/>
          </w:tcPr>
          <w:p w14:paraId="40CB02EC"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18</w:t>
            </w:r>
          </w:p>
        </w:tc>
        <w:tc>
          <w:tcPr>
            <w:tcW w:w="1032" w:type="dxa"/>
            <w:vMerge/>
          </w:tcPr>
          <w:p w14:paraId="473BED74" w14:textId="77777777" w:rsidR="00776125" w:rsidRPr="00776125" w:rsidRDefault="00776125" w:rsidP="00B040D6">
            <w:pPr>
              <w:autoSpaceDE w:val="0"/>
              <w:autoSpaceDN w:val="0"/>
              <w:adjustRightInd w:val="0"/>
              <w:spacing w:before="240" w:after="240" w:line="240" w:lineRule="auto"/>
              <w:jc w:val="center"/>
              <w:rPr>
                <w:sz w:val="24"/>
                <w:szCs w:val="24"/>
              </w:rPr>
            </w:pPr>
          </w:p>
        </w:tc>
        <w:tc>
          <w:tcPr>
            <w:tcW w:w="5173" w:type="dxa"/>
          </w:tcPr>
          <w:p w14:paraId="61114D2F"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produkty objęte numerami VTSZ 1904, 1905, 2005 20 20, 2005 99 i 2008 z wykorzystaniem zbóż, ziemniaków, warzyw lub nasion oleistych, pieczone, wytłaczane, przypiekane, dmuchane lub prażone, nadające się do bezpośredniego spożycia, jeżeli </w:t>
            </w:r>
          </w:p>
          <w:p w14:paraId="6FCB004D" w14:textId="77777777" w:rsidR="00776125" w:rsidRPr="00776125" w:rsidRDefault="00776125" w:rsidP="00776125">
            <w:pPr>
              <w:pStyle w:val="ListParagraph"/>
              <w:numPr>
                <w:ilvl w:val="0"/>
                <w:numId w:val="5"/>
              </w:numPr>
              <w:tabs>
                <w:tab w:val="left" w:pos="567"/>
              </w:tabs>
              <w:spacing w:before="120" w:after="0" w:line="240" w:lineRule="auto"/>
              <w:ind w:left="553"/>
              <w:jc w:val="both"/>
              <w:rPr>
                <w:sz w:val="24"/>
                <w:szCs w:val="24"/>
              </w:rPr>
            </w:pPr>
            <w:r>
              <w:rPr>
                <w:sz w:val="24"/>
              </w:rPr>
              <w:t>ich zawartość soli przekracza 1 gram na 100 gramów, lub</w:t>
            </w:r>
          </w:p>
          <w:p w14:paraId="59D79051" w14:textId="77777777" w:rsidR="00776125" w:rsidRPr="00776125" w:rsidRDefault="00776125" w:rsidP="00776125">
            <w:pPr>
              <w:pStyle w:val="ListParagraph"/>
              <w:numPr>
                <w:ilvl w:val="0"/>
                <w:numId w:val="5"/>
              </w:numPr>
              <w:tabs>
                <w:tab w:val="left" w:pos="567"/>
              </w:tabs>
              <w:spacing w:before="120" w:after="0" w:line="240" w:lineRule="auto"/>
              <w:ind w:left="553"/>
              <w:jc w:val="both"/>
              <w:rPr>
                <w:sz w:val="24"/>
                <w:szCs w:val="24"/>
              </w:rPr>
            </w:pPr>
            <w:r>
              <w:rPr>
                <w:sz w:val="24"/>
              </w:rPr>
              <w:t xml:space="preserve">ich zawartość nasyconych kwasów tłuszczowych przekracza 2 g na 100 gramów, </w:t>
            </w:r>
          </w:p>
          <w:p w14:paraId="3DC8677D"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z wyłączeniem chleba i produktów piekarniczych zgodnie z Codex Alimentarius Hungaricus, o zawartości soli nieprzekraczającej 2 gramów na 100 gramów</w:t>
            </w:r>
          </w:p>
        </w:tc>
        <w:tc>
          <w:tcPr>
            <w:tcW w:w="1886" w:type="dxa"/>
          </w:tcPr>
          <w:p w14:paraId="4C370E1C"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390 HUF/kilogram</w:t>
            </w:r>
          </w:p>
        </w:tc>
      </w:tr>
      <w:tr w:rsidR="00776125" w:rsidRPr="00776125" w14:paraId="354CECFA" w14:textId="77777777" w:rsidTr="00B040D6">
        <w:tc>
          <w:tcPr>
            <w:tcW w:w="969" w:type="dxa"/>
          </w:tcPr>
          <w:p w14:paraId="68D584E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19</w:t>
            </w:r>
          </w:p>
        </w:tc>
        <w:tc>
          <w:tcPr>
            <w:tcW w:w="1032" w:type="dxa"/>
            <w:vMerge w:val="restart"/>
          </w:tcPr>
          <w:p w14:paraId="6258328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e)</w:t>
            </w:r>
          </w:p>
        </w:tc>
        <w:tc>
          <w:tcPr>
            <w:tcW w:w="5173" w:type="dxa"/>
            <w:vAlign w:val="center"/>
          </w:tcPr>
          <w:p w14:paraId="6C96A5F3" w14:textId="77777777" w:rsidR="00776125" w:rsidRPr="00776125" w:rsidRDefault="00776125" w:rsidP="00B040D6">
            <w:pPr>
              <w:autoSpaceDE w:val="0"/>
              <w:autoSpaceDN w:val="0"/>
              <w:adjustRightInd w:val="0"/>
              <w:spacing w:before="120" w:after="120" w:line="240" w:lineRule="auto"/>
              <w:rPr>
                <w:sz w:val="24"/>
                <w:szCs w:val="24"/>
              </w:rPr>
            </w:pPr>
            <w:r>
              <w:rPr>
                <w:sz w:val="24"/>
              </w:rPr>
              <w:t>Przyprawy</w:t>
            </w:r>
          </w:p>
        </w:tc>
        <w:tc>
          <w:tcPr>
            <w:tcW w:w="1886" w:type="dxa"/>
            <w:vMerge w:val="restart"/>
          </w:tcPr>
          <w:p w14:paraId="6A695DBA"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390 HUF/kilogram</w:t>
            </w:r>
          </w:p>
          <w:p w14:paraId="673D8B8C"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lub </w:t>
            </w:r>
          </w:p>
          <w:p w14:paraId="3F1F780A"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390 HUF/litr</w:t>
            </w:r>
          </w:p>
        </w:tc>
      </w:tr>
      <w:tr w:rsidR="00776125" w:rsidRPr="00776125" w14:paraId="4377DDA7" w14:textId="77777777" w:rsidTr="00B040D6">
        <w:tc>
          <w:tcPr>
            <w:tcW w:w="969" w:type="dxa"/>
          </w:tcPr>
          <w:p w14:paraId="632C086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20</w:t>
            </w:r>
          </w:p>
        </w:tc>
        <w:tc>
          <w:tcPr>
            <w:tcW w:w="1032" w:type="dxa"/>
            <w:vMerge/>
          </w:tcPr>
          <w:p w14:paraId="2B4AA871" w14:textId="77777777" w:rsidR="00776125" w:rsidRPr="00776125" w:rsidRDefault="00776125" w:rsidP="00B040D6">
            <w:pPr>
              <w:autoSpaceDE w:val="0"/>
              <w:autoSpaceDN w:val="0"/>
              <w:adjustRightInd w:val="0"/>
              <w:spacing w:before="240" w:after="240" w:line="240" w:lineRule="auto"/>
              <w:jc w:val="center"/>
              <w:rPr>
                <w:sz w:val="24"/>
                <w:szCs w:val="24"/>
              </w:rPr>
            </w:pPr>
          </w:p>
        </w:tc>
        <w:tc>
          <w:tcPr>
            <w:tcW w:w="5173" w:type="dxa"/>
          </w:tcPr>
          <w:p w14:paraId="6A2CAECC" w14:textId="77777777" w:rsidR="00776125" w:rsidRPr="00776125" w:rsidRDefault="00776125" w:rsidP="00B040D6">
            <w:pPr>
              <w:autoSpaceDE w:val="0"/>
              <w:autoSpaceDN w:val="0"/>
              <w:adjustRightInd w:val="0"/>
              <w:spacing w:before="120" w:after="120" w:line="240" w:lineRule="auto"/>
              <w:jc w:val="both"/>
              <w:rPr>
                <w:sz w:val="24"/>
                <w:szCs w:val="24"/>
              </w:rPr>
            </w:pPr>
            <w:r>
              <w:rPr>
                <w:sz w:val="24"/>
              </w:rPr>
              <w:t xml:space="preserve">produkty objęte numerami VTSZ 2103 i 2104, które nie są preparatami do użytku dla niemowląt, gotowymi do spożycia zupami lub sosami, jeżeli ich zawartość soli przekracza 5 gramów na 100 gramów, z wyjątkiem </w:t>
            </w:r>
          </w:p>
          <w:p w14:paraId="4F3AA758" w14:textId="77777777" w:rsidR="00776125" w:rsidRPr="00776125" w:rsidRDefault="00776125" w:rsidP="00776125">
            <w:pPr>
              <w:pStyle w:val="ListParagraph"/>
              <w:numPr>
                <w:ilvl w:val="0"/>
                <w:numId w:val="5"/>
              </w:numPr>
              <w:autoSpaceDE w:val="0"/>
              <w:autoSpaceDN w:val="0"/>
              <w:adjustRightInd w:val="0"/>
              <w:spacing w:before="240" w:after="240" w:line="240" w:lineRule="auto"/>
              <w:ind w:left="553"/>
              <w:jc w:val="both"/>
              <w:rPr>
                <w:sz w:val="24"/>
                <w:szCs w:val="24"/>
              </w:rPr>
            </w:pPr>
            <w:r>
              <w:rPr>
                <w:sz w:val="24"/>
              </w:rPr>
              <w:t xml:space="preserve">musztardy, </w:t>
            </w:r>
          </w:p>
          <w:p w14:paraId="1832AFA4" w14:textId="77777777" w:rsidR="00776125" w:rsidRPr="00776125" w:rsidRDefault="00776125" w:rsidP="00776125">
            <w:pPr>
              <w:pStyle w:val="ListParagraph"/>
              <w:numPr>
                <w:ilvl w:val="0"/>
                <w:numId w:val="5"/>
              </w:numPr>
              <w:autoSpaceDE w:val="0"/>
              <w:autoSpaceDN w:val="0"/>
              <w:adjustRightInd w:val="0"/>
              <w:spacing w:before="240" w:after="240" w:line="240" w:lineRule="auto"/>
              <w:ind w:left="553"/>
              <w:jc w:val="both"/>
              <w:rPr>
                <w:sz w:val="24"/>
                <w:szCs w:val="24"/>
              </w:rPr>
            </w:pPr>
            <w:r>
              <w:rPr>
                <w:sz w:val="24"/>
              </w:rPr>
              <w:t>ketchupu,</w:t>
            </w:r>
          </w:p>
          <w:p w14:paraId="6B88E3CB" w14:textId="77777777" w:rsidR="00776125" w:rsidRPr="00776125" w:rsidRDefault="00776125" w:rsidP="00776125">
            <w:pPr>
              <w:pStyle w:val="ListParagraph"/>
              <w:numPr>
                <w:ilvl w:val="0"/>
                <w:numId w:val="5"/>
              </w:numPr>
              <w:autoSpaceDE w:val="0"/>
              <w:autoSpaceDN w:val="0"/>
              <w:adjustRightInd w:val="0"/>
              <w:spacing w:before="240" w:after="240" w:line="240" w:lineRule="auto"/>
              <w:ind w:left="553"/>
              <w:jc w:val="both"/>
              <w:rPr>
                <w:sz w:val="24"/>
                <w:szCs w:val="24"/>
              </w:rPr>
            </w:pPr>
            <w:r>
              <w:rPr>
                <w:sz w:val="24"/>
              </w:rPr>
              <w:t>oraz solonych przypraw roślinnych, które nie są suszone, posiekane ani rozwłóknione, o zawartości soli nieprzekraczającej 15 gramów na 100 gramów</w:t>
            </w:r>
          </w:p>
        </w:tc>
        <w:tc>
          <w:tcPr>
            <w:tcW w:w="1886" w:type="dxa"/>
            <w:vMerge/>
          </w:tcPr>
          <w:p w14:paraId="7D97CBF1"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510DE9CC" w14:textId="77777777" w:rsidTr="00B040D6">
        <w:tc>
          <w:tcPr>
            <w:tcW w:w="969" w:type="dxa"/>
          </w:tcPr>
          <w:p w14:paraId="687F284E"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21</w:t>
            </w:r>
          </w:p>
        </w:tc>
        <w:tc>
          <w:tcPr>
            <w:tcW w:w="1032" w:type="dxa"/>
          </w:tcPr>
          <w:p w14:paraId="713A33F7"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f) </w:t>
            </w:r>
          </w:p>
        </w:tc>
        <w:tc>
          <w:tcPr>
            <w:tcW w:w="5173" w:type="dxa"/>
            <w:vAlign w:val="center"/>
          </w:tcPr>
          <w:p w14:paraId="60E87FB1" w14:textId="77777777" w:rsidR="00776125" w:rsidRPr="00776125" w:rsidRDefault="00776125" w:rsidP="00B040D6">
            <w:pPr>
              <w:autoSpaceDE w:val="0"/>
              <w:autoSpaceDN w:val="0"/>
              <w:adjustRightInd w:val="0"/>
              <w:spacing w:before="120" w:after="120" w:line="240" w:lineRule="auto"/>
              <w:rPr>
                <w:sz w:val="24"/>
                <w:szCs w:val="24"/>
              </w:rPr>
            </w:pPr>
            <w:r>
              <w:rPr>
                <w:sz w:val="24"/>
              </w:rPr>
              <w:t>Piwa smakowe</w:t>
            </w:r>
          </w:p>
        </w:tc>
        <w:tc>
          <w:tcPr>
            <w:tcW w:w="1886" w:type="dxa"/>
            <w:shd w:val="clear" w:color="auto" w:fill="E7E6E6" w:themeFill="background2"/>
          </w:tcPr>
          <w:p w14:paraId="527797F8"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4E48C1B3" w14:textId="77777777" w:rsidTr="00B040D6">
        <w:tc>
          <w:tcPr>
            <w:tcW w:w="969" w:type="dxa"/>
          </w:tcPr>
          <w:p w14:paraId="1DCF15B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22</w:t>
            </w:r>
          </w:p>
        </w:tc>
        <w:tc>
          <w:tcPr>
            <w:tcW w:w="1032" w:type="dxa"/>
          </w:tcPr>
          <w:p w14:paraId="2C8203A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fa)</w:t>
            </w:r>
          </w:p>
        </w:tc>
        <w:tc>
          <w:tcPr>
            <w:tcW w:w="5173" w:type="dxa"/>
          </w:tcPr>
          <w:p w14:paraId="12D3BBAC"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napoje zawierające piwo i dodatek cukru, o zawartości cukru przekraczającej 5 gramów na 100 mililitrów lub zawierające zarówno dodatek cukru, jak i substancje słodzące, włącznie z przypadkami, </w:t>
            </w:r>
            <w:r>
              <w:rPr>
                <w:sz w:val="24"/>
              </w:rPr>
              <w:lastRenderedPageBreak/>
              <w:t>w których jeden ze składników produktu zawiera cukier lub substancje słodzące</w:t>
            </w:r>
          </w:p>
        </w:tc>
        <w:tc>
          <w:tcPr>
            <w:tcW w:w="1886" w:type="dxa"/>
          </w:tcPr>
          <w:p w14:paraId="5FD3755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lastRenderedPageBreak/>
              <w:t>33 HUF/litr</w:t>
            </w:r>
          </w:p>
        </w:tc>
      </w:tr>
      <w:tr w:rsidR="00776125" w:rsidRPr="00776125" w14:paraId="30EE01C1" w14:textId="77777777" w:rsidTr="00B040D6">
        <w:tc>
          <w:tcPr>
            <w:tcW w:w="969" w:type="dxa"/>
          </w:tcPr>
          <w:p w14:paraId="583BD3FB"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23</w:t>
            </w:r>
          </w:p>
        </w:tc>
        <w:tc>
          <w:tcPr>
            <w:tcW w:w="1032" w:type="dxa"/>
          </w:tcPr>
          <w:p w14:paraId="0A4029D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fb)</w:t>
            </w:r>
          </w:p>
        </w:tc>
        <w:tc>
          <w:tcPr>
            <w:tcW w:w="5173" w:type="dxa"/>
          </w:tcPr>
          <w:p w14:paraId="5A92C96B"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napoje zawierające piwo i niezawierające dodatku cukru, ale zawierające substancje słodzące, lub niezawierające substancji słodzących, ale zawierające dodatek cukru, o zawartości cukru nieprzekraczającej 5 gramów na 100 mililitrów, włącznie z przypadkami, w których jeden ze składników produktu zawiera cukier lub substancje słodzące</w:t>
            </w:r>
          </w:p>
        </w:tc>
        <w:tc>
          <w:tcPr>
            <w:tcW w:w="1886" w:type="dxa"/>
          </w:tcPr>
          <w:p w14:paraId="4C45E84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10 HUF/litr</w:t>
            </w:r>
          </w:p>
        </w:tc>
      </w:tr>
      <w:tr w:rsidR="00776125" w:rsidRPr="00776125" w14:paraId="2D1E8A42" w14:textId="77777777" w:rsidTr="00B040D6">
        <w:tc>
          <w:tcPr>
            <w:tcW w:w="969" w:type="dxa"/>
          </w:tcPr>
          <w:p w14:paraId="35C627E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24</w:t>
            </w:r>
          </w:p>
        </w:tc>
        <w:tc>
          <w:tcPr>
            <w:tcW w:w="1032" w:type="dxa"/>
          </w:tcPr>
          <w:p w14:paraId="0DF573C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g) </w:t>
            </w:r>
          </w:p>
        </w:tc>
        <w:tc>
          <w:tcPr>
            <w:tcW w:w="5173" w:type="dxa"/>
            <w:vAlign w:val="center"/>
          </w:tcPr>
          <w:p w14:paraId="1C676F3D" w14:textId="77777777" w:rsidR="00776125" w:rsidRPr="00776125" w:rsidRDefault="00776125" w:rsidP="00B040D6">
            <w:pPr>
              <w:autoSpaceDE w:val="0"/>
              <w:autoSpaceDN w:val="0"/>
              <w:adjustRightInd w:val="0"/>
              <w:spacing w:before="120" w:after="120" w:line="240" w:lineRule="auto"/>
              <w:rPr>
                <w:sz w:val="24"/>
                <w:szCs w:val="24"/>
              </w:rPr>
            </w:pPr>
            <w:r>
              <w:rPr>
                <w:sz w:val="24"/>
              </w:rPr>
              <w:t>Alkopopy</w:t>
            </w:r>
          </w:p>
        </w:tc>
        <w:tc>
          <w:tcPr>
            <w:tcW w:w="1886" w:type="dxa"/>
            <w:shd w:val="clear" w:color="auto" w:fill="E7E6E6" w:themeFill="background2"/>
          </w:tcPr>
          <w:p w14:paraId="472337C0"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5EC4FD31" w14:textId="77777777" w:rsidTr="00B040D6">
        <w:tc>
          <w:tcPr>
            <w:tcW w:w="969" w:type="dxa"/>
          </w:tcPr>
          <w:p w14:paraId="07AAC0B9"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25</w:t>
            </w:r>
          </w:p>
        </w:tc>
        <w:tc>
          <w:tcPr>
            <w:tcW w:w="1032" w:type="dxa"/>
          </w:tcPr>
          <w:p w14:paraId="3CB03C4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ga)</w:t>
            </w:r>
          </w:p>
        </w:tc>
        <w:tc>
          <w:tcPr>
            <w:tcW w:w="5173" w:type="dxa"/>
          </w:tcPr>
          <w:p w14:paraId="5004EC58"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napoje objęte numerem VTSZ 2208 o objętościowej mocy alkoholu nie większej niż 5 % obj., zawierające napoje bezalkoholowe lub dodatki oraz dodane cukry, o zawartości cukru przekraczającej 5 gramów na 100 mililitrów lub zawierające zarówno dodatek cukru, jak i substancje słodzące, w tym te, w których jeden ze składników produktu zawiera cukier lub substancje słodzące</w:t>
            </w:r>
          </w:p>
        </w:tc>
        <w:tc>
          <w:tcPr>
            <w:tcW w:w="1886" w:type="dxa"/>
          </w:tcPr>
          <w:p w14:paraId="67EBDE8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33 HUF/litr</w:t>
            </w:r>
          </w:p>
        </w:tc>
      </w:tr>
      <w:tr w:rsidR="00776125" w:rsidRPr="00776125" w14:paraId="43DC3C6E" w14:textId="77777777" w:rsidTr="00B040D6">
        <w:tc>
          <w:tcPr>
            <w:tcW w:w="969" w:type="dxa"/>
          </w:tcPr>
          <w:p w14:paraId="46322F5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26</w:t>
            </w:r>
          </w:p>
        </w:tc>
        <w:tc>
          <w:tcPr>
            <w:tcW w:w="1032" w:type="dxa"/>
          </w:tcPr>
          <w:p w14:paraId="0E4E338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gb)</w:t>
            </w:r>
          </w:p>
        </w:tc>
        <w:tc>
          <w:tcPr>
            <w:tcW w:w="5173" w:type="dxa"/>
          </w:tcPr>
          <w:p w14:paraId="691CB576"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napoje objęte numerem VTSZ 2208 o objętościowej mocy alkoholu nie większej niż 5 % obj., niezawierające napojów bezalkoholowych lub dodatków oraz dodatku cukru, ale zawierające substancje słodzące, lub niezawierające substancji słodzących, ale zawierające dodatek cukru, o zawartości cukru nieprzekraczającej 5 gramów na 100 mililitrów, włącznie z przypadkami, w których jeden ze składników produktu zawiera cukier lub substancje słodzące</w:t>
            </w:r>
          </w:p>
        </w:tc>
        <w:tc>
          <w:tcPr>
            <w:tcW w:w="1886" w:type="dxa"/>
          </w:tcPr>
          <w:p w14:paraId="0D6A58C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10 HUF/litr</w:t>
            </w:r>
          </w:p>
        </w:tc>
      </w:tr>
      <w:tr w:rsidR="00776125" w:rsidRPr="00776125" w14:paraId="6FB473BA" w14:textId="77777777" w:rsidTr="00B040D6">
        <w:tc>
          <w:tcPr>
            <w:tcW w:w="969" w:type="dxa"/>
          </w:tcPr>
          <w:p w14:paraId="7307310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27</w:t>
            </w:r>
          </w:p>
        </w:tc>
        <w:tc>
          <w:tcPr>
            <w:tcW w:w="1032" w:type="dxa"/>
          </w:tcPr>
          <w:p w14:paraId="75F00CE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w:t>
            </w:r>
          </w:p>
        </w:tc>
        <w:tc>
          <w:tcPr>
            <w:tcW w:w="5173" w:type="dxa"/>
            <w:vAlign w:val="center"/>
          </w:tcPr>
          <w:p w14:paraId="152B67B7" w14:textId="77777777" w:rsidR="00776125" w:rsidRPr="00776125" w:rsidRDefault="00776125" w:rsidP="00B040D6">
            <w:pPr>
              <w:autoSpaceDE w:val="0"/>
              <w:autoSpaceDN w:val="0"/>
              <w:adjustRightInd w:val="0"/>
              <w:spacing w:before="240" w:after="240" w:line="240" w:lineRule="auto"/>
              <w:rPr>
                <w:sz w:val="24"/>
                <w:szCs w:val="24"/>
              </w:rPr>
            </w:pPr>
            <w:r>
              <w:rPr>
                <w:sz w:val="24"/>
              </w:rPr>
              <w:t>Dżemy owocowe</w:t>
            </w:r>
          </w:p>
        </w:tc>
        <w:tc>
          <w:tcPr>
            <w:tcW w:w="1886" w:type="dxa"/>
            <w:shd w:val="clear" w:color="auto" w:fill="E7E6E6" w:themeFill="background2"/>
          </w:tcPr>
          <w:p w14:paraId="3D3685B6"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6F6F0D75" w14:textId="77777777" w:rsidTr="00B040D6">
        <w:tc>
          <w:tcPr>
            <w:tcW w:w="969" w:type="dxa"/>
          </w:tcPr>
          <w:p w14:paraId="78C893E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28</w:t>
            </w:r>
          </w:p>
        </w:tc>
        <w:tc>
          <w:tcPr>
            <w:tcW w:w="1032" w:type="dxa"/>
          </w:tcPr>
          <w:p w14:paraId="41DE6C4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ha)</w:t>
            </w:r>
          </w:p>
        </w:tc>
        <w:tc>
          <w:tcPr>
            <w:tcW w:w="5173" w:type="dxa"/>
          </w:tcPr>
          <w:p w14:paraId="0CEC4FD6"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produkty objęte numerem VTSZ 2007, zawierające dodatek cukru, o zawartości cukru przekraczającej 35 gramów na 100 gramów lub zawierające zarówno dodatek cukru, jak i substancji słodzących, z wyjątkiem dodatkowych dżemów, dodatkowych galaretek, marmolad i dżemów specjalnej jakości, zgodnie z Codex Alimentarius Hungaricus</w:t>
            </w:r>
          </w:p>
        </w:tc>
        <w:tc>
          <w:tcPr>
            <w:tcW w:w="1886" w:type="dxa"/>
          </w:tcPr>
          <w:p w14:paraId="60BF842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780 HUF/kilogram</w:t>
            </w:r>
          </w:p>
          <w:p w14:paraId="2E3CD974"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0FB310BE" w14:textId="77777777" w:rsidTr="00B040D6">
        <w:tc>
          <w:tcPr>
            <w:tcW w:w="969" w:type="dxa"/>
          </w:tcPr>
          <w:p w14:paraId="126424F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29</w:t>
            </w:r>
          </w:p>
        </w:tc>
        <w:tc>
          <w:tcPr>
            <w:tcW w:w="1032" w:type="dxa"/>
          </w:tcPr>
          <w:p w14:paraId="26E9C02A"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hb)</w:t>
            </w:r>
          </w:p>
        </w:tc>
        <w:tc>
          <w:tcPr>
            <w:tcW w:w="5173" w:type="dxa"/>
          </w:tcPr>
          <w:p w14:paraId="707DCED7"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produkty objęte numerem VTSZ 2007 niezawierające dodatku cukru, ale zawierające substancje słodzące, lub niezawierające substancji słodzących, ale zawierające dodatek cukru, o zawartości cukru nieprzekraczającej 35 gramów na </w:t>
            </w:r>
            <w:r>
              <w:rPr>
                <w:sz w:val="24"/>
              </w:rPr>
              <w:lastRenderedPageBreak/>
              <w:t>100 gramów, z wyjątkiem dodatkowych dżemów, dodatkowych galaretek, marmolad i dżemów specjalnej jakości, zgodnie z Codex Alimentarius Hungaricus</w:t>
            </w:r>
          </w:p>
        </w:tc>
        <w:tc>
          <w:tcPr>
            <w:tcW w:w="1886" w:type="dxa"/>
          </w:tcPr>
          <w:p w14:paraId="2575082A"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lastRenderedPageBreak/>
              <w:t>260 HUF/kilogram</w:t>
            </w:r>
          </w:p>
          <w:p w14:paraId="15C7090E"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4A841759" w14:textId="77777777" w:rsidTr="00B040D6">
        <w:tc>
          <w:tcPr>
            <w:tcW w:w="969" w:type="dxa"/>
          </w:tcPr>
          <w:p w14:paraId="6395F46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30</w:t>
            </w:r>
          </w:p>
        </w:tc>
        <w:tc>
          <w:tcPr>
            <w:tcW w:w="1032" w:type="dxa"/>
          </w:tcPr>
          <w:p w14:paraId="0ACE1A2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i)</w:t>
            </w:r>
          </w:p>
        </w:tc>
        <w:tc>
          <w:tcPr>
            <w:tcW w:w="5173" w:type="dxa"/>
            <w:vAlign w:val="center"/>
          </w:tcPr>
          <w:p w14:paraId="1FCDA12F" w14:textId="77777777" w:rsidR="00776125" w:rsidRPr="00776125" w:rsidRDefault="00776125" w:rsidP="00B040D6">
            <w:pPr>
              <w:autoSpaceDE w:val="0"/>
              <w:autoSpaceDN w:val="0"/>
              <w:adjustRightInd w:val="0"/>
              <w:spacing w:before="120" w:after="120" w:line="240" w:lineRule="auto"/>
              <w:rPr>
                <w:sz w:val="24"/>
                <w:szCs w:val="24"/>
              </w:rPr>
            </w:pPr>
            <w:r>
              <w:rPr>
                <w:sz w:val="24"/>
              </w:rPr>
              <w:t>Przysmaki</w:t>
            </w:r>
          </w:p>
        </w:tc>
        <w:tc>
          <w:tcPr>
            <w:tcW w:w="1886" w:type="dxa"/>
            <w:shd w:val="clear" w:color="auto" w:fill="E7E6E6" w:themeFill="background2"/>
          </w:tcPr>
          <w:p w14:paraId="2EAD5434"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762BCEAC" w14:textId="77777777" w:rsidTr="00B040D6">
        <w:tc>
          <w:tcPr>
            <w:tcW w:w="969" w:type="dxa"/>
          </w:tcPr>
          <w:p w14:paraId="48807D9C"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31</w:t>
            </w:r>
          </w:p>
        </w:tc>
        <w:tc>
          <w:tcPr>
            <w:tcW w:w="1032" w:type="dxa"/>
          </w:tcPr>
          <w:p w14:paraId="045FA01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ia)</w:t>
            </w:r>
          </w:p>
        </w:tc>
        <w:tc>
          <w:tcPr>
            <w:tcW w:w="5173" w:type="dxa"/>
          </w:tcPr>
          <w:p w14:paraId="638C7035"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produkty objęte numerem VTSZ 1904, nieobjęte lit. </w:t>
            </w:r>
            <w:r>
              <w:rPr>
                <w:i/>
                <w:sz w:val="24"/>
              </w:rPr>
              <w:t>d),</w:t>
            </w:r>
            <w:r>
              <w:rPr>
                <w:sz w:val="24"/>
              </w:rPr>
              <w:t xml:space="preserve"> numer VTSZ 2006 i numer VTSZ 2008 nieobjęte lit. </w:t>
            </w:r>
            <w:r>
              <w:rPr>
                <w:i/>
                <w:sz w:val="24"/>
              </w:rPr>
              <w:t>d)</w:t>
            </w:r>
            <w:r>
              <w:rPr>
                <w:sz w:val="24"/>
              </w:rPr>
              <w:t xml:space="preserve"> i produkowane z wykorzystaniem nasion oleistych, zawierające dodatek cukru, o zawartości cukru przekraczającej 15 gramów na 100 gramów lub zawierające zarówno dodatek cukru, jak i substancje słodzące, z wyjątkiem produktów o zawartości błonnika co najmniej 8 gramów na 100 gramów</w:t>
            </w:r>
          </w:p>
        </w:tc>
        <w:tc>
          <w:tcPr>
            <w:tcW w:w="1886" w:type="dxa"/>
          </w:tcPr>
          <w:p w14:paraId="1DB99EC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210 HUF/kilogram</w:t>
            </w:r>
          </w:p>
          <w:p w14:paraId="750C5BD4"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6EA7D08F" w14:textId="77777777" w:rsidTr="00B040D6">
        <w:tc>
          <w:tcPr>
            <w:tcW w:w="969" w:type="dxa"/>
          </w:tcPr>
          <w:p w14:paraId="09A483AA"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32</w:t>
            </w:r>
          </w:p>
        </w:tc>
        <w:tc>
          <w:tcPr>
            <w:tcW w:w="1032" w:type="dxa"/>
          </w:tcPr>
          <w:p w14:paraId="075BC8E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ib)</w:t>
            </w:r>
          </w:p>
        </w:tc>
        <w:tc>
          <w:tcPr>
            <w:tcW w:w="5173" w:type="dxa"/>
          </w:tcPr>
          <w:p w14:paraId="67363B73"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produkty objęte numerem VTSZ 1904, nieobjęte lit. </w:t>
            </w:r>
            <w:r>
              <w:rPr>
                <w:i/>
                <w:sz w:val="24"/>
              </w:rPr>
              <w:t>d),</w:t>
            </w:r>
            <w:r>
              <w:rPr>
                <w:sz w:val="24"/>
              </w:rPr>
              <w:t xml:space="preserve"> numer VTSZ 2006 i numer VTSZ 2008, nieobjęte lit. </w:t>
            </w:r>
            <w:r>
              <w:rPr>
                <w:i/>
                <w:sz w:val="24"/>
              </w:rPr>
              <w:t>d)</w:t>
            </w:r>
            <w:r>
              <w:rPr>
                <w:sz w:val="24"/>
              </w:rPr>
              <w:t xml:space="preserve"> i wyprodukowane z wykorzystaniem nasion oleistych, niezawierające dodatku cukru, ale zawierające substancje słodzące, lub niezawierające substancji słodzących, ale zawierające dodatek cukru, o zawartości cukru nieprzekraczającej 15 gramów na 100 mililitrów, z wyjątkiem produktów o zawartości błonnika co najmniej 8 gramów na 100 gramów</w:t>
            </w:r>
          </w:p>
        </w:tc>
        <w:tc>
          <w:tcPr>
            <w:tcW w:w="1886" w:type="dxa"/>
          </w:tcPr>
          <w:p w14:paraId="2693913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65 HUF/kilogram</w:t>
            </w:r>
          </w:p>
          <w:p w14:paraId="06365D59"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69404B72" w14:textId="77777777" w:rsidTr="00B040D6">
        <w:tc>
          <w:tcPr>
            <w:tcW w:w="969" w:type="dxa"/>
          </w:tcPr>
          <w:p w14:paraId="36F8E4C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33</w:t>
            </w:r>
          </w:p>
        </w:tc>
        <w:tc>
          <w:tcPr>
            <w:tcW w:w="1032" w:type="dxa"/>
          </w:tcPr>
          <w:p w14:paraId="056C7BA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j)</w:t>
            </w:r>
          </w:p>
        </w:tc>
        <w:tc>
          <w:tcPr>
            <w:tcW w:w="5173" w:type="dxa"/>
            <w:vAlign w:val="center"/>
          </w:tcPr>
          <w:p w14:paraId="2DD1AB90" w14:textId="77777777" w:rsidR="00776125" w:rsidRPr="00776125" w:rsidRDefault="00776125" w:rsidP="00B040D6">
            <w:pPr>
              <w:tabs>
                <w:tab w:val="left" w:pos="567"/>
              </w:tabs>
              <w:autoSpaceDE w:val="0"/>
              <w:autoSpaceDN w:val="0"/>
              <w:adjustRightInd w:val="0"/>
              <w:spacing w:before="120" w:after="120" w:line="240" w:lineRule="auto"/>
              <w:rPr>
                <w:sz w:val="24"/>
                <w:szCs w:val="24"/>
              </w:rPr>
            </w:pPr>
            <w:r>
              <w:rPr>
                <w:sz w:val="24"/>
              </w:rPr>
              <w:t>Paczkowane słodkie i solone ciasta</w:t>
            </w:r>
          </w:p>
        </w:tc>
        <w:tc>
          <w:tcPr>
            <w:tcW w:w="1886" w:type="dxa"/>
            <w:shd w:val="clear" w:color="auto" w:fill="E7E6E6" w:themeFill="background2"/>
          </w:tcPr>
          <w:p w14:paraId="5FAF759F"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0F721AA5" w14:textId="77777777" w:rsidTr="00B040D6">
        <w:tc>
          <w:tcPr>
            <w:tcW w:w="969" w:type="dxa"/>
          </w:tcPr>
          <w:p w14:paraId="629B49D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34</w:t>
            </w:r>
          </w:p>
        </w:tc>
        <w:tc>
          <w:tcPr>
            <w:tcW w:w="1032" w:type="dxa"/>
          </w:tcPr>
          <w:p w14:paraId="7A6C15B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ja)</w:t>
            </w:r>
          </w:p>
        </w:tc>
        <w:tc>
          <w:tcPr>
            <w:tcW w:w="5173" w:type="dxa"/>
          </w:tcPr>
          <w:p w14:paraId="1F8912AD"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produkty objęte numerami VTSZ 1901 20, 1902 i 1905 90 80 nieobjęte lit. </w:t>
            </w:r>
            <w:r>
              <w:rPr>
                <w:i/>
                <w:sz w:val="24"/>
              </w:rPr>
              <w:t>c)</w:t>
            </w:r>
            <w:r>
              <w:rPr>
                <w:sz w:val="24"/>
              </w:rPr>
              <w:t xml:space="preserve"> i </w:t>
            </w:r>
            <w:r>
              <w:rPr>
                <w:i/>
                <w:sz w:val="24"/>
              </w:rPr>
              <w:t>d)</w:t>
            </w:r>
            <w:r>
              <w:rPr>
                <w:sz w:val="24"/>
              </w:rPr>
              <w:t>, zawierające dodatek cukru, o zawartości cukru przekraczającej 25 gramów na 100 gramów lub zawierające zarówno dodatek cukru, jak i substancje słodzące, z wyłączeniem produktów objętych lit. jc)</w:t>
            </w:r>
          </w:p>
        </w:tc>
        <w:tc>
          <w:tcPr>
            <w:tcW w:w="1886" w:type="dxa"/>
          </w:tcPr>
          <w:p w14:paraId="689E358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210 HUF/kilogram</w:t>
            </w:r>
          </w:p>
          <w:p w14:paraId="1879B06E"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3783104C" w14:textId="77777777" w:rsidTr="00B040D6">
        <w:tc>
          <w:tcPr>
            <w:tcW w:w="969" w:type="dxa"/>
          </w:tcPr>
          <w:p w14:paraId="2774E5A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35</w:t>
            </w:r>
          </w:p>
        </w:tc>
        <w:tc>
          <w:tcPr>
            <w:tcW w:w="1032" w:type="dxa"/>
          </w:tcPr>
          <w:p w14:paraId="4A9A72C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jb)</w:t>
            </w:r>
          </w:p>
        </w:tc>
        <w:tc>
          <w:tcPr>
            <w:tcW w:w="5173" w:type="dxa"/>
          </w:tcPr>
          <w:p w14:paraId="22334BD0"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produkty objęte numerami VTSZ 1901 20, 1902 i 1905 90 80 nieobjęte lit. </w:t>
            </w:r>
            <w:r>
              <w:rPr>
                <w:i/>
                <w:sz w:val="24"/>
              </w:rPr>
              <w:t>c)</w:t>
            </w:r>
            <w:r>
              <w:rPr>
                <w:sz w:val="24"/>
              </w:rPr>
              <w:t xml:space="preserve"> i </w:t>
            </w:r>
            <w:r>
              <w:rPr>
                <w:i/>
                <w:sz w:val="24"/>
              </w:rPr>
              <w:t>d)</w:t>
            </w:r>
            <w:r>
              <w:rPr>
                <w:sz w:val="24"/>
              </w:rPr>
              <w:t>, niezawierające dodatku cukru, ale zawierające substancje słodzące, lub niezawierające substancji słodzących, ale zawierające dodatek cukru, o zawartości cukru nieprzekraczającej 25 gramów na 100 gramów, z wyłączeniem produktów objętych lit. jc)</w:t>
            </w:r>
          </w:p>
        </w:tc>
        <w:tc>
          <w:tcPr>
            <w:tcW w:w="1886" w:type="dxa"/>
          </w:tcPr>
          <w:p w14:paraId="24F0318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65 HUF/kilogram</w:t>
            </w:r>
          </w:p>
          <w:p w14:paraId="2DA895AE"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55D35A3B" w14:textId="77777777" w:rsidTr="00B040D6">
        <w:tc>
          <w:tcPr>
            <w:tcW w:w="969" w:type="dxa"/>
          </w:tcPr>
          <w:p w14:paraId="3A15168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36</w:t>
            </w:r>
          </w:p>
        </w:tc>
        <w:tc>
          <w:tcPr>
            <w:tcW w:w="1032" w:type="dxa"/>
          </w:tcPr>
          <w:p w14:paraId="560D96C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jc)</w:t>
            </w:r>
          </w:p>
        </w:tc>
        <w:tc>
          <w:tcPr>
            <w:tcW w:w="5173" w:type="dxa"/>
          </w:tcPr>
          <w:p w14:paraId="625F0FEF"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produkty objęte numerami VTSZ 1901 20, 1902 i 1905 90 80 nieobjęte lit. </w:t>
            </w:r>
            <w:r>
              <w:rPr>
                <w:i/>
                <w:sz w:val="24"/>
              </w:rPr>
              <w:t>c)</w:t>
            </w:r>
            <w:r>
              <w:rPr>
                <w:sz w:val="24"/>
              </w:rPr>
              <w:t xml:space="preserve"> oraz </w:t>
            </w:r>
            <w:r>
              <w:rPr>
                <w:i/>
                <w:sz w:val="24"/>
              </w:rPr>
              <w:t>d)</w:t>
            </w:r>
            <w:r>
              <w:rPr>
                <w:sz w:val="24"/>
              </w:rPr>
              <w:t xml:space="preserve">, o zawartości soli przekraczającej 1 gram na 100 gramów </w:t>
            </w:r>
          </w:p>
        </w:tc>
        <w:tc>
          <w:tcPr>
            <w:tcW w:w="1886" w:type="dxa"/>
          </w:tcPr>
          <w:p w14:paraId="73F33F6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210 HUF/kilogram</w:t>
            </w:r>
          </w:p>
        </w:tc>
      </w:tr>
    </w:tbl>
    <w:p w14:paraId="28397C27" w14:textId="77777777" w:rsidR="001D6E66" w:rsidRPr="001D6E66" w:rsidRDefault="001D6E66" w:rsidP="00776125">
      <w:pPr>
        <w:spacing w:after="0" w:line="240" w:lineRule="auto"/>
        <w:jc w:val="right"/>
        <w:rPr>
          <w:rFonts w:ascii="Times New Roman" w:hAnsi="Times New Roman" w:cs="Times New Roman"/>
          <w:sz w:val="24"/>
          <w:szCs w:val="24"/>
          <w:lang w:eastAsia="hu-HU"/>
        </w:rPr>
      </w:pPr>
    </w:p>
    <w:sectPr w:rsidR="001D6E66" w:rsidRPr="001D6E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A59A6"/>
    <w:multiLevelType w:val="hybridMultilevel"/>
    <w:tmpl w:val="44DABACE"/>
    <w:lvl w:ilvl="0" w:tplc="1B68AD3C">
      <w:start w:val="1"/>
      <w:numFmt w:val="decimal"/>
      <w:lvlText w:val="%1. §"/>
      <w:lvlJc w:val="left"/>
      <w:pPr>
        <w:ind w:left="5180" w:hanging="360"/>
      </w:pPr>
      <w:rPr>
        <w:rFonts w:ascii="Times New Roman" w:hAnsi="Times New Roman" w:cs="Times New Roman" w:hint="default"/>
        <w:b/>
        <w:i w:val="0"/>
        <w:sz w:val="24"/>
        <w:szCs w:val="24"/>
      </w:rPr>
    </w:lvl>
    <w:lvl w:ilvl="1" w:tplc="040E0019">
      <w:start w:val="1"/>
      <w:numFmt w:val="lowerLetter"/>
      <w:lvlText w:val="%2."/>
      <w:lvlJc w:val="left"/>
      <w:pPr>
        <w:ind w:left="5551" w:hanging="360"/>
      </w:pPr>
      <w:rPr>
        <w:rFonts w:cs="Times New Roman"/>
      </w:rPr>
    </w:lvl>
    <w:lvl w:ilvl="2" w:tplc="51AA5ACC">
      <w:start w:val="1"/>
      <w:numFmt w:val="decimal"/>
      <w:lvlText w:val="%3."/>
      <w:lvlJc w:val="left"/>
      <w:pPr>
        <w:ind w:left="4472" w:hanging="360"/>
      </w:pPr>
      <w:rPr>
        <w:rFonts w:hint="default"/>
        <w:b w:val="0"/>
        <w:i w:val="0"/>
        <w:sz w:val="24"/>
        <w:szCs w:val="24"/>
      </w:rPr>
    </w:lvl>
    <w:lvl w:ilvl="3" w:tplc="040E000F" w:tentative="1">
      <w:start w:val="1"/>
      <w:numFmt w:val="decimal"/>
      <w:lvlText w:val="%4."/>
      <w:lvlJc w:val="left"/>
      <w:pPr>
        <w:ind w:left="6991" w:hanging="360"/>
      </w:pPr>
      <w:rPr>
        <w:rFonts w:cs="Times New Roman"/>
      </w:rPr>
    </w:lvl>
    <w:lvl w:ilvl="4" w:tplc="040E0019" w:tentative="1">
      <w:start w:val="1"/>
      <w:numFmt w:val="lowerLetter"/>
      <w:lvlText w:val="%5."/>
      <w:lvlJc w:val="left"/>
      <w:pPr>
        <w:ind w:left="7711" w:hanging="360"/>
      </w:pPr>
      <w:rPr>
        <w:rFonts w:cs="Times New Roman"/>
      </w:rPr>
    </w:lvl>
    <w:lvl w:ilvl="5" w:tplc="040E001B" w:tentative="1">
      <w:start w:val="1"/>
      <w:numFmt w:val="lowerRoman"/>
      <w:lvlText w:val="%6."/>
      <w:lvlJc w:val="right"/>
      <w:pPr>
        <w:ind w:left="8431" w:hanging="180"/>
      </w:pPr>
      <w:rPr>
        <w:rFonts w:cs="Times New Roman"/>
      </w:rPr>
    </w:lvl>
    <w:lvl w:ilvl="6" w:tplc="040E000F" w:tentative="1">
      <w:start w:val="1"/>
      <w:numFmt w:val="decimal"/>
      <w:lvlText w:val="%7."/>
      <w:lvlJc w:val="left"/>
      <w:pPr>
        <w:ind w:left="9151" w:hanging="360"/>
      </w:pPr>
      <w:rPr>
        <w:rFonts w:cs="Times New Roman"/>
      </w:rPr>
    </w:lvl>
    <w:lvl w:ilvl="7" w:tplc="040E0019" w:tentative="1">
      <w:start w:val="1"/>
      <w:numFmt w:val="lowerLetter"/>
      <w:lvlText w:val="%8."/>
      <w:lvlJc w:val="left"/>
      <w:pPr>
        <w:ind w:left="9871" w:hanging="360"/>
      </w:pPr>
      <w:rPr>
        <w:rFonts w:cs="Times New Roman"/>
      </w:rPr>
    </w:lvl>
    <w:lvl w:ilvl="8" w:tplc="040E001B" w:tentative="1">
      <w:start w:val="1"/>
      <w:numFmt w:val="lowerRoman"/>
      <w:lvlText w:val="%9."/>
      <w:lvlJc w:val="right"/>
      <w:pPr>
        <w:ind w:left="10591" w:hanging="180"/>
      </w:pPr>
      <w:rPr>
        <w:rFonts w:cs="Times New Roman"/>
      </w:rPr>
    </w:lvl>
  </w:abstractNum>
  <w:abstractNum w:abstractNumId="1" w15:restartNumberingAfterBreak="0">
    <w:nsid w:val="3D9957CE"/>
    <w:multiLevelType w:val="hybridMultilevel"/>
    <w:tmpl w:val="A078BD5A"/>
    <w:lvl w:ilvl="0" w:tplc="3296F258">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8384E81"/>
    <w:multiLevelType w:val="hybridMultilevel"/>
    <w:tmpl w:val="D99A989C"/>
    <w:lvl w:ilvl="0" w:tplc="4CE8DC80">
      <w:start w:val="1"/>
      <w:numFmt w:val="decimal"/>
      <w:lvlText w:val="%1."/>
      <w:lvlJc w:val="left"/>
      <w:pPr>
        <w:ind w:left="502" w:hanging="360"/>
      </w:pPr>
      <w:rPr>
        <w:rFonts w:hint="default"/>
        <w:b/>
        <w:i w:val="0"/>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AB82822"/>
    <w:multiLevelType w:val="hybridMultilevel"/>
    <w:tmpl w:val="96CA28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C160DE5"/>
    <w:multiLevelType w:val="hybridMultilevel"/>
    <w:tmpl w:val="78C6BE12"/>
    <w:lvl w:ilvl="0" w:tplc="8F960D02">
      <w:start w:val="2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4DF0B70"/>
    <w:multiLevelType w:val="hybridMultilevel"/>
    <w:tmpl w:val="B846E8A2"/>
    <w:lvl w:ilvl="0" w:tplc="2F58D08A">
      <w:start w:val="7"/>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6" w15:restartNumberingAfterBreak="0">
    <w:nsid w:val="75D5493B"/>
    <w:multiLevelType w:val="hybridMultilevel"/>
    <w:tmpl w:val="B586428E"/>
    <w:lvl w:ilvl="0" w:tplc="8012BCBA">
      <w:start w:val="2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4543972">
    <w:abstractNumId w:val="0"/>
  </w:num>
  <w:num w:numId="2" w16cid:durableId="1073701258">
    <w:abstractNumId w:val="2"/>
  </w:num>
  <w:num w:numId="3" w16cid:durableId="505479394">
    <w:abstractNumId w:val="3"/>
  </w:num>
  <w:num w:numId="4" w16cid:durableId="1320428601">
    <w:abstractNumId w:val="5"/>
  </w:num>
  <w:num w:numId="5" w16cid:durableId="1145976366">
    <w:abstractNumId w:val="6"/>
  </w:num>
  <w:num w:numId="6" w16cid:durableId="1132094789">
    <w:abstractNumId w:val="1"/>
  </w:num>
  <w:num w:numId="7" w16cid:durableId="1090929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66"/>
    <w:rsid w:val="000450C1"/>
    <w:rsid w:val="000E0AD3"/>
    <w:rsid w:val="001D6E66"/>
    <w:rsid w:val="002375C8"/>
    <w:rsid w:val="00776125"/>
    <w:rsid w:val="007E4E6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8089"/>
  <w15:chartTrackingRefBased/>
  <w15:docId w15:val="{2EEB6BDD-9CD8-4226-A91C-65665268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E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Welt L Char,List Paragraph à moi,Welt L,Bullet List,FooterText,List Paragraph1,numbered,Paragraphe de liste1,Bulletr List Paragraph,列出段落,列出段落1,Listeafsnit1,Parágrafo da Lista1,List Paragraph2,List Paragraph21,リスト段落1,Párrafo de lista1"/>
    <w:basedOn w:val="Normal"/>
    <w:link w:val="ListParagraphChar"/>
    <w:uiPriority w:val="34"/>
    <w:qFormat/>
    <w:rsid w:val="001D6E66"/>
    <w:pPr>
      <w:ind w:left="720"/>
      <w:contextualSpacing/>
    </w:pPr>
  </w:style>
  <w:style w:type="character" w:customStyle="1" w:styleId="ListParagraphChar">
    <w:name w:val="List Paragraph Char"/>
    <w:aliases w:val="Welt L Char Char,List Paragraph à moi Char,Welt L Char1,Bullet List Char,FooterText Char,List Paragraph1 Char,numbered Char,Paragraphe de liste1 Char,Bulletr List Paragraph Char,列出段落 Char,列出段落1 Char,Listeafsnit1 Char,リスト段落1 Char"/>
    <w:basedOn w:val="DefaultParagraphFont"/>
    <w:link w:val="ListParagraph"/>
    <w:uiPriority w:val="34"/>
    <w:qFormat/>
    <w:locked/>
    <w:rsid w:val="001D6E66"/>
  </w:style>
  <w:style w:type="table" w:styleId="TableGrid">
    <w:name w:val="Table Grid"/>
    <w:basedOn w:val="TableNormal"/>
    <w:uiPriority w:val="39"/>
    <w:rsid w:val="001D6E66"/>
    <w:pPr>
      <w:spacing w:after="0" w:line="240" w:lineRule="auto"/>
    </w:pPr>
    <w:rPr>
      <w:rFonts w:ascii="Times New Roman" w:eastAsia="Times New Roman" w:hAnsi="Times New Roman"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1726</Words>
  <Characters>9841</Characters>
  <Application>Microsoft Office Word</Application>
  <DocSecurity>0</DocSecurity>
  <Lines>82</Lines>
  <Paragraphs>23</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Bárdos Zoltán dr.</dc:creator>
  <cp:keywords/>
  <dc:description/>
  <cp:lastModifiedBy>Dimitris Dimitriadis</cp:lastModifiedBy>
  <cp:revision>5</cp:revision>
  <dcterms:created xsi:type="dcterms:W3CDTF">2022-06-03T09:25:00Z</dcterms:created>
  <dcterms:modified xsi:type="dcterms:W3CDTF">2022-07-01T10:13:00Z</dcterms:modified>
</cp:coreProperties>
</file>