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2BC8" w14:textId="77777777" w:rsidR="0034495B" w:rsidRDefault="00696754">
      <w:pPr>
        <w:pStyle w:val="BodyText"/>
        <w:spacing w:before="0"/>
        <w:ind w:left="4011"/>
        <w:rPr>
          <w:sz w:val="20"/>
        </w:rPr>
      </w:pPr>
      <w:r>
        <w:rPr>
          <w:noProof/>
          <w:sz w:val="20"/>
        </w:rPr>
        <w:drawing>
          <wp:inline distT="0" distB="0" distL="0" distR="0" wp14:anchorId="6BA1C9ED" wp14:editId="38CC77EB">
            <wp:extent cx="571502" cy="914400"/>
            <wp:effectExtent l="0" t="0" r="0" b="0"/>
            <wp:docPr id="1" name="image1.jpeg" descr="Har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1502" cy="914400"/>
                    </a:xfrm>
                    <a:prstGeom prst="rect">
                      <a:avLst/>
                    </a:prstGeom>
                  </pic:spPr>
                </pic:pic>
              </a:graphicData>
            </a:graphic>
          </wp:inline>
        </w:drawing>
      </w:r>
    </w:p>
    <w:p w14:paraId="741D7C82" w14:textId="77777777" w:rsidR="0034495B" w:rsidRDefault="0034495B">
      <w:pPr>
        <w:pStyle w:val="BodyText"/>
        <w:spacing w:before="0"/>
        <w:rPr>
          <w:sz w:val="20"/>
        </w:rPr>
      </w:pPr>
    </w:p>
    <w:p w14:paraId="2A3E73CD" w14:textId="77777777" w:rsidR="0034495B" w:rsidRDefault="0034495B">
      <w:pPr>
        <w:pStyle w:val="BodyText"/>
        <w:spacing w:before="0"/>
        <w:rPr>
          <w:sz w:val="20"/>
        </w:rPr>
      </w:pPr>
    </w:p>
    <w:p w14:paraId="38ED3A98" w14:textId="77777777" w:rsidR="0034495B" w:rsidRDefault="0034495B">
      <w:pPr>
        <w:pStyle w:val="BodyText"/>
        <w:spacing w:before="0"/>
        <w:rPr>
          <w:sz w:val="20"/>
        </w:rPr>
      </w:pPr>
    </w:p>
    <w:p w14:paraId="7FED98C1" w14:textId="77777777" w:rsidR="0034495B" w:rsidRDefault="0034495B">
      <w:pPr>
        <w:pStyle w:val="BodyText"/>
        <w:spacing w:before="0"/>
        <w:rPr>
          <w:sz w:val="20"/>
        </w:rPr>
      </w:pPr>
    </w:p>
    <w:p w14:paraId="590A2583" w14:textId="77777777" w:rsidR="0034495B" w:rsidRDefault="0034495B">
      <w:pPr>
        <w:pStyle w:val="BodyText"/>
        <w:spacing w:before="0"/>
        <w:rPr>
          <w:sz w:val="20"/>
        </w:rPr>
      </w:pPr>
    </w:p>
    <w:p w14:paraId="754E071A" w14:textId="77777777" w:rsidR="0034495B" w:rsidRDefault="0034495B">
      <w:pPr>
        <w:pStyle w:val="BodyText"/>
        <w:spacing w:before="0"/>
        <w:rPr>
          <w:sz w:val="20"/>
        </w:rPr>
      </w:pPr>
    </w:p>
    <w:p w14:paraId="4D735B98" w14:textId="77777777" w:rsidR="0034495B" w:rsidRDefault="0034495B">
      <w:pPr>
        <w:pStyle w:val="BodyText"/>
        <w:spacing w:before="6"/>
        <w:rPr>
          <w:sz w:val="25"/>
        </w:rPr>
      </w:pPr>
    </w:p>
    <w:p w14:paraId="5D8DA677" w14:textId="77777777" w:rsidR="0034495B" w:rsidRDefault="00696754">
      <w:pPr>
        <w:pStyle w:val="BodyText"/>
        <w:spacing w:before="90"/>
        <w:ind w:left="289" w:right="4"/>
        <w:jc w:val="center"/>
      </w:pPr>
      <w:r>
        <w:t>INSTRUMENTY USTAWOWE</w:t>
      </w:r>
    </w:p>
    <w:p w14:paraId="1E3811AD" w14:textId="77777777" w:rsidR="0034495B" w:rsidRDefault="0034495B">
      <w:pPr>
        <w:pStyle w:val="BodyText"/>
        <w:spacing w:before="0"/>
        <w:rPr>
          <w:sz w:val="26"/>
        </w:rPr>
      </w:pPr>
    </w:p>
    <w:p w14:paraId="680AE9A5" w14:textId="77777777" w:rsidR="0034495B" w:rsidRDefault="0034495B">
      <w:pPr>
        <w:pStyle w:val="BodyText"/>
        <w:spacing w:before="0"/>
        <w:rPr>
          <w:sz w:val="26"/>
        </w:rPr>
      </w:pPr>
    </w:p>
    <w:p w14:paraId="05B249F1" w14:textId="77777777" w:rsidR="0034495B" w:rsidRDefault="0034495B">
      <w:pPr>
        <w:pStyle w:val="BodyText"/>
        <w:spacing w:before="0"/>
        <w:rPr>
          <w:sz w:val="26"/>
        </w:rPr>
      </w:pPr>
    </w:p>
    <w:p w14:paraId="23CB64B7" w14:textId="6186D1D6" w:rsidR="0034495B" w:rsidRDefault="007B0854" w:rsidP="007B0854">
      <w:pPr>
        <w:pStyle w:val="Heading1"/>
        <w:spacing w:before="208"/>
        <w:ind w:left="2465"/>
      </w:pPr>
      <w:r>
        <w:t xml:space="preserve">     </w:t>
      </w:r>
      <w:r w:rsidR="00696754">
        <w:t>Rozporządzenie nr 529 z 2022 r.</w:t>
      </w:r>
    </w:p>
    <w:p w14:paraId="4CE382DE" w14:textId="77777777" w:rsidR="0034495B" w:rsidRDefault="0034495B">
      <w:pPr>
        <w:pStyle w:val="BodyText"/>
        <w:spacing w:before="0"/>
        <w:rPr>
          <w:b/>
          <w:sz w:val="20"/>
        </w:rPr>
      </w:pPr>
    </w:p>
    <w:p w14:paraId="4F2055F0" w14:textId="77777777" w:rsidR="0034495B" w:rsidRDefault="0034495B">
      <w:pPr>
        <w:pStyle w:val="BodyText"/>
        <w:spacing w:before="0"/>
        <w:rPr>
          <w:b/>
          <w:sz w:val="20"/>
        </w:rPr>
      </w:pPr>
    </w:p>
    <w:p w14:paraId="268DC97B" w14:textId="77777777" w:rsidR="0034495B" w:rsidRDefault="0034495B">
      <w:pPr>
        <w:pStyle w:val="BodyText"/>
        <w:spacing w:before="0"/>
        <w:rPr>
          <w:b/>
          <w:sz w:val="20"/>
        </w:rPr>
      </w:pPr>
    </w:p>
    <w:p w14:paraId="28773FBD" w14:textId="77777777" w:rsidR="0034495B" w:rsidRDefault="0034495B">
      <w:pPr>
        <w:pStyle w:val="BodyText"/>
        <w:spacing w:before="0"/>
        <w:rPr>
          <w:b/>
          <w:sz w:val="20"/>
        </w:rPr>
      </w:pPr>
    </w:p>
    <w:p w14:paraId="01D4F727" w14:textId="77777777" w:rsidR="0034495B" w:rsidRDefault="0034495B">
      <w:pPr>
        <w:pStyle w:val="BodyText"/>
        <w:spacing w:before="0"/>
        <w:rPr>
          <w:b/>
          <w:sz w:val="20"/>
        </w:rPr>
      </w:pPr>
    </w:p>
    <w:p w14:paraId="621A3D33" w14:textId="50EEDEE7" w:rsidR="0034495B" w:rsidRDefault="007B0854">
      <w:pPr>
        <w:pStyle w:val="BodyText"/>
        <w:spacing w:before="8"/>
        <w:rPr>
          <w:b/>
          <w:sz w:val="15"/>
        </w:rPr>
      </w:pPr>
      <w:r>
        <w:rPr>
          <w:noProof/>
        </w:rPr>
        <mc:AlternateContent>
          <mc:Choice Requires="wps">
            <w:drawing>
              <wp:anchor distT="0" distB="0" distL="0" distR="0" simplePos="0" relativeHeight="251658752" behindDoc="1" locked="0" layoutInCell="1" allowOverlap="1" wp14:anchorId="17213EBA" wp14:editId="352E6BEB">
                <wp:simplePos x="0" y="0"/>
                <wp:positionH relativeFrom="page">
                  <wp:posOffset>3260725</wp:posOffset>
                </wp:positionH>
                <wp:positionV relativeFrom="paragraph">
                  <wp:posOffset>142875</wp:posOffset>
                </wp:positionV>
                <wp:extent cx="12192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5135 5135"/>
                            <a:gd name="T1" fmla="*/ T0 w 1920"/>
                            <a:gd name="T2" fmla="+- 0 7055 5135"/>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110A1" id="Freeform 2" o:spid="_x0000_s1026" style="position:absolute;margin-left:256.75pt;margin-top:11.25pt;width:96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" path="m,l1920,e" filled="f" strokeweight=".48pt">
                <v:path arrowok="t" o:connecttype="custom" o:connectlocs="0,0;1219200,0" o:connectangles="0,0"/>
                <w10:wrap type="topAndBottom" anchorx="page"/>
              </v:shape>
            </w:pict>
          </mc:Fallback>
        </mc:AlternateContent>
      </w:r>
    </w:p>
    <w:p w14:paraId="23AAC9EA" w14:textId="77777777" w:rsidR="0034495B" w:rsidRDefault="0034495B">
      <w:pPr>
        <w:pStyle w:val="BodyText"/>
        <w:spacing w:before="0"/>
        <w:rPr>
          <w:b/>
          <w:sz w:val="20"/>
        </w:rPr>
      </w:pPr>
    </w:p>
    <w:p w14:paraId="6A10CE34" w14:textId="77777777" w:rsidR="0034495B" w:rsidRDefault="0034495B">
      <w:pPr>
        <w:pStyle w:val="BodyText"/>
        <w:spacing w:before="0"/>
        <w:rPr>
          <w:b/>
          <w:sz w:val="20"/>
        </w:rPr>
      </w:pPr>
    </w:p>
    <w:p w14:paraId="21C38393" w14:textId="77777777" w:rsidR="0034495B" w:rsidRDefault="0034495B">
      <w:pPr>
        <w:pStyle w:val="BodyText"/>
        <w:spacing w:before="0"/>
        <w:rPr>
          <w:b/>
          <w:sz w:val="20"/>
        </w:rPr>
      </w:pPr>
    </w:p>
    <w:p w14:paraId="649B5A58" w14:textId="77777777" w:rsidR="0034495B" w:rsidRDefault="0034495B">
      <w:pPr>
        <w:pStyle w:val="BodyText"/>
        <w:spacing w:before="8"/>
        <w:rPr>
          <w:b/>
          <w:sz w:val="25"/>
        </w:rPr>
      </w:pPr>
    </w:p>
    <w:p w14:paraId="36E5C7CC" w14:textId="77777777" w:rsidR="0034495B" w:rsidRDefault="00696754">
      <w:pPr>
        <w:pStyle w:val="BodyText"/>
        <w:spacing w:before="90"/>
        <w:ind w:left="965"/>
      </w:pPr>
      <w:r>
        <w:t>PRZEPISY Z 2022 R. WS. USTAWY O ZANIECZYSZCZENIU POWIETRZA (PALIWA STAŁE) Z 1987 R.</w:t>
      </w:r>
    </w:p>
    <w:p w14:paraId="282EB12E" w14:textId="77777777" w:rsidR="0034495B" w:rsidRDefault="0034495B">
      <w:pPr>
        <w:sectPr w:rsidR="0034495B">
          <w:type w:val="continuous"/>
          <w:pgSz w:w="11910" w:h="16840"/>
          <w:pgMar w:top="1580" w:right="1680" w:bottom="280" w:left="1680" w:header="720" w:footer="720" w:gutter="0"/>
          <w:cols w:space="720"/>
        </w:sectPr>
      </w:pPr>
    </w:p>
    <w:p w14:paraId="225003E9" w14:textId="77777777" w:rsidR="0034495B" w:rsidRDefault="00696754">
      <w:pPr>
        <w:pStyle w:val="BodyText"/>
        <w:spacing w:before="80"/>
        <w:ind w:left="3149"/>
      </w:pPr>
      <w:r>
        <w:lastRenderedPageBreak/>
        <w:t>Rozporządzenie nr 529 z 2022 r.</w:t>
      </w:r>
    </w:p>
    <w:p w14:paraId="72B2BF15" w14:textId="77777777" w:rsidR="0034495B" w:rsidRDefault="0034495B">
      <w:pPr>
        <w:pStyle w:val="BodyText"/>
        <w:spacing w:before="0"/>
      </w:pPr>
    </w:p>
    <w:p w14:paraId="4E5986BC" w14:textId="77777777" w:rsidR="0034495B" w:rsidRDefault="00696754">
      <w:pPr>
        <w:pStyle w:val="BodyText"/>
        <w:spacing w:before="0"/>
        <w:ind w:left="287" w:right="572"/>
        <w:jc w:val="center"/>
      </w:pPr>
      <w:r>
        <w:t>PRZEPISY Z 2022 R. WS. USTAWY O ZANIECZYSZCZENIU POWIETRZA (PALIWA STAŁE) Z 1987 R.</w:t>
      </w:r>
    </w:p>
    <w:p w14:paraId="5B92A8BF" w14:textId="77777777" w:rsidR="0034495B" w:rsidRDefault="0034495B">
      <w:pPr>
        <w:pStyle w:val="BodyText"/>
        <w:spacing w:before="0"/>
        <w:rPr>
          <w:sz w:val="26"/>
        </w:rPr>
      </w:pPr>
    </w:p>
    <w:p w14:paraId="2460880C" w14:textId="77777777" w:rsidR="0034495B" w:rsidRDefault="00696754">
      <w:pPr>
        <w:pStyle w:val="Heading1"/>
        <w:ind w:left="289" w:right="569"/>
        <w:jc w:val="center"/>
      </w:pPr>
      <w:r>
        <w:t>Spis treści</w:t>
      </w:r>
    </w:p>
    <w:p w14:paraId="264FF3FA" w14:textId="77777777" w:rsidR="0034495B" w:rsidRDefault="0034495B">
      <w:pPr>
        <w:pStyle w:val="BodyText"/>
        <w:spacing w:before="0"/>
        <w:rPr>
          <w:b/>
          <w:sz w:val="26"/>
        </w:rPr>
      </w:pPr>
    </w:p>
    <w:p w14:paraId="644F7976" w14:textId="77777777" w:rsidR="0034495B" w:rsidRDefault="00696754">
      <w:pPr>
        <w:pStyle w:val="ListParagraph"/>
        <w:numPr>
          <w:ilvl w:val="0"/>
          <w:numId w:val="11"/>
        </w:numPr>
        <w:tabs>
          <w:tab w:val="left" w:pos="1025"/>
          <w:tab w:val="left" w:pos="1026"/>
        </w:tabs>
        <w:spacing w:before="217"/>
        <w:ind w:hanging="438"/>
        <w:rPr>
          <w:sz w:val="24"/>
        </w:rPr>
      </w:pPr>
      <w:r>
        <w:rPr>
          <w:sz w:val="24"/>
        </w:rPr>
        <w:t>Tytuł i wejście w życie</w:t>
      </w:r>
    </w:p>
    <w:p w14:paraId="57F3942F" w14:textId="77777777" w:rsidR="0034495B" w:rsidRDefault="00696754">
      <w:pPr>
        <w:pStyle w:val="ListParagraph"/>
        <w:numPr>
          <w:ilvl w:val="0"/>
          <w:numId w:val="11"/>
        </w:numPr>
        <w:tabs>
          <w:tab w:val="left" w:pos="1025"/>
          <w:tab w:val="left" w:pos="1026"/>
        </w:tabs>
        <w:ind w:hanging="438"/>
        <w:rPr>
          <w:sz w:val="24"/>
        </w:rPr>
      </w:pPr>
      <w:r>
        <w:rPr>
          <w:sz w:val="24"/>
        </w:rPr>
        <w:t>Wykładnia</w:t>
      </w:r>
    </w:p>
    <w:p w14:paraId="3688B3A1" w14:textId="77777777" w:rsidR="0034495B" w:rsidRDefault="00696754">
      <w:pPr>
        <w:pStyle w:val="ListParagraph"/>
        <w:numPr>
          <w:ilvl w:val="0"/>
          <w:numId w:val="11"/>
        </w:numPr>
        <w:tabs>
          <w:tab w:val="left" w:pos="1025"/>
          <w:tab w:val="left" w:pos="1026"/>
        </w:tabs>
        <w:ind w:hanging="438"/>
        <w:rPr>
          <w:sz w:val="24"/>
        </w:rPr>
      </w:pPr>
      <w:r>
        <w:rPr>
          <w:sz w:val="24"/>
        </w:rPr>
        <w:t>Zakaz sprzedaży lub dystrybucji niezatwierdzonego paliwa stałego</w:t>
      </w:r>
    </w:p>
    <w:p w14:paraId="355FF830" w14:textId="77777777" w:rsidR="0034495B" w:rsidRDefault="00696754">
      <w:pPr>
        <w:pStyle w:val="ListParagraph"/>
        <w:numPr>
          <w:ilvl w:val="0"/>
          <w:numId w:val="11"/>
        </w:numPr>
        <w:tabs>
          <w:tab w:val="left" w:pos="1025"/>
          <w:tab w:val="left" w:pos="1026"/>
        </w:tabs>
        <w:ind w:hanging="438"/>
        <w:rPr>
          <w:sz w:val="24"/>
        </w:rPr>
      </w:pPr>
      <w:r>
        <w:rPr>
          <w:sz w:val="24"/>
        </w:rPr>
        <w:t>Ułatwienie stosowania prawa do pozyskiwania torfu</w:t>
      </w:r>
    </w:p>
    <w:p w14:paraId="3DC114F7" w14:textId="77777777" w:rsidR="0034495B" w:rsidRDefault="00696754">
      <w:pPr>
        <w:pStyle w:val="ListParagraph"/>
        <w:numPr>
          <w:ilvl w:val="0"/>
          <w:numId w:val="11"/>
        </w:numPr>
        <w:tabs>
          <w:tab w:val="left" w:pos="1025"/>
          <w:tab w:val="left" w:pos="1026"/>
        </w:tabs>
        <w:spacing w:before="121"/>
        <w:ind w:hanging="438"/>
        <w:rPr>
          <w:sz w:val="24"/>
        </w:rPr>
      </w:pPr>
      <w:r>
        <w:rPr>
          <w:sz w:val="24"/>
        </w:rPr>
        <w:t>Wymagania dotyczące homologowanych paliw stałych</w:t>
      </w:r>
    </w:p>
    <w:p w14:paraId="334E252B" w14:textId="77777777" w:rsidR="0034495B" w:rsidRDefault="00696754">
      <w:pPr>
        <w:pStyle w:val="ListParagraph"/>
        <w:numPr>
          <w:ilvl w:val="0"/>
          <w:numId w:val="11"/>
        </w:numPr>
        <w:tabs>
          <w:tab w:val="left" w:pos="1025"/>
          <w:tab w:val="left" w:pos="1026"/>
        </w:tabs>
        <w:ind w:hanging="438"/>
        <w:rPr>
          <w:sz w:val="24"/>
        </w:rPr>
      </w:pPr>
      <w:r>
        <w:rPr>
          <w:sz w:val="24"/>
        </w:rPr>
        <w:t>Rejestr paliw</w:t>
      </w:r>
    </w:p>
    <w:p w14:paraId="57F4A981" w14:textId="77777777" w:rsidR="0034495B" w:rsidRDefault="00696754">
      <w:pPr>
        <w:pStyle w:val="ListParagraph"/>
        <w:numPr>
          <w:ilvl w:val="0"/>
          <w:numId w:val="11"/>
        </w:numPr>
        <w:tabs>
          <w:tab w:val="left" w:pos="1025"/>
          <w:tab w:val="left" w:pos="1026"/>
        </w:tabs>
        <w:ind w:hanging="438"/>
        <w:rPr>
          <w:sz w:val="24"/>
        </w:rPr>
      </w:pPr>
      <w:r>
        <w:rPr>
          <w:sz w:val="24"/>
        </w:rPr>
        <w:t>Odpowiedzialność producenta</w:t>
      </w:r>
    </w:p>
    <w:p w14:paraId="60178D42" w14:textId="77777777" w:rsidR="0034495B" w:rsidRDefault="00696754">
      <w:pPr>
        <w:pStyle w:val="ListParagraph"/>
        <w:numPr>
          <w:ilvl w:val="0"/>
          <w:numId w:val="11"/>
        </w:numPr>
        <w:tabs>
          <w:tab w:val="left" w:pos="1025"/>
          <w:tab w:val="left" w:pos="1026"/>
        </w:tabs>
        <w:ind w:hanging="438"/>
        <w:rPr>
          <w:sz w:val="24"/>
        </w:rPr>
      </w:pPr>
      <w:r>
        <w:rPr>
          <w:sz w:val="24"/>
        </w:rPr>
        <w:t>Odpowiedzialność sprzedawcy detalicznego</w:t>
      </w:r>
    </w:p>
    <w:p w14:paraId="0292FD30" w14:textId="77777777" w:rsidR="0034495B" w:rsidRDefault="00696754">
      <w:pPr>
        <w:pStyle w:val="ListParagraph"/>
        <w:numPr>
          <w:ilvl w:val="0"/>
          <w:numId w:val="11"/>
        </w:numPr>
        <w:tabs>
          <w:tab w:val="left" w:pos="1025"/>
          <w:tab w:val="left" w:pos="1026"/>
        </w:tabs>
        <w:ind w:hanging="438"/>
        <w:rPr>
          <w:sz w:val="24"/>
        </w:rPr>
      </w:pPr>
      <w:r>
        <w:rPr>
          <w:sz w:val="24"/>
        </w:rPr>
        <w:t>Transport paliwa stałego</w:t>
      </w:r>
    </w:p>
    <w:p w14:paraId="5C07D69B" w14:textId="77777777" w:rsidR="0034495B" w:rsidRDefault="00696754">
      <w:pPr>
        <w:pStyle w:val="ListParagraph"/>
        <w:numPr>
          <w:ilvl w:val="0"/>
          <w:numId w:val="11"/>
        </w:numPr>
        <w:tabs>
          <w:tab w:val="left" w:pos="1026"/>
        </w:tabs>
        <w:ind w:hanging="438"/>
        <w:rPr>
          <w:sz w:val="24"/>
        </w:rPr>
      </w:pPr>
      <w:r>
        <w:rPr>
          <w:sz w:val="24"/>
        </w:rPr>
        <w:t>Certyfikat zgodności i metody badań</w:t>
      </w:r>
    </w:p>
    <w:p w14:paraId="33C0CCAE" w14:textId="77777777" w:rsidR="0034495B" w:rsidRDefault="00696754">
      <w:pPr>
        <w:pStyle w:val="ListParagraph"/>
        <w:numPr>
          <w:ilvl w:val="0"/>
          <w:numId w:val="11"/>
        </w:numPr>
        <w:tabs>
          <w:tab w:val="left" w:pos="1026"/>
        </w:tabs>
        <w:ind w:hanging="438"/>
        <w:rPr>
          <w:sz w:val="24"/>
        </w:rPr>
      </w:pPr>
      <w:r>
        <w:rPr>
          <w:sz w:val="24"/>
        </w:rPr>
        <w:t>Oznakowanie</w:t>
      </w:r>
    </w:p>
    <w:p w14:paraId="06790DED" w14:textId="77777777" w:rsidR="0034495B" w:rsidRDefault="00696754">
      <w:pPr>
        <w:pStyle w:val="ListParagraph"/>
        <w:numPr>
          <w:ilvl w:val="0"/>
          <w:numId w:val="11"/>
        </w:numPr>
        <w:tabs>
          <w:tab w:val="left" w:pos="1026"/>
        </w:tabs>
        <w:ind w:hanging="438"/>
        <w:rPr>
          <w:sz w:val="24"/>
        </w:rPr>
      </w:pPr>
      <w:r>
        <w:rPr>
          <w:sz w:val="24"/>
        </w:rPr>
        <w:t>Osoby upoważnione</w:t>
      </w:r>
    </w:p>
    <w:p w14:paraId="6D17E0FC" w14:textId="77777777" w:rsidR="0034495B" w:rsidRDefault="00696754">
      <w:pPr>
        <w:pStyle w:val="ListParagraph"/>
        <w:numPr>
          <w:ilvl w:val="0"/>
          <w:numId w:val="11"/>
        </w:numPr>
        <w:tabs>
          <w:tab w:val="left" w:pos="1026"/>
        </w:tabs>
        <w:ind w:hanging="438"/>
        <w:rPr>
          <w:sz w:val="24"/>
        </w:rPr>
      </w:pPr>
      <w:r>
        <w:rPr>
          <w:sz w:val="24"/>
        </w:rPr>
        <w:t>Analiza laboratoryjna</w:t>
      </w:r>
    </w:p>
    <w:p w14:paraId="481F23F9" w14:textId="77777777" w:rsidR="0034495B" w:rsidRDefault="00696754">
      <w:pPr>
        <w:pStyle w:val="ListParagraph"/>
        <w:numPr>
          <w:ilvl w:val="0"/>
          <w:numId w:val="11"/>
        </w:numPr>
        <w:tabs>
          <w:tab w:val="left" w:pos="1026"/>
        </w:tabs>
        <w:ind w:hanging="438"/>
        <w:rPr>
          <w:sz w:val="24"/>
        </w:rPr>
      </w:pPr>
      <w:r>
        <w:rPr>
          <w:sz w:val="24"/>
        </w:rPr>
        <w:t>Uchylenie</w:t>
      </w:r>
    </w:p>
    <w:p w14:paraId="6DB3EE2E" w14:textId="77777777" w:rsidR="0034495B" w:rsidRDefault="0034495B">
      <w:pPr>
        <w:pStyle w:val="BodyText"/>
        <w:spacing w:before="0"/>
        <w:rPr>
          <w:sz w:val="20"/>
        </w:rPr>
      </w:pPr>
    </w:p>
    <w:p w14:paraId="2AC55C0A" w14:textId="77777777" w:rsidR="0034495B" w:rsidRDefault="0034495B">
      <w:pPr>
        <w:pStyle w:val="BodyText"/>
        <w:spacing w:before="1"/>
        <w:rPr>
          <w:sz w:val="17"/>
        </w:rPr>
      </w:pPr>
    </w:p>
    <w:p w14:paraId="7068B2E3" w14:textId="77777777" w:rsidR="0034495B" w:rsidRDefault="00696754">
      <w:pPr>
        <w:pStyle w:val="Heading1"/>
        <w:spacing w:before="90"/>
        <w:ind w:left="289" w:right="568"/>
        <w:jc w:val="center"/>
      </w:pPr>
      <w:r>
        <w:t>Załącznik 1</w:t>
      </w:r>
    </w:p>
    <w:p w14:paraId="7BA3A4B3" w14:textId="77777777" w:rsidR="0034495B" w:rsidRDefault="00696754" w:rsidP="00BC3BE2">
      <w:pPr>
        <w:pStyle w:val="BodyText"/>
        <w:ind w:left="289" w:right="4500"/>
        <w:jc w:val="center"/>
      </w:pPr>
      <w:r>
        <w:t>Treść dotycząca drewna powyżej 2 m</w:t>
      </w:r>
      <w:r>
        <w:rPr>
          <w:vertAlign w:val="superscript"/>
        </w:rPr>
        <w:t>3</w:t>
      </w:r>
    </w:p>
    <w:p w14:paraId="4FF25924" w14:textId="77777777" w:rsidR="0034495B" w:rsidRDefault="0034495B">
      <w:pPr>
        <w:pStyle w:val="BodyText"/>
        <w:spacing w:before="0"/>
        <w:rPr>
          <w:sz w:val="20"/>
        </w:rPr>
      </w:pPr>
    </w:p>
    <w:p w14:paraId="1F52AC7F" w14:textId="77777777" w:rsidR="0034495B" w:rsidRDefault="0034495B">
      <w:pPr>
        <w:pStyle w:val="BodyText"/>
        <w:spacing w:before="1"/>
        <w:rPr>
          <w:sz w:val="17"/>
        </w:rPr>
      </w:pPr>
    </w:p>
    <w:p w14:paraId="41B045A0" w14:textId="77777777" w:rsidR="0034495B" w:rsidRDefault="00696754">
      <w:pPr>
        <w:pStyle w:val="Heading1"/>
        <w:spacing w:before="89"/>
        <w:ind w:left="289" w:right="568"/>
        <w:jc w:val="center"/>
      </w:pPr>
      <w:r>
        <w:t>Załącznik 2</w:t>
      </w:r>
    </w:p>
    <w:p w14:paraId="226BDB86" w14:textId="77777777" w:rsidR="0034495B" w:rsidRDefault="00696754" w:rsidP="00BC3BE2">
      <w:pPr>
        <w:pStyle w:val="BodyText"/>
        <w:spacing w:before="121"/>
        <w:ind w:left="289" w:right="3510"/>
        <w:jc w:val="center"/>
      </w:pPr>
      <w:r>
        <w:t>Zapisy dotyczące identyfikowalności i zgodności</w:t>
      </w:r>
    </w:p>
    <w:p w14:paraId="1ED179B3" w14:textId="77777777" w:rsidR="0034495B" w:rsidRDefault="0034495B">
      <w:pPr>
        <w:jc w:val="center"/>
        <w:sectPr w:rsidR="0034495B">
          <w:headerReference w:type="even" r:id="rId8"/>
          <w:headerReference w:type="default" r:id="rId9"/>
          <w:pgSz w:w="11910" w:h="16840"/>
          <w:pgMar w:top="1340" w:right="1680" w:bottom="280" w:left="1680" w:header="717" w:footer="0" w:gutter="0"/>
          <w:pgNumType w:start="2"/>
          <w:cols w:space="720"/>
        </w:sectPr>
      </w:pPr>
    </w:p>
    <w:p w14:paraId="65368F95" w14:textId="77777777" w:rsidR="0034495B" w:rsidRDefault="00696754">
      <w:pPr>
        <w:pStyle w:val="BodyText"/>
        <w:spacing w:before="80"/>
        <w:ind w:left="3433"/>
      </w:pPr>
      <w:r>
        <w:lastRenderedPageBreak/>
        <w:t>Rozporządzenie nr 529 z 2022 r.</w:t>
      </w:r>
    </w:p>
    <w:p w14:paraId="792F32DF" w14:textId="77777777" w:rsidR="0034495B" w:rsidRDefault="0034495B">
      <w:pPr>
        <w:pStyle w:val="BodyText"/>
        <w:spacing w:before="0"/>
      </w:pPr>
    </w:p>
    <w:p w14:paraId="22BF9CDC" w14:textId="77777777" w:rsidR="0034495B" w:rsidRDefault="00696754">
      <w:pPr>
        <w:pStyle w:val="BodyText"/>
        <w:spacing w:before="0"/>
        <w:ind w:left="965"/>
      </w:pPr>
      <w:r>
        <w:t>PRZEPISY Z 2022 R. WS. USTAWY O ZANIECZYSZCZENIU POWIETRZA (PALIWA STAŁE) Z 1987 R.</w:t>
      </w:r>
    </w:p>
    <w:p w14:paraId="2BF1638A" w14:textId="77777777" w:rsidR="0034495B" w:rsidRDefault="0034495B">
      <w:pPr>
        <w:pStyle w:val="BodyText"/>
        <w:spacing w:before="0"/>
        <w:rPr>
          <w:sz w:val="26"/>
        </w:rPr>
      </w:pPr>
    </w:p>
    <w:p w14:paraId="668460C6" w14:textId="77777777" w:rsidR="0034495B" w:rsidRDefault="00696754">
      <w:pPr>
        <w:pStyle w:val="BodyText"/>
        <w:spacing w:before="217"/>
        <w:ind w:left="588" w:right="298"/>
        <w:jc w:val="both"/>
      </w:pPr>
      <w:r>
        <w:t xml:space="preserve">Ja, EAMON RYAN, minister środowiska, klimatu i komunikacji, korzystając z uprawnień przyznanych mi na mocy </w:t>
      </w:r>
      <w:r w:rsidR="00BC3BE2">
        <w:fldChar w:fldCharType="begin"/>
      </w:r>
      <w:r w:rsidR="00BC3BE2">
        <w:instrText>HYPERLINK "http://www.irishstatutebook.ie/1987/en/act/pub/0006/sec0010.html" \l "zza6y1987s10"</w:instrText>
      </w:r>
      <w:r w:rsidR="00BC3BE2">
        <w:instrText xml:space="preserve"> \h</w:instrText>
      </w:r>
      <w:r w:rsidR="00BC3BE2">
        <w:fldChar w:fldCharType="separate"/>
      </w:r>
      <w:r>
        <w:t>art. 10,</w:t>
      </w:r>
      <w:r w:rsidR="00BC3BE2">
        <w:fldChar w:fldCharType="end"/>
      </w:r>
      <w:r>
        <w:t xml:space="preserve"> art. 12A, </w:t>
      </w:r>
      <w:r w:rsidR="00BC3BE2">
        <w:fldChar w:fldCharType="begin"/>
      </w:r>
      <w:r w:rsidR="00BC3BE2">
        <w:instrText>HYPERLINK "http://www.irishstatutebook.ie/1987/en/act/pub/0006/sec0014.html" \l "zza6y1987s14" \h</w:instrText>
      </w:r>
      <w:r w:rsidR="00BC3BE2">
        <w:fldChar w:fldCharType="separate"/>
      </w:r>
      <w:r>
        <w:t xml:space="preserve">art. 14 ust. 7 i 8, art. 22F ust. 4 i 5 </w:t>
      </w:r>
      <w:r w:rsidR="00BC3BE2">
        <w:fldChar w:fldCharType="end"/>
      </w:r>
      <w:r>
        <w:t xml:space="preserve">oraz </w:t>
      </w:r>
      <w:hyperlink r:id="rId10" w:anchor="zza6y1987s53">
        <w:r>
          <w:t xml:space="preserve">art. 53 </w:t>
        </w:r>
      </w:hyperlink>
      <w:hyperlink r:id="rId11" w:anchor="zza6y1987">
        <w:r>
          <w:t xml:space="preserve">ustawy o </w:t>
        </w:r>
      </w:hyperlink>
      <w:hyperlink r:id="rId12" w:anchor="zza6y1987">
        <w:r>
          <w:t xml:space="preserve">zanieczyszczeniu powietrza z 1987 r. </w:t>
        </w:r>
      </w:hyperlink>
      <w:r>
        <w:t>(nr 6 z 1987 r.) oraz zarządzenia w sprawie działań na rzecz klimatu i środowiska (przeniesienie funkcji administracji departamentalnej i ministerialnych) z 2016 r. (S. I. nr 393 z 2016 r.) (w brzmieniu dostosowanym przez Ministerstwo Komunikacji, Działań w Dziedzinie Klimatu i Środowiska) (zmiana nazwy departamentu i tytułu ministra) z 2020 r. (S. I. nr 373 z 2020 r.)) ustanawiam następujące przepisy:</w:t>
      </w:r>
    </w:p>
    <w:p w14:paraId="7F817C3E" w14:textId="77777777" w:rsidR="0034495B" w:rsidRDefault="0034495B">
      <w:pPr>
        <w:pStyle w:val="BodyText"/>
        <w:spacing w:before="0"/>
        <w:rPr>
          <w:sz w:val="26"/>
        </w:rPr>
      </w:pPr>
    </w:p>
    <w:p w14:paraId="25886171" w14:textId="77777777" w:rsidR="0034495B" w:rsidRDefault="00696754">
      <w:pPr>
        <w:pStyle w:val="Heading1"/>
        <w:spacing w:before="218"/>
        <w:ind w:left="588"/>
        <w:jc w:val="both"/>
      </w:pPr>
      <w:r>
        <w:t>Tytuł i wejście w życie</w:t>
      </w:r>
    </w:p>
    <w:p w14:paraId="7C0EFCE5" w14:textId="77777777" w:rsidR="0034495B" w:rsidRDefault="0034495B">
      <w:pPr>
        <w:pStyle w:val="BodyText"/>
        <w:spacing w:before="10"/>
        <w:rPr>
          <w:b/>
          <w:sz w:val="20"/>
        </w:rPr>
      </w:pPr>
    </w:p>
    <w:p w14:paraId="6608DD04" w14:textId="77777777" w:rsidR="0034495B" w:rsidRDefault="00696754">
      <w:pPr>
        <w:pStyle w:val="ListParagraph"/>
        <w:numPr>
          <w:ilvl w:val="1"/>
          <w:numId w:val="11"/>
        </w:numPr>
        <w:tabs>
          <w:tab w:val="left" w:pos="1155"/>
        </w:tabs>
        <w:spacing w:before="0"/>
        <w:ind w:right="305" w:firstLine="283"/>
        <w:jc w:val="left"/>
        <w:rPr>
          <w:sz w:val="24"/>
        </w:rPr>
      </w:pPr>
      <w:r>
        <w:rPr>
          <w:sz w:val="24"/>
        </w:rPr>
        <w:t>(1) Niniejsze przepisy mogą być przywoływane jako przepisy z 2022 r. ws. ustawy o zanieczyszczeniu powietrza (paliwa stałe) z 1987 r.</w:t>
      </w:r>
    </w:p>
    <w:p w14:paraId="7D13DE28" w14:textId="77777777" w:rsidR="0034495B" w:rsidRDefault="00696754">
      <w:pPr>
        <w:pStyle w:val="BodyText"/>
        <w:ind w:left="871"/>
        <w:jc w:val="both"/>
      </w:pPr>
      <w:r>
        <w:t>(2) Niniejsze przepisy wchodzą w życie z dniem 31 października 2022 r.</w:t>
      </w:r>
    </w:p>
    <w:p w14:paraId="7E3EA076" w14:textId="77777777" w:rsidR="0034495B" w:rsidRDefault="0034495B">
      <w:pPr>
        <w:pStyle w:val="BodyText"/>
        <w:spacing w:before="0"/>
        <w:rPr>
          <w:sz w:val="26"/>
        </w:rPr>
      </w:pPr>
    </w:p>
    <w:p w14:paraId="439EB97E" w14:textId="77777777" w:rsidR="0034495B" w:rsidRDefault="00696754">
      <w:pPr>
        <w:pStyle w:val="Heading1"/>
        <w:ind w:left="588"/>
      </w:pPr>
      <w:r>
        <w:t>Wykładnia</w:t>
      </w:r>
    </w:p>
    <w:p w14:paraId="3B3EDC88" w14:textId="77777777" w:rsidR="0034495B" w:rsidRDefault="0034495B">
      <w:pPr>
        <w:pStyle w:val="BodyText"/>
        <w:spacing w:before="1"/>
        <w:rPr>
          <w:b/>
          <w:sz w:val="21"/>
        </w:rPr>
      </w:pPr>
    </w:p>
    <w:p w14:paraId="759F2B5D" w14:textId="77777777" w:rsidR="0034495B" w:rsidRDefault="00696754">
      <w:pPr>
        <w:pStyle w:val="ListParagraph"/>
        <w:numPr>
          <w:ilvl w:val="1"/>
          <w:numId w:val="11"/>
        </w:numPr>
        <w:tabs>
          <w:tab w:val="left" w:pos="1155"/>
        </w:tabs>
        <w:spacing w:before="0"/>
        <w:ind w:left="1154"/>
        <w:jc w:val="both"/>
        <w:rPr>
          <w:sz w:val="24"/>
        </w:rPr>
      </w:pPr>
      <w:r>
        <w:rPr>
          <w:sz w:val="24"/>
        </w:rPr>
        <w:t>(1) Użyte w niniejszych przepisach wyrażenie:</w:t>
      </w:r>
    </w:p>
    <w:p w14:paraId="764F8671" w14:textId="77777777" w:rsidR="0034495B" w:rsidRDefault="00696754" w:rsidP="00BC3BE2">
      <w:pPr>
        <w:pStyle w:val="BodyText"/>
        <w:spacing w:line="345" w:lineRule="auto"/>
        <w:ind w:left="588" w:right="90"/>
        <w:jc w:val="both"/>
      </w:pPr>
      <w:r>
        <w:t>„Ustawa z 1987 r.” oznacza Ustawę o zanieczyszczeniu powietrza z 1987 r. (nr 6 z 1987 r.); „Agencja” oznacza Agencję Ochrony Środowiska;</w:t>
      </w:r>
    </w:p>
    <w:p w14:paraId="63E5A066" w14:textId="77777777" w:rsidR="0034495B" w:rsidRDefault="00696754">
      <w:pPr>
        <w:pStyle w:val="BodyText"/>
        <w:spacing w:before="0"/>
        <w:ind w:left="588" w:right="301"/>
        <w:jc w:val="both"/>
      </w:pPr>
      <w:r>
        <w:t>„homologowane paliwo stałe” oznacza wyrób z paliwa stałego, który jest wykorzystywany do spalania w celu ogrzewania (pomieszczeń lub wody) w kominku w lokalu mieszkalnym lub w lokalu z koncesją, który spełnia wymagania określone w art. 5 w odniesieniu do tego wyrobu;</w:t>
      </w:r>
    </w:p>
    <w:p w14:paraId="7B4752ED" w14:textId="77777777" w:rsidR="0034495B" w:rsidRDefault="00696754">
      <w:pPr>
        <w:pStyle w:val="BodyText"/>
        <w:spacing w:before="118" w:line="343" w:lineRule="auto"/>
        <w:ind w:left="588" w:right="1044"/>
        <w:jc w:val="both"/>
      </w:pPr>
      <w:r>
        <w:t>„worek” oznacza szczelnie zamknięty pojemnik zawierający pewną ilość paliwa stałego; „bela” oznacza jednostkę paliwa stałego, która jest bezpiecznie związana lub owinięta;</w:t>
      </w:r>
    </w:p>
    <w:p w14:paraId="7A45412F" w14:textId="77777777" w:rsidR="0034495B" w:rsidRDefault="00696754">
      <w:pPr>
        <w:pStyle w:val="BodyText"/>
        <w:spacing w:before="2"/>
        <w:ind w:left="588" w:right="302"/>
        <w:jc w:val="both"/>
      </w:pPr>
      <w:r>
        <w:t>„biomasa” oznacza ulegającą biodegradacji część produktów, odpadów i pozostałości pochodzenia biologicznego z rolnictwa (łącznie z substancjami roślinnymi i zwierzęcymi), leśnictwa i związanych z nim gałęzi przemysłu, w tym rybołówstwa i akwakultury, a także ulegającą biodegradacji część odpadów przemysłowych i komunalnych;</w:t>
      </w:r>
    </w:p>
    <w:p w14:paraId="4DE2A847" w14:textId="77777777" w:rsidR="0034495B" w:rsidRDefault="00696754">
      <w:pPr>
        <w:pStyle w:val="BodyText"/>
        <w:spacing w:before="121"/>
        <w:ind w:left="588" w:right="309"/>
        <w:jc w:val="both"/>
      </w:pPr>
      <w:r>
        <w:t>„torfowisko” oznacza grunt składający się w całości lub głównie z ziemi, na której lub pod którą znajduje się torf;</w:t>
      </w:r>
    </w:p>
    <w:p w14:paraId="0B5E7D8B" w14:textId="77777777" w:rsidR="0034495B" w:rsidRDefault="00696754">
      <w:pPr>
        <w:pStyle w:val="BodyText"/>
        <w:ind w:left="588" w:right="299"/>
        <w:jc w:val="both"/>
      </w:pPr>
      <w:r>
        <w:t>„certyfikat zgodności” oznacza obowiązujący w danym momencie certyfikat potwierdzający, że producent paliwa stałego spełnia wymagania określone w art. 5, wydany przez jednostkę certyfikującą na podstawie art. 10;</w:t>
      </w:r>
    </w:p>
    <w:p w14:paraId="4302F77E" w14:textId="77777777" w:rsidR="0034495B" w:rsidRDefault="00696754">
      <w:pPr>
        <w:pStyle w:val="BodyText"/>
        <w:ind w:left="588"/>
        <w:jc w:val="both"/>
      </w:pPr>
      <w:r>
        <w:t>„jednostka certyfikująca” oznacza zewnętrzną jednostkę oceniającą zgodność;</w:t>
      </w:r>
    </w:p>
    <w:p w14:paraId="573486A2" w14:textId="51F427EA" w:rsidR="009946F9" w:rsidRDefault="00696754" w:rsidP="009946F9">
      <w:pPr>
        <w:pStyle w:val="BodyText"/>
        <w:spacing w:before="80"/>
        <w:ind w:left="305" w:right="585"/>
        <w:jc w:val="both"/>
      </w:pPr>
      <w:r>
        <w:t xml:space="preserve">„program zaprzestania działalności” oznacza program odszkodowań za zaprzestanie wycinania torfu ustanowiony przez Ministra Mieszkalnictwa, Samorządu Lokalnego i Dziedzictwa i zarządzany przez Departament </w:t>
      </w:r>
      <w:r>
        <w:lastRenderedPageBreak/>
        <w:t>Mieszkalnictwa, Samorządu Lokalnego i Dziedzictwa;</w:t>
      </w:r>
    </w:p>
    <w:p w14:paraId="63DD66E0" w14:textId="1BDE2C86" w:rsidR="0034495B" w:rsidRDefault="009946F9">
      <w:pPr>
        <w:pStyle w:val="BodyText"/>
        <w:ind w:left="588" w:right="302"/>
        <w:jc w:val="both"/>
      </w:pPr>
      <w:r>
        <w:rPr>
          <w:noProof/>
          <w:sz w:val="32"/>
        </w:rPr>
        <mc:AlternateContent>
          <mc:Choice Requires="wps">
            <w:drawing>
              <wp:anchor distT="0" distB="0" distL="114300" distR="114300" simplePos="0" relativeHeight="251657728" behindDoc="0" locked="0" layoutInCell="1" allowOverlap="1" wp14:anchorId="4061EB23" wp14:editId="3C23218B">
                <wp:simplePos x="0" y="0"/>
                <wp:positionH relativeFrom="column">
                  <wp:posOffset>30480</wp:posOffset>
                </wp:positionH>
                <wp:positionV relativeFrom="paragraph">
                  <wp:posOffset>101600</wp:posOffset>
                </wp:positionV>
                <wp:extent cx="5376333" cy="746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76333" cy="746760"/>
                        </a:xfrm>
                        <a:prstGeom prst="rect">
                          <a:avLst/>
                        </a:prstGeom>
                        <a:solidFill>
                          <a:schemeClr val="lt1"/>
                        </a:solidFill>
                        <a:ln w="6350">
                          <a:noFill/>
                        </a:ln>
                      </wps:spPr>
                      <wps:txbx>
                        <w:txbxContent>
                          <w:p w14:paraId="3362F685" w14:textId="77777777" w:rsidR="009946F9" w:rsidRDefault="009946F9" w:rsidP="009946F9">
                            <w:pPr>
                              <w:spacing w:before="1"/>
                              <w:ind w:left="2430" w:right="749" w:hanging="2114"/>
                              <w:jc w:val="center"/>
                              <w:rPr>
                                <w:i/>
                                <w:sz w:val="24"/>
                              </w:rPr>
                            </w:pPr>
                            <w:r>
                              <w:rPr>
                                <w:i/>
                                <w:sz w:val="24"/>
                              </w:rPr>
                              <w:t xml:space="preserve">Zawiadomienie o sporządzeniu niniejszego rozporządzenia zostało opublikowane w „Iris Oifigiúil” z </w:t>
                            </w:r>
                            <w:r>
                              <w:rPr>
                                <w:sz w:val="24"/>
                              </w:rPr>
                              <w:t>25</w:t>
                            </w:r>
                            <w:r>
                              <w:rPr>
                                <w:i/>
                                <w:sz w:val="24"/>
                              </w:rPr>
                              <w:t xml:space="preserve"> października </w:t>
                            </w:r>
                            <w:r>
                              <w:rPr>
                                <w:sz w:val="24"/>
                              </w:rPr>
                              <w:t>2022</w:t>
                            </w:r>
                            <w:r>
                              <w:rPr>
                                <w:i/>
                                <w:sz w:val="24"/>
                              </w:rPr>
                              <w:t xml:space="preserve"> r.</w:t>
                            </w:r>
                          </w:p>
                          <w:p w14:paraId="014C8635" w14:textId="77777777" w:rsidR="009946F9" w:rsidRDefault="00994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1EB23" id="_x0000_t202" coordsize="21600,21600" o:spt="202" path="m,l,21600r21600,l21600,xe">
                <v:stroke joinstyle="miter"/>
                <v:path gradientshapeok="t" o:connecttype="rect"/>
              </v:shapetype>
              <v:shape id="Text Box 2" o:spid="_x0000_s1026" type="#_x0000_t202" style="position:absolute;left:0;text-align:left;margin-left:2.4pt;margin-top:8pt;width:423.35pt;height:58.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" fillcolor="white [3201]" stroked="f" strokeweight=".5pt">
                <v:textbox>
                  <w:txbxContent>
                    <w:p w14:paraId="3362F685" w14:textId="77777777" w:rsidR="009946F9" w:rsidRDefault="009946F9" w:rsidP="009946F9">
                      <w:pPr>
                        <w:spacing w:before="1"/>
                        <w:ind w:left="2430" w:right="749" w:hanging="2114"/>
                        <w:jc w:val="center"/>
                        <w:rPr>
                          <w:i/>
                          <w:sz w:val="24"/>
                        </w:rPr>
                      </w:pPr>
                      <w:r>
                        <w:rPr>
                          <w:i/>
                          <w:sz w:val="24"/>
                        </w:rPr>
                        <w:t xml:space="preserve">Zawiadomienie o sporządzeniu niniejszego rozporządzenia zostało opublikowane w „Iris Oifigiúil” z </w:t>
                      </w:r>
                      <w:r>
                        <w:rPr>
                          <w:sz w:val="24"/>
                        </w:rPr>
                        <w:t>25</w:t>
                      </w:r>
                      <w:r>
                        <w:rPr>
                          <w:i/>
                          <w:sz w:val="24"/>
                        </w:rPr>
                        <w:t xml:space="preserve"> października </w:t>
                      </w:r>
                      <w:r>
                        <w:rPr>
                          <w:sz w:val="24"/>
                        </w:rPr>
                        <w:t>2022</w:t>
                      </w:r>
                      <w:r>
                        <w:rPr>
                          <w:i/>
                          <w:sz w:val="24"/>
                        </w:rPr>
                        <w:t xml:space="preserve"> r.</w:t>
                      </w:r>
                    </w:p>
                    <w:p w14:paraId="014C8635" w14:textId="77777777" w:rsidR="009946F9" w:rsidRDefault="009946F9"/>
                  </w:txbxContent>
                </v:textbox>
              </v:shape>
            </w:pict>
          </mc:Fallback>
        </mc:AlternateContent>
      </w:r>
    </w:p>
    <w:p w14:paraId="3FC091DE" w14:textId="1D66BF6E" w:rsidR="0034495B" w:rsidRDefault="0034495B">
      <w:pPr>
        <w:pStyle w:val="BodyText"/>
        <w:spacing w:before="0"/>
        <w:rPr>
          <w:sz w:val="26"/>
        </w:rPr>
      </w:pPr>
    </w:p>
    <w:p w14:paraId="2D0AA463" w14:textId="3A3845E5" w:rsidR="0034495B" w:rsidRDefault="0034495B" w:rsidP="009946F9">
      <w:pPr>
        <w:pStyle w:val="BodyText"/>
        <w:spacing w:before="7"/>
        <w:sectPr w:rsidR="0034495B">
          <w:pgSz w:w="11910" w:h="16840"/>
          <w:pgMar w:top="1340" w:right="1680" w:bottom="280" w:left="1680" w:header="717" w:footer="0" w:gutter="0"/>
          <w:cols w:space="720"/>
        </w:sectPr>
      </w:pPr>
    </w:p>
    <w:p w14:paraId="215E8D25" w14:textId="77777777" w:rsidR="0034495B" w:rsidRDefault="00696754">
      <w:pPr>
        <w:pStyle w:val="BodyText"/>
        <w:ind w:left="305" w:right="586"/>
        <w:jc w:val="both"/>
      </w:pPr>
      <w:r>
        <w:lastRenderedPageBreak/>
        <w:t>„produkty węglowe” oznaczają każdy węgiel brunatny, koks lub półkoks z węgla objętego kodami CN 2701, 2702 lub 2704;</w:t>
      </w:r>
    </w:p>
    <w:p w14:paraId="4359816F" w14:textId="77777777" w:rsidR="0034495B" w:rsidRDefault="00696754">
      <w:pPr>
        <w:pStyle w:val="BodyText"/>
        <w:ind w:left="305" w:right="592"/>
        <w:jc w:val="both"/>
      </w:pPr>
      <w:r>
        <w:t>„lokal mieszkalny” oznacza lokal, który jest używany w całości lub głównie jako prywatny budynek mieszkalny;</w:t>
      </w:r>
    </w:p>
    <w:p w14:paraId="5BC7539E" w14:textId="77777777" w:rsidR="0034495B" w:rsidRDefault="00696754">
      <w:pPr>
        <w:pStyle w:val="BodyText"/>
        <w:ind w:left="305" w:right="590"/>
        <w:jc w:val="both"/>
      </w:pPr>
      <w:r>
        <w:t>„kraj EFTA” oznacza kraj, który jest członkiem Europejskiego Stowarzyszenia Wolnego Handlu;</w:t>
      </w:r>
    </w:p>
    <w:p w14:paraId="08DFBB81" w14:textId="77777777" w:rsidR="0034495B" w:rsidRDefault="00696754">
      <w:pPr>
        <w:pStyle w:val="BodyText"/>
        <w:ind w:left="305"/>
        <w:jc w:val="both"/>
      </w:pPr>
      <w:r>
        <w:t>„kominek” ma znaczenie nadane mu w art. 7 ust. 1 ustawy z 1987 r.;</w:t>
      </w:r>
    </w:p>
    <w:p w14:paraId="0A28F4F2" w14:textId="77777777" w:rsidR="0034495B" w:rsidRDefault="00696754">
      <w:pPr>
        <w:pStyle w:val="BodyText"/>
        <w:ind w:left="305" w:right="585"/>
        <w:jc w:val="both"/>
      </w:pPr>
      <w:r>
        <w:t>„rejestr paliw” oznacza rejestr utworzony i prowadzony przez Agencję na podstawie art. 22A (wprowadzonego art. 24 ustawy z 2015 r. o przepisach różnych dotyczących środowiska) ustawy z 1987 r;</w:t>
      </w:r>
    </w:p>
    <w:p w14:paraId="60499A6A" w14:textId="77777777" w:rsidR="0034495B" w:rsidRDefault="00696754">
      <w:pPr>
        <w:pStyle w:val="BodyText"/>
        <w:spacing w:before="121"/>
        <w:ind w:left="305" w:right="590"/>
        <w:jc w:val="both"/>
      </w:pPr>
      <w:r>
        <w:t>„lokal z koncesją” ma takie samo znaczenie, jak w ustawie o napojach alkoholowych z 2008 r. (nr 17 z 2008 r.);</w:t>
      </w:r>
    </w:p>
    <w:p w14:paraId="02B5BEAF" w14:textId="77777777" w:rsidR="0034495B" w:rsidRDefault="00696754">
      <w:pPr>
        <w:pStyle w:val="BodyText"/>
        <w:ind w:left="305" w:right="589"/>
        <w:jc w:val="both"/>
      </w:pPr>
      <w:r>
        <w:t>„produkt wytworzony z biomasy” oznacza każdy produkt będący paliwem stałym wytworzony z biomasy i innych materiałów, w którym zawartość biomasy jest większa niż 30 %, ale mniejsza niż 100 %;</w:t>
      </w:r>
    </w:p>
    <w:p w14:paraId="116101D0" w14:textId="77777777" w:rsidR="0034495B" w:rsidRDefault="00696754">
      <w:pPr>
        <w:pStyle w:val="BodyText"/>
        <w:ind w:left="305" w:right="591"/>
        <w:jc w:val="both"/>
      </w:pPr>
      <w:r>
        <w:t>„wytworzone paliwo stałe” oznacza każde paliwo stałe wyprodukowane lub zmieszane z frakcją biomasy mniejszą niż 30 %;</w:t>
      </w:r>
    </w:p>
    <w:p w14:paraId="518F51EB" w14:textId="77777777" w:rsidR="0034495B" w:rsidRDefault="00696754">
      <w:pPr>
        <w:pStyle w:val="BodyText"/>
        <w:ind w:left="305" w:right="587"/>
        <w:jc w:val="both"/>
      </w:pPr>
      <w:r>
        <w:t>„właściciel pojazdu” oznacza osobę będącą w posiadaniu pojazdu lub tymczasowo nim zarządzającą;</w:t>
      </w:r>
    </w:p>
    <w:p w14:paraId="02468E8C" w14:textId="77777777" w:rsidR="0034495B" w:rsidRDefault="00696754">
      <w:pPr>
        <w:pStyle w:val="BodyText"/>
        <w:ind w:left="305" w:right="960"/>
        <w:rPr>
          <w:rFonts w:ascii="Cambria" w:hAnsi="Cambria"/>
          <w:sz w:val="22"/>
        </w:rPr>
      </w:pPr>
      <w:r>
        <w:t>„opakowanie” oznacza materiał użyty do stworzenia worka, beli lub innego pojemnika do przechowywania pewnej ilości paliwa stałego, które jest przeznaczone do powszechnej sprzedaży</w:t>
      </w:r>
      <w:r>
        <w:rPr>
          <w:rFonts w:ascii="Cambria" w:hAnsi="Cambria"/>
          <w:sz w:val="22"/>
        </w:rPr>
        <w:t>;</w:t>
      </w:r>
    </w:p>
    <w:p w14:paraId="67D75318" w14:textId="77777777" w:rsidR="0034495B" w:rsidRDefault="00696754">
      <w:pPr>
        <w:pStyle w:val="BodyText"/>
        <w:ind w:left="305"/>
      </w:pPr>
      <w:r>
        <w:t>„brykiet torfowy” oznacza mielony torf, który został ususzony i uformowany w jednolity kształt;</w:t>
      </w:r>
    </w:p>
    <w:p w14:paraId="4A9BAF70" w14:textId="77777777" w:rsidR="0034495B" w:rsidRDefault="00696754">
      <w:pPr>
        <w:pStyle w:val="BodyText"/>
        <w:ind w:left="305" w:right="584"/>
        <w:jc w:val="both"/>
      </w:pPr>
      <w:r>
        <w:t>„producent” w odniesieniu do paliwa stałego oznacza osobę, która do celów spalania lub ogrzewania wytwarza, przetwarza lub importuje paliwo stałe w celu sprzedaży detalicznej lub dystrybucji w kraju i „produkt” należy rozumieć odpowiednio;</w:t>
      </w:r>
    </w:p>
    <w:p w14:paraId="51A645DC" w14:textId="77777777" w:rsidR="0034495B" w:rsidRDefault="00696754">
      <w:pPr>
        <w:pStyle w:val="BodyText"/>
        <w:spacing w:before="121"/>
        <w:ind w:left="305" w:right="588"/>
        <w:jc w:val="both"/>
      </w:pPr>
      <w:r>
        <w:t>„sprzedawca detaliczny” w odniesieniu do sprzedaży paliw stałych oznacza osobę, która dla celów handlowych lub w inny sposób w ramach prowadzonej działalności gospodarczej sprzedaje lub w inny sposób dostarcza, niezależnie od stosowanej techniki sprzedaży, paliwo stałe innym osobom w celu spalenia w celu ogrzewania, w, z lub w związku z lokalem lub online, bezpośrednio lub pośrednio, i obejmuje hurtownika i dostawcę;</w:t>
      </w:r>
    </w:p>
    <w:p w14:paraId="72D2F185" w14:textId="77777777" w:rsidR="0034495B" w:rsidRDefault="00696754">
      <w:pPr>
        <w:pStyle w:val="BodyText"/>
        <w:ind w:left="305" w:right="584"/>
        <w:jc w:val="both"/>
      </w:pPr>
      <w:r>
        <w:t>„prawo do pozyskiwania torfu” oznacza prawo do kopania, cięcia i wybierania torfu z torfowiska w celu wykorzystania go jako paliwa i obejmuje –</w:t>
      </w:r>
    </w:p>
    <w:p w14:paraId="21886B09" w14:textId="77777777" w:rsidR="0034495B" w:rsidRDefault="00696754">
      <w:pPr>
        <w:pStyle w:val="ListParagraph"/>
        <w:numPr>
          <w:ilvl w:val="2"/>
          <w:numId w:val="11"/>
        </w:numPr>
        <w:tabs>
          <w:tab w:val="left" w:pos="1724"/>
        </w:tabs>
        <w:jc w:val="both"/>
        <w:rPr>
          <w:sz w:val="24"/>
        </w:rPr>
      </w:pPr>
      <w:r>
        <w:rPr>
          <w:sz w:val="24"/>
        </w:rPr>
        <w:t>prawo zwyczajowe do takich działań, oraz</w:t>
      </w:r>
    </w:p>
    <w:p w14:paraId="097F0B85" w14:textId="77777777" w:rsidR="0034495B" w:rsidRDefault="00696754">
      <w:pPr>
        <w:pStyle w:val="ListParagraph"/>
        <w:numPr>
          <w:ilvl w:val="2"/>
          <w:numId w:val="11"/>
        </w:numPr>
        <w:tabs>
          <w:tab w:val="left" w:pos="1724"/>
        </w:tabs>
        <w:ind w:right="588"/>
        <w:jc w:val="both"/>
        <w:rPr>
          <w:sz w:val="24"/>
        </w:rPr>
      </w:pPr>
      <w:r>
        <w:rPr>
          <w:sz w:val="24"/>
        </w:rPr>
        <w:t>prawo do przygotowania i przechowywania na torfowisku wszelkiego wyciętego z niego torfu;</w:t>
      </w:r>
    </w:p>
    <w:p w14:paraId="69E99939" w14:textId="77777777" w:rsidR="0034495B" w:rsidRDefault="00696754">
      <w:pPr>
        <w:pStyle w:val="BodyText"/>
        <w:ind w:left="305"/>
        <w:jc w:val="both"/>
      </w:pPr>
      <w:r>
        <w:t>„paliwo stałe” oznacza każdą substancję stałą, która jest spalana w celu wytworzenia ciepła;</w:t>
      </w:r>
    </w:p>
    <w:p w14:paraId="41A80A7B" w14:textId="77777777" w:rsidR="0034495B" w:rsidRDefault="00696754">
      <w:pPr>
        <w:pStyle w:val="BodyText"/>
        <w:ind w:left="305" w:right="584"/>
        <w:jc w:val="both"/>
      </w:pPr>
      <w:r>
        <w:t>„torf” oznacza torf pozyskany z torfowiska, niezależnie od metody wydobycia, ale nie obejmuje brykietów torfowych</w:t>
      </w:r>
    </w:p>
    <w:p w14:paraId="66A6E44D" w14:textId="77777777" w:rsidR="0034495B" w:rsidRDefault="0034495B">
      <w:pPr>
        <w:jc w:val="both"/>
        <w:sectPr w:rsidR="0034495B">
          <w:pgSz w:w="11910" w:h="16840"/>
          <w:pgMar w:top="1340" w:right="1680" w:bottom="280" w:left="1680" w:header="717" w:footer="0" w:gutter="0"/>
          <w:cols w:space="720"/>
        </w:sectPr>
      </w:pPr>
    </w:p>
    <w:p w14:paraId="2B915316" w14:textId="1DBD9845" w:rsidR="0034495B" w:rsidRDefault="00696754">
      <w:pPr>
        <w:pStyle w:val="BodyText"/>
        <w:spacing w:before="80"/>
        <w:ind w:left="588" w:right="304" w:firstLine="283"/>
        <w:jc w:val="both"/>
      </w:pPr>
      <w:r>
        <w:lastRenderedPageBreak/>
        <w:t>(2) W niniejszych przepisach odwołanie do normy międzynarodowej lub normy brytyjskiej oznacza odwołanie do normy opublikowanej przez Międzynarodową Organizację Normalizacyjną lub Brytyjską Instytucję Normalizacyjną i powinno być interpretowane jako najbardziej aktualna obowiązująca taka norma.</w:t>
      </w:r>
    </w:p>
    <w:p w14:paraId="012D492A" w14:textId="77777777" w:rsidR="0034495B" w:rsidRDefault="0034495B">
      <w:pPr>
        <w:pStyle w:val="BodyText"/>
        <w:spacing w:before="0"/>
        <w:rPr>
          <w:sz w:val="26"/>
        </w:rPr>
      </w:pPr>
    </w:p>
    <w:p w14:paraId="415C7F63" w14:textId="77777777" w:rsidR="0034495B" w:rsidRDefault="00696754">
      <w:pPr>
        <w:pStyle w:val="Heading1"/>
        <w:ind w:left="588"/>
      </w:pPr>
      <w:r>
        <w:t>Zakaz sprzedaży lub dystrybucji niezatwierdzonego paliwa stałego</w:t>
      </w:r>
    </w:p>
    <w:p w14:paraId="148FDC79" w14:textId="77777777" w:rsidR="0034495B" w:rsidRDefault="0034495B">
      <w:pPr>
        <w:pStyle w:val="BodyText"/>
        <w:spacing w:before="1"/>
        <w:rPr>
          <w:b/>
          <w:sz w:val="21"/>
        </w:rPr>
      </w:pPr>
    </w:p>
    <w:p w14:paraId="6E09D549" w14:textId="77777777" w:rsidR="0034495B" w:rsidRDefault="00696754">
      <w:pPr>
        <w:pStyle w:val="ListParagraph"/>
        <w:numPr>
          <w:ilvl w:val="1"/>
          <w:numId w:val="11"/>
        </w:numPr>
        <w:tabs>
          <w:tab w:val="left" w:pos="1309"/>
        </w:tabs>
        <w:spacing w:before="0"/>
        <w:ind w:right="302" w:firstLine="283"/>
        <w:jc w:val="both"/>
        <w:rPr>
          <w:sz w:val="24"/>
        </w:rPr>
      </w:pPr>
      <w:r>
        <w:rPr>
          <w:sz w:val="24"/>
        </w:rPr>
        <w:t>Osoba nie może prowadzić sprzedaży detalicznej lub dystrybuować paliwa stałego przeznaczonego do spalania w celu ogrzewania (pomieszczeń lub wody) w kominku w domu lub w lokalu z koncesją, które nie jest zatwierdzonym paliwem stałym.</w:t>
      </w:r>
    </w:p>
    <w:p w14:paraId="0A484EBA" w14:textId="77777777" w:rsidR="0034495B" w:rsidRDefault="0034495B">
      <w:pPr>
        <w:pStyle w:val="BodyText"/>
        <w:spacing w:before="0"/>
        <w:rPr>
          <w:sz w:val="26"/>
        </w:rPr>
      </w:pPr>
    </w:p>
    <w:p w14:paraId="1300FD21" w14:textId="77777777" w:rsidR="0034495B" w:rsidRDefault="00696754">
      <w:pPr>
        <w:pStyle w:val="Heading1"/>
        <w:spacing w:before="215"/>
        <w:ind w:left="588"/>
      </w:pPr>
      <w:r>
        <w:t>Ułatwienie stosowania prawa do pozyskiwania torfu</w:t>
      </w:r>
    </w:p>
    <w:p w14:paraId="27FBA060" w14:textId="77777777" w:rsidR="0034495B" w:rsidRDefault="0034495B">
      <w:pPr>
        <w:pStyle w:val="BodyText"/>
        <w:spacing w:before="1"/>
        <w:rPr>
          <w:b/>
          <w:sz w:val="21"/>
        </w:rPr>
      </w:pPr>
    </w:p>
    <w:p w14:paraId="7B443DFD" w14:textId="77777777" w:rsidR="0034495B" w:rsidRDefault="00696754">
      <w:pPr>
        <w:pStyle w:val="ListParagraph"/>
        <w:numPr>
          <w:ilvl w:val="1"/>
          <w:numId w:val="11"/>
        </w:numPr>
        <w:tabs>
          <w:tab w:val="left" w:pos="1155"/>
        </w:tabs>
        <w:spacing w:before="0"/>
        <w:ind w:right="300" w:firstLine="283"/>
        <w:jc w:val="both"/>
        <w:rPr>
          <w:sz w:val="24"/>
        </w:rPr>
      </w:pPr>
      <w:r>
        <w:rPr>
          <w:sz w:val="24"/>
        </w:rPr>
        <w:t>(1) Niezależnie od przepisów art. 3, posiadacz prawa do pozyskiwania torfu może, w drodze podziału torfu wyciętego przez posiadacza lub dla niego, przekazać go innym osobom do ich osobistego użytku i nie jest uważany za producenta w rozumieniu niniejszych przepisów.</w:t>
      </w:r>
    </w:p>
    <w:p w14:paraId="040B1F2E" w14:textId="77777777" w:rsidR="0034495B" w:rsidRDefault="00696754">
      <w:pPr>
        <w:pStyle w:val="ListParagraph"/>
        <w:numPr>
          <w:ilvl w:val="0"/>
          <w:numId w:val="10"/>
        </w:numPr>
        <w:tabs>
          <w:tab w:val="left" w:pos="1309"/>
        </w:tabs>
        <w:ind w:right="300" w:firstLine="283"/>
        <w:jc w:val="both"/>
        <w:rPr>
          <w:sz w:val="24"/>
        </w:rPr>
      </w:pPr>
      <w:r>
        <w:rPr>
          <w:sz w:val="24"/>
        </w:rPr>
        <w:t>Posiadacz prawa do pozyskiwania torfu może sprzedawać lub oferować sprzedaż torfu innej osobie, pod warunkiem, że nie odbywa się to za pośrednictwem internetu lub innych mediów, lub z lokalu lub miejsca wykorzystywanego do sprzedaży detalicznej żywności, paliw lub innych towarów (w tym ze sklepów, garaży i stacji benzynowych, składów paliw oraz pubów i innych miejsc publicznych (w rozumieniu sekcji 3 ustawy o wymiarze sprawiedliwości (porządku publicznym) z 1994 roku (nr 2 z 1994 roku)</w:t>
      </w:r>
    </w:p>
    <w:p w14:paraId="39B7DC63" w14:textId="77777777" w:rsidR="0034495B" w:rsidRDefault="00696754">
      <w:pPr>
        <w:pStyle w:val="ListParagraph"/>
        <w:numPr>
          <w:ilvl w:val="0"/>
          <w:numId w:val="10"/>
        </w:numPr>
        <w:tabs>
          <w:tab w:val="left" w:pos="1309"/>
        </w:tabs>
        <w:ind w:right="300" w:firstLine="283"/>
        <w:jc w:val="both"/>
        <w:rPr>
          <w:sz w:val="24"/>
        </w:rPr>
      </w:pPr>
      <w:r>
        <w:rPr>
          <w:sz w:val="24"/>
        </w:rPr>
        <w:t>Posiadacz prawa do pozyskiwania torfu, o którym mowa w ust. 1, może przekazać torf do dystrybucji osobom uprawnionym do torfu w ramach programu zaprzestania działalności.</w:t>
      </w:r>
    </w:p>
    <w:p w14:paraId="5D8E900A" w14:textId="77777777" w:rsidR="0034495B" w:rsidRDefault="00696754">
      <w:pPr>
        <w:pStyle w:val="ListParagraph"/>
        <w:numPr>
          <w:ilvl w:val="0"/>
          <w:numId w:val="10"/>
        </w:numPr>
        <w:tabs>
          <w:tab w:val="left" w:pos="1309"/>
        </w:tabs>
        <w:spacing w:before="121"/>
        <w:ind w:right="305" w:firstLine="283"/>
        <w:jc w:val="both"/>
        <w:rPr>
          <w:sz w:val="24"/>
        </w:rPr>
      </w:pPr>
      <w:r>
        <w:rPr>
          <w:sz w:val="24"/>
        </w:rPr>
        <w:t>Wymogi przepisów art. 9 lit. c) nie mają zastosowania do transportu torfu wyciętego przez posiadacza prawa do pozyskiwania torfu na mocy niniejszego rozporządzenia.</w:t>
      </w:r>
    </w:p>
    <w:p w14:paraId="4138B3D0" w14:textId="77777777" w:rsidR="0034495B" w:rsidRDefault="0034495B">
      <w:pPr>
        <w:pStyle w:val="BodyText"/>
        <w:spacing w:before="0"/>
        <w:rPr>
          <w:sz w:val="26"/>
        </w:rPr>
      </w:pPr>
    </w:p>
    <w:p w14:paraId="375706C8" w14:textId="77777777" w:rsidR="0034495B" w:rsidRDefault="00696754">
      <w:pPr>
        <w:pStyle w:val="Heading1"/>
        <w:ind w:left="588"/>
      </w:pPr>
      <w:r>
        <w:t>Wymagania dotyczące homologowanych paliw stałych</w:t>
      </w:r>
    </w:p>
    <w:p w14:paraId="20AC06CB" w14:textId="77777777" w:rsidR="0034495B" w:rsidRDefault="0034495B">
      <w:pPr>
        <w:pStyle w:val="BodyText"/>
        <w:spacing w:before="10"/>
        <w:rPr>
          <w:b/>
          <w:sz w:val="20"/>
        </w:rPr>
      </w:pPr>
    </w:p>
    <w:p w14:paraId="028D4EF3" w14:textId="77777777" w:rsidR="0034495B" w:rsidRDefault="00696754">
      <w:pPr>
        <w:pStyle w:val="ListParagraph"/>
        <w:numPr>
          <w:ilvl w:val="1"/>
          <w:numId w:val="11"/>
        </w:numPr>
        <w:tabs>
          <w:tab w:val="left" w:pos="1155"/>
        </w:tabs>
        <w:spacing w:before="0"/>
        <w:ind w:right="301" w:firstLine="283"/>
        <w:jc w:val="left"/>
        <w:rPr>
          <w:sz w:val="24"/>
        </w:rPr>
      </w:pPr>
      <w:r>
        <w:rPr>
          <w:sz w:val="24"/>
        </w:rPr>
        <w:t>(1) Paliwo stałe, które ma być uznane za homologowane paliwo stałe, musi spełniać wymagania określone w poniższych punktach.</w:t>
      </w:r>
    </w:p>
    <w:p w14:paraId="021A7269" w14:textId="77777777" w:rsidR="0034495B" w:rsidRDefault="00696754">
      <w:pPr>
        <w:pStyle w:val="ListParagraph"/>
        <w:numPr>
          <w:ilvl w:val="0"/>
          <w:numId w:val="9"/>
        </w:numPr>
        <w:tabs>
          <w:tab w:val="left" w:pos="1309"/>
        </w:tabs>
        <w:ind w:right="307" w:firstLine="283"/>
        <w:jc w:val="left"/>
        <w:rPr>
          <w:sz w:val="24"/>
        </w:rPr>
      </w:pPr>
      <w:r>
        <w:rPr>
          <w:sz w:val="24"/>
        </w:rPr>
        <w:t>Produkty węglowe i przetworzone paliwa stałe muszą mieć wskaźnik emisji dymu poniżej 10 gramów na godzinę.</w:t>
      </w:r>
    </w:p>
    <w:p w14:paraId="4BA3C71D" w14:textId="77777777" w:rsidR="0034495B" w:rsidRDefault="00696754">
      <w:pPr>
        <w:pStyle w:val="ListParagraph"/>
        <w:numPr>
          <w:ilvl w:val="0"/>
          <w:numId w:val="9"/>
        </w:numPr>
        <w:tabs>
          <w:tab w:val="left" w:pos="1309"/>
        </w:tabs>
        <w:ind w:right="305" w:firstLine="283"/>
        <w:jc w:val="left"/>
        <w:rPr>
          <w:sz w:val="24"/>
        </w:rPr>
      </w:pPr>
      <w:r>
        <w:rPr>
          <w:sz w:val="24"/>
        </w:rPr>
        <w:t>Produkty wytworzone z biomasy muszą mieć wskaźnik emisji dymu poniżej 5 gramów na godzinę.</w:t>
      </w:r>
    </w:p>
    <w:p w14:paraId="651A9160" w14:textId="77777777" w:rsidR="0034495B" w:rsidRDefault="00696754">
      <w:pPr>
        <w:pStyle w:val="ListParagraph"/>
        <w:numPr>
          <w:ilvl w:val="0"/>
          <w:numId w:val="9"/>
        </w:numPr>
        <w:tabs>
          <w:tab w:val="left" w:pos="1309"/>
        </w:tabs>
        <w:spacing w:before="121"/>
        <w:ind w:right="647" w:firstLine="283"/>
        <w:jc w:val="left"/>
        <w:rPr>
          <w:sz w:val="24"/>
        </w:rPr>
      </w:pPr>
      <w:r>
        <w:rPr>
          <w:sz w:val="24"/>
        </w:rPr>
        <w:t>Produkty węglowe i wytworzone paliwa stałe, w tym produkty wytworzone z biomasy, muszą mieć zawartość siarki:</w:t>
      </w:r>
    </w:p>
    <w:p w14:paraId="4747ED03" w14:textId="77777777" w:rsidR="0034495B" w:rsidRDefault="00696754">
      <w:pPr>
        <w:pStyle w:val="ListParagraph"/>
        <w:numPr>
          <w:ilvl w:val="1"/>
          <w:numId w:val="9"/>
        </w:numPr>
        <w:tabs>
          <w:tab w:val="left" w:pos="2007"/>
        </w:tabs>
        <w:jc w:val="both"/>
        <w:rPr>
          <w:sz w:val="24"/>
        </w:rPr>
      </w:pPr>
      <w:r>
        <w:rPr>
          <w:sz w:val="24"/>
        </w:rPr>
        <w:t>mniejszą niż 2 % masy w stanie suchym wolnym od popiołu, oraz</w:t>
      </w:r>
    </w:p>
    <w:p w14:paraId="2D5C5D77" w14:textId="77777777" w:rsidR="0034495B" w:rsidRDefault="00696754">
      <w:pPr>
        <w:pStyle w:val="ListParagraph"/>
        <w:numPr>
          <w:ilvl w:val="1"/>
          <w:numId w:val="9"/>
        </w:numPr>
        <w:tabs>
          <w:tab w:val="left" w:pos="2007"/>
        </w:tabs>
        <w:ind w:right="302"/>
        <w:jc w:val="both"/>
        <w:rPr>
          <w:sz w:val="24"/>
        </w:rPr>
      </w:pPr>
      <w:r>
        <w:rPr>
          <w:sz w:val="24"/>
        </w:rPr>
        <w:t>z zastrzeżeniem oceny rynku, ze skutkiem od dnia 1 września 2025 r., zawartość siarki w masie poniżej 1 % w przeliczeniu na suchą masę bez popiołu.</w:t>
      </w:r>
    </w:p>
    <w:p w14:paraId="4B7A5BBF" w14:textId="77777777" w:rsidR="0034495B" w:rsidRDefault="0034495B">
      <w:pPr>
        <w:jc w:val="both"/>
        <w:rPr>
          <w:sz w:val="24"/>
        </w:rPr>
        <w:sectPr w:rsidR="0034495B">
          <w:pgSz w:w="11910" w:h="16840"/>
          <w:pgMar w:top="1340" w:right="1680" w:bottom="280" w:left="1680" w:header="717" w:footer="0" w:gutter="0"/>
          <w:cols w:space="720"/>
        </w:sectPr>
      </w:pPr>
    </w:p>
    <w:p w14:paraId="301E8D19" w14:textId="77777777" w:rsidR="0034495B" w:rsidRDefault="00696754">
      <w:pPr>
        <w:pStyle w:val="ListParagraph"/>
        <w:numPr>
          <w:ilvl w:val="0"/>
          <w:numId w:val="9"/>
        </w:numPr>
        <w:tabs>
          <w:tab w:val="left" w:pos="1026"/>
        </w:tabs>
        <w:spacing w:before="80"/>
        <w:ind w:left="305" w:right="583" w:firstLine="283"/>
        <w:jc w:val="both"/>
        <w:rPr>
          <w:sz w:val="24"/>
        </w:rPr>
      </w:pPr>
      <w:r>
        <w:rPr>
          <w:sz w:val="24"/>
        </w:rPr>
        <w:lastRenderedPageBreak/>
        <w:t>Produkty opałowe będące w 100 % produktami z biomasy, w tym produkty z drewna i kłody drewna, dostarczane w jednostkach o objętości dwóch metrów sześciennych lub mniejszej, muszą mieć zawartość wilgoci wynoszącą:</w:t>
      </w:r>
    </w:p>
    <w:p w14:paraId="1F17C257" w14:textId="77777777" w:rsidR="0034495B" w:rsidRDefault="00696754">
      <w:pPr>
        <w:pStyle w:val="ListParagraph"/>
        <w:numPr>
          <w:ilvl w:val="1"/>
          <w:numId w:val="9"/>
        </w:numPr>
        <w:tabs>
          <w:tab w:val="left" w:pos="1724"/>
        </w:tabs>
        <w:ind w:left="1723"/>
        <w:jc w:val="both"/>
        <w:rPr>
          <w:sz w:val="24"/>
        </w:rPr>
      </w:pPr>
      <w:r>
        <w:rPr>
          <w:sz w:val="24"/>
        </w:rPr>
        <w:t>mniej niż 25 %, oraz</w:t>
      </w:r>
    </w:p>
    <w:p w14:paraId="6D87374E" w14:textId="77777777" w:rsidR="0034495B" w:rsidRDefault="00696754">
      <w:pPr>
        <w:pStyle w:val="ListParagraph"/>
        <w:numPr>
          <w:ilvl w:val="1"/>
          <w:numId w:val="9"/>
        </w:numPr>
        <w:tabs>
          <w:tab w:val="left" w:pos="1724"/>
        </w:tabs>
        <w:ind w:left="1723"/>
        <w:jc w:val="both"/>
        <w:rPr>
          <w:sz w:val="24"/>
        </w:rPr>
      </w:pPr>
      <w:r>
        <w:rPr>
          <w:sz w:val="24"/>
        </w:rPr>
        <w:t>z mocą od 1 września 2025 r.: mniej niż 20 %.</w:t>
      </w:r>
    </w:p>
    <w:p w14:paraId="776191E9" w14:textId="77777777" w:rsidR="0034495B" w:rsidRDefault="00696754">
      <w:pPr>
        <w:pStyle w:val="ListParagraph"/>
        <w:numPr>
          <w:ilvl w:val="0"/>
          <w:numId w:val="9"/>
        </w:numPr>
        <w:tabs>
          <w:tab w:val="left" w:pos="1026"/>
        </w:tabs>
        <w:ind w:left="305" w:right="590" w:firstLine="283"/>
        <w:jc w:val="both"/>
        <w:rPr>
          <w:sz w:val="24"/>
        </w:rPr>
      </w:pPr>
      <w:r>
        <w:rPr>
          <w:sz w:val="24"/>
        </w:rPr>
        <w:t>Do kłód drewna dostarczanych w jednostkach o objętości większej niż dwa metry sześcienne powinna być dołączona informacja zawierająca oświadczenie określone w załączniku 1.</w:t>
      </w:r>
    </w:p>
    <w:p w14:paraId="75278B1B" w14:textId="77777777" w:rsidR="0034495B" w:rsidRDefault="0034495B">
      <w:pPr>
        <w:pStyle w:val="BodyText"/>
        <w:spacing w:before="0"/>
        <w:rPr>
          <w:sz w:val="26"/>
        </w:rPr>
      </w:pPr>
    </w:p>
    <w:p w14:paraId="09108791" w14:textId="77777777" w:rsidR="0034495B" w:rsidRDefault="00696754">
      <w:pPr>
        <w:pStyle w:val="Heading1"/>
      </w:pPr>
      <w:r>
        <w:t>Rejestr paliw</w:t>
      </w:r>
    </w:p>
    <w:p w14:paraId="5A2D89C9" w14:textId="77777777" w:rsidR="0034495B" w:rsidRDefault="0034495B">
      <w:pPr>
        <w:pStyle w:val="BodyText"/>
        <w:spacing w:before="10"/>
        <w:rPr>
          <w:b/>
          <w:sz w:val="20"/>
        </w:rPr>
      </w:pPr>
    </w:p>
    <w:p w14:paraId="200BC222" w14:textId="77777777" w:rsidR="0034495B" w:rsidRDefault="00696754">
      <w:pPr>
        <w:pStyle w:val="ListParagraph"/>
        <w:numPr>
          <w:ilvl w:val="1"/>
          <w:numId w:val="11"/>
        </w:numPr>
        <w:tabs>
          <w:tab w:val="left" w:pos="872"/>
        </w:tabs>
        <w:spacing w:before="0"/>
        <w:ind w:left="305" w:right="593" w:firstLine="283"/>
        <w:jc w:val="both"/>
        <w:rPr>
          <w:sz w:val="24"/>
        </w:rPr>
      </w:pPr>
      <w:r>
        <w:rPr>
          <w:sz w:val="24"/>
        </w:rPr>
        <w:t>(1) Producent jest zobowiązany do dokonywania corocznej rejestracji w rejestrze paliw zgodnie z niniejszymi przepisami.</w:t>
      </w:r>
    </w:p>
    <w:p w14:paraId="7E234B38" w14:textId="77777777" w:rsidR="0034495B" w:rsidRDefault="00696754">
      <w:pPr>
        <w:pStyle w:val="ListParagraph"/>
        <w:numPr>
          <w:ilvl w:val="0"/>
          <w:numId w:val="8"/>
        </w:numPr>
        <w:tabs>
          <w:tab w:val="left" w:pos="1026"/>
        </w:tabs>
        <w:spacing w:before="121"/>
        <w:ind w:right="588" w:firstLine="283"/>
        <w:jc w:val="both"/>
        <w:rPr>
          <w:sz w:val="24"/>
        </w:rPr>
      </w:pPr>
      <w:r>
        <w:rPr>
          <w:sz w:val="24"/>
        </w:rPr>
        <w:t>Producent lub osoba podająca się za taką osobę nie może prowadzić działalności związanej z paliwami (w rozumieniu art. 22A ust. 1 lit. a) ustawy z 1987 roku) w odniesieniu do paliw stałych, jeżeli nie jest zarejestrowana w rejestrze paliw w odniesieniu do tej działalności.</w:t>
      </w:r>
    </w:p>
    <w:p w14:paraId="2B099E61" w14:textId="77777777" w:rsidR="0034495B" w:rsidRDefault="00696754">
      <w:pPr>
        <w:pStyle w:val="ListParagraph"/>
        <w:numPr>
          <w:ilvl w:val="0"/>
          <w:numId w:val="8"/>
        </w:numPr>
        <w:tabs>
          <w:tab w:val="left" w:pos="1026"/>
        </w:tabs>
        <w:ind w:right="593" w:firstLine="283"/>
        <w:jc w:val="both"/>
        <w:rPr>
          <w:sz w:val="24"/>
        </w:rPr>
      </w:pPr>
      <w:r>
        <w:rPr>
          <w:sz w:val="24"/>
        </w:rPr>
        <w:t>Oprócz informacji wymaganych na podstawie ust. 22A (2) ustawy z 1987 r., do wniosku producenta o wpis do rejestru paliw należy dołączyć następujące informacje:</w:t>
      </w:r>
    </w:p>
    <w:p w14:paraId="2B0DAC9B" w14:textId="77777777" w:rsidR="0034495B" w:rsidRDefault="00696754">
      <w:pPr>
        <w:pStyle w:val="ListParagraph"/>
        <w:numPr>
          <w:ilvl w:val="1"/>
          <w:numId w:val="8"/>
        </w:numPr>
        <w:tabs>
          <w:tab w:val="left" w:pos="1724"/>
        </w:tabs>
        <w:spacing w:line="278" w:lineRule="auto"/>
        <w:ind w:right="1225"/>
        <w:jc w:val="both"/>
        <w:rPr>
          <w:sz w:val="24"/>
        </w:rPr>
      </w:pPr>
      <w:r>
        <w:rPr>
          <w:sz w:val="24"/>
        </w:rPr>
        <w:t>wykaz wszystkich produktów będących paliwami stałymi wytworzonych według rodzaju paliwa, w związku z działalnością paliwową prowadzoną przez wnioskodawcę;</w:t>
      </w:r>
    </w:p>
    <w:p w14:paraId="46A38715" w14:textId="77777777" w:rsidR="0034495B" w:rsidRDefault="00696754">
      <w:pPr>
        <w:pStyle w:val="ListParagraph"/>
        <w:numPr>
          <w:ilvl w:val="1"/>
          <w:numId w:val="8"/>
        </w:numPr>
        <w:tabs>
          <w:tab w:val="left" w:pos="1723"/>
          <w:tab w:val="left" w:pos="1724"/>
        </w:tabs>
        <w:spacing w:before="195" w:line="276" w:lineRule="auto"/>
        <w:ind w:right="596"/>
        <w:rPr>
          <w:sz w:val="24"/>
        </w:rPr>
      </w:pPr>
      <w:r>
        <w:rPr>
          <w:sz w:val="24"/>
        </w:rPr>
        <w:t>certyfikat zgodności lub jego kopię będącą w jego posiadaniu w odniesieniu do działalności paliwowej, której dotyczy wniosek;</w:t>
      </w:r>
    </w:p>
    <w:p w14:paraId="0A820321" w14:textId="77777777" w:rsidR="0034495B" w:rsidRDefault="00696754">
      <w:pPr>
        <w:pStyle w:val="ListParagraph"/>
        <w:numPr>
          <w:ilvl w:val="1"/>
          <w:numId w:val="8"/>
        </w:numPr>
        <w:tabs>
          <w:tab w:val="left" w:pos="1723"/>
          <w:tab w:val="left" w:pos="1724"/>
        </w:tabs>
        <w:spacing w:before="201" w:line="276" w:lineRule="auto"/>
        <w:ind w:right="1119"/>
        <w:rPr>
          <w:sz w:val="24"/>
        </w:rPr>
      </w:pPr>
      <w:r>
        <w:rPr>
          <w:sz w:val="24"/>
        </w:rPr>
        <w:t>dowód posiadania aktualnego zaświadczenia o niezaleganiu z podatkami wydanego wnioskodawcy;</w:t>
      </w:r>
    </w:p>
    <w:p w14:paraId="38BEBBF1" w14:textId="77777777" w:rsidR="0034495B" w:rsidRDefault="00696754">
      <w:pPr>
        <w:pStyle w:val="ListParagraph"/>
        <w:numPr>
          <w:ilvl w:val="1"/>
          <w:numId w:val="8"/>
        </w:numPr>
        <w:tabs>
          <w:tab w:val="left" w:pos="1723"/>
          <w:tab w:val="left" w:pos="1724"/>
        </w:tabs>
        <w:spacing w:before="200" w:line="276" w:lineRule="auto"/>
        <w:ind w:right="834"/>
        <w:rPr>
          <w:sz w:val="24"/>
        </w:rPr>
      </w:pPr>
      <w:r>
        <w:rPr>
          <w:sz w:val="24"/>
        </w:rPr>
        <w:t>całkowita wielkość sprzedaży paliw stałych osiągnięta przez wnioskodawcę w poprzednim roku;</w:t>
      </w:r>
    </w:p>
    <w:p w14:paraId="083CD3D0" w14:textId="77777777" w:rsidR="0034495B" w:rsidRDefault="00696754">
      <w:pPr>
        <w:pStyle w:val="ListParagraph"/>
        <w:numPr>
          <w:ilvl w:val="1"/>
          <w:numId w:val="8"/>
        </w:numPr>
        <w:tabs>
          <w:tab w:val="left" w:pos="1723"/>
          <w:tab w:val="left" w:pos="1724"/>
        </w:tabs>
        <w:spacing w:before="201" w:line="276" w:lineRule="auto"/>
        <w:ind w:right="1059"/>
        <w:rPr>
          <w:sz w:val="24"/>
        </w:rPr>
      </w:pPr>
      <w:r>
        <w:rPr>
          <w:sz w:val="24"/>
        </w:rPr>
        <w:t>wszelkie nazwy handlowe lub numery w Urzędzie Rejestracji Spółek związane z wnioskiem;</w:t>
      </w:r>
    </w:p>
    <w:p w14:paraId="20967C13" w14:textId="77777777" w:rsidR="0034495B" w:rsidRDefault="00696754">
      <w:pPr>
        <w:pStyle w:val="ListParagraph"/>
        <w:numPr>
          <w:ilvl w:val="1"/>
          <w:numId w:val="8"/>
        </w:numPr>
        <w:tabs>
          <w:tab w:val="left" w:pos="1723"/>
          <w:tab w:val="left" w:pos="1724"/>
        </w:tabs>
        <w:spacing w:before="198" w:line="278" w:lineRule="auto"/>
        <w:ind w:right="1296"/>
        <w:rPr>
          <w:sz w:val="24"/>
        </w:rPr>
      </w:pPr>
      <w:r>
        <w:rPr>
          <w:sz w:val="24"/>
        </w:rPr>
        <w:t>imię i nazwisko oraz dane kontaktowe osoby odpowiedzialnej za dostarczanie informacji istotnych dla wniosku;</w:t>
      </w:r>
    </w:p>
    <w:p w14:paraId="4822B081" w14:textId="77777777" w:rsidR="0034495B" w:rsidRDefault="00696754">
      <w:pPr>
        <w:pStyle w:val="ListParagraph"/>
        <w:numPr>
          <w:ilvl w:val="1"/>
          <w:numId w:val="8"/>
        </w:numPr>
        <w:tabs>
          <w:tab w:val="left" w:pos="1723"/>
          <w:tab w:val="left" w:pos="1724"/>
        </w:tabs>
        <w:spacing w:before="195" w:line="276" w:lineRule="auto"/>
        <w:ind w:right="882"/>
        <w:rPr>
          <w:sz w:val="24"/>
        </w:rPr>
      </w:pPr>
      <w:r>
        <w:rPr>
          <w:sz w:val="24"/>
        </w:rPr>
        <w:t>informacje o wszelkich wyrokach skazujących za przestępstwo określone w ustawie z 1987 r., popełnione przez wnioskodawcę lub osobę przez niego zatrudnioną w okresie 5 lat przed złożeniem wniosku.</w:t>
      </w:r>
    </w:p>
    <w:p w14:paraId="75DA2944" w14:textId="77777777" w:rsidR="0034495B" w:rsidRDefault="00696754">
      <w:pPr>
        <w:pStyle w:val="ListParagraph"/>
        <w:numPr>
          <w:ilvl w:val="0"/>
          <w:numId w:val="8"/>
        </w:numPr>
        <w:tabs>
          <w:tab w:val="left" w:pos="1026"/>
        </w:tabs>
        <w:spacing w:before="200"/>
        <w:ind w:right="592" w:firstLine="283"/>
        <w:jc w:val="both"/>
        <w:rPr>
          <w:sz w:val="24"/>
        </w:rPr>
      </w:pPr>
      <w:r>
        <w:rPr>
          <w:sz w:val="24"/>
        </w:rPr>
        <w:t>Do wniosku o wpis do rejestru paliw należy dołączyć opłatę w wysokości 100 EUR oraz wszelkie koszty administracyjne związane z wpisem do rejestru, ustalone przez Agencję.</w:t>
      </w:r>
    </w:p>
    <w:p w14:paraId="4D6DFED4" w14:textId="77777777" w:rsidR="0034495B" w:rsidRDefault="00696754">
      <w:pPr>
        <w:pStyle w:val="ListParagraph"/>
        <w:numPr>
          <w:ilvl w:val="0"/>
          <w:numId w:val="8"/>
        </w:numPr>
        <w:tabs>
          <w:tab w:val="left" w:pos="1026"/>
        </w:tabs>
        <w:ind w:right="587" w:firstLine="283"/>
        <w:jc w:val="both"/>
        <w:rPr>
          <w:sz w:val="24"/>
        </w:rPr>
      </w:pPr>
      <w:r>
        <w:rPr>
          <w:sz w:val="24"/>
        </w:rPr>
        <w:t xml:space="preserve">Wnioskodawca ubiegający się o wpis lub producent wpisany do rejestru paliw informuje Agencję o wszelkich istotnych zmianach w informacjach </w:t>
      </w:r>
      <w:r>
        <w:rPr>
          <w:sz w:val="24"/>
        </w:rPr>
        <w:lastRenderedPageBreak/>
        <w:t>przekazanych na podstawie ust. 3 w terminie 14 dni od zaistnienia takiej zmiany.</w:t>
      </w:r>
    </w:p>
    <w:p w14:paraId="1AD38194" w14:textId="77777777" w:rsidR="0034495B" w:rsidRDefault="00696754">
      <w:pPr>
        <w:pStyle w:val="ListParagraph"/>
        <w:numPr>
          <w:ilvl w:val="0"/>
          <w:numId w:val="8"/>
        </w:numPr>
        <w:tabs>
          <w:tab w:val="left" w:pos="1309"/>
        </w:tabs>
        <w:spacing w:before="80"/>
        <w:ind w:left="588" w:right="300" w:firstLine="283"/>
        <w:jc w:val="both"/>
        <w:rPr>
          <w:sz w:val="24"/>
        </w:rPr>
      </w:pPr>
      <w:r>
        <w:rPr>
          <w:sz w:val="24"/>
        </w:rPr>
        <w:t>Wpis producenta do rejestru paliw może być dokonany w okresie od 1 września danego roku do 31 sierpnia roku następnego. Wpis ten jest ważny od dnia wpisu producenta do rejestru paliw dokonanego w tym okresie do upływu tego okresu w dniu 31 sierpnia następującego po dniu wpisu.</w:t>
      </w:r>
    </w:p>
    <w:p w14:paraId="3F1ED492" w14:textId="77777777" w:rsidR="0034495B" w:rsidRDefault="00696754">
      <w:pPr>
        <w:pStyle w:val="ListParagraph"/>
        <w:numPr>
          <w:ilvl w:val="0"/>
          <w:numId w:val="8"/>
        </w:numPr>
        <w:tabs>
          <w:tab w:val="left" w:pos="1309"/>
        </w:tabs>
        <w:ind w:left="1308" w:hanging="438"/>
        <w:jc w:val="both"/>
        <w:rPr>
          <w:sz w:val="24"/>
        </w:rPr>
      </w:pPr>
      <w:r>
        <w:rPr>
          <w:sz w:val="24"/>
        </w:rPr>
        <w:t>W 2022 r. okres od dnia 1 września, o którym mowa w ust.</w:t>
      </w:r>
    </w:p>
    <w:p w14:paraId="1CCDBBA9" w14:textId="77777777" w:rsidR="0034495B" w:rsidRDefault="00696754">
      <w:pPr>
        <w:pStyle w:val="ListParagraph"/>
        <w:numPr>
          <w:ilvl w:val="0"/>
          <w:numId w:val="7"/>
        </w:numPr>
        <w:tabs>
          <w:tab w:val="left" w:pos="941"/>
        </w:tabs>
        <w:spacing w:before="0"/>
        <w:ind w:right="304" w:firstLine="0"/>
        <w:jc w:val="both"/>
        <w:rPr>
          <w:sz w:val="24"/>
        </w:rPr>
      </w:pPr>
      <w:r>
        <w:rPr>
          <w:sz w:val="24"/>
        </w:rPr>
        <w:t>należy rozumieć jako okres od dnia 31 października tego roku do dnia 31 sierpnia roku następnego.</w:t>
      </w:r>
    </w:p>
    <w:p w14:paraId="1BA4F4F9" w14:textId="77777777" w:rsidR="0034495B" w:rsidRDefault="00696754">
      <w:pPr>
        <w:pStyle w:val="ListParagraph"/>
        <w:numPr>
          <w:ilvl w:val="1"/>
          <w:numId w:val="7"/>
        </w:numPr>
        <w:tabs>
          <w:tab w:val="left" w:pos="1309"/>
        </w:tabs>
        <w:ind w:right="305" w:firstLine="283"/>
        <w:jc w:val="both"/>
        <w:rPr>
          <w:sz w:val="24"/>
        </w:rPr>
      </w:pPr>
      <w:r>
        <w:rPr>
          <w:sz w:val="24"/>
        </w:rPr>
        <w:t>Agencja może określić producentom wpisanym do rejestru paliw termin, do którego należy złożyć wniosek o utrzymanie wpisu w rejestrze paliw, aby uniknąć przerwy w rejestracji. Jeśli wniosek został prawidłowo złożony w tym terminie, ale nie został rozpatrzony przez Agencję do dnia rozpoczęcia rejestracji, rejestracja producenta trwa do czasu rozpatrzenia wniosku przez Agencję.</w:t>
      </w:r>
    </w:p>
    <w:p w14:paraId="2256BF3D" w14:textId="77777777" w:rsidR="0034495B" w:rsidRDefault="00696754">
      <w:pPr>
        <w:pStyle w:val="ListParagraph"/>
        <w:numPr>
          <w:ilvl w:val="1"/>
          <w:numId w:val="7"/>
        </w:numPr>
        <w:tabs>
          <w:tab w:val="left" w:pos="1309"/>
        </w:tabs>
        <w:spacing w:before="121"/>
        <w:ind w:right="301" w:firstLine="283"/>
        <w:jc w:val="both"/>
        <w:rPr>
          <w:sz w:val="24"/>
        </w:rPr>
      </w:pPr>
      <w:r>
        <w:rPr>
          <w:sz w:val="24"/>
        </w:rPr>
        <w:t>Producent wpisany do rejestru paliw umieszcza numer rejestracyjny nadany mu na podstawie ust. 22E ustawy z 1987 r. na każdej fakturze, nocie kredytowej, dokumencie wysyłkowym i dostawczym, materiałach marketingowych lub stronie internetowej dotyczących działalności paliwowej prowadzonej przez tego producenta.</w:t>
      </w:r>
    </w:p>
    <w:p w14:paraId="74F34546" w14:textId="77777777" w:rsidR="0034495B" w:rsidRDefault="00696754">
      <w:pPr>
        <w:pStyle w:val="ListParagraph"/>
        <w:numPr>
          <w:ilvl w:val="1"/>
          <w:numId w:val="7"/>
        </w:numPr>
        <w:tabs>
          <w:tab w:val="left" w:pos="1309"/>
        </w:tabs>
        <w:ind w:right="301" w:firstLine="283"/>
        <w:jc w:val="both"/>
        <w:rPr>
          <w:sz w:val="24"/>
        </w:rPr>
      </w:pPr>
      <w:r>
        <w:rPr>
          <w:sz w:val="24"/>
        </w:rPr>
        <w:t>Producent, który nie jest wpisany do rejestru paliw, nie może umieszczać żadnych dokumentów lub numerów rejestracyjnych wydanych lub rzekomo wydanych na podstawie ust. 22E ustawy z 1987 r. na fakturach, notach kredytowych, dokumentach wysyłkowych i dostawczych, materiałach marketingowych, stronie internetowej lub w pomieszczeniach związanych z działalnością paliwową prowadzoną przez tego producenta.</w:t>
      </w:r>
    </w:p>
    <w:p w14:paraId="33B57E86" w14:textId="77777777" w:rsidR="0034495B" w:rsidRDefault="00696754">
      <w:pPr>
        <w:pStyle w:val="ListParagraph"/>
        <w:numPr>
          <w:ilvl w:val="1"/>
          <w:numId w:val="7"/>
        </w:numPr>
        <w:tabs>
          <w:tab w:val="left" w:pos="1309"/>
        </w:tabs>
        <w:ind w:right="300" w:firstLine="283"/>
        <w:jc w:val="both"/>
        <w:rPr>
          <w:sz w:val="24"/>
        </w:rPr>
      </w:pPr>
      <w:r>
        <w:rPr>
          <w:sz w:val="24"/>
        </w:rPr>
        <w:t>Producent musi w każdym miejscu, w którym prowadzi działalność paliwową i w każdej reklamie pisemnej reklamującej działalność paliwową producenta, umieścić w widocznym miejscu numer rejestracyjny nadany mu zgodnie z ust. 22E ustawy z 1987 r. wraz z napisem „Producent paliw zarejestrowany w rejestrze paliw” lub podobnymi słowami, a w każdej reklamie emitowanej informować, że producent jest w ten sposób zarejestrowany.</w:t>
      </w:r>
    </w:p>
    <w:p w14:paraId="54C3AA54" w14:textId="77777777" w:rsidR="0034495B" w:rsidRDefault="00696754">
      <w:pPr>
        <w:pStyle w:val="ListParagraph"/>
        <w:numPr>
          <w:ilvl w:val="1"/>
          <w:numId w:val="7"/>
        </w:numPr>
        <w:tabs>
          <w:tab w:val="left" w:pos="1309"/>
        </w:tabs>
        <w:spacing w:before="121"/>
        <w:ind w:right="306" w:firstLine="283"/>
        <w:jc w:val="both"/>
        <w:rPr>
          <w:sz w:val="24"/>
        </w:rPr>
      </w:pPr>
      <w:r>
        <w:rPr>
          <w:sz w:val="24"/>
        </w:rPr>
        <w:t>Producent wpisany do rejestru paliw, który zaprzestaje prowadzenia działalności paliwowej, jest zobowiązany poinformować o tym Agencję w ciągu 30 dni od zaprzestania takiej działalności.</w:t>
      </w:r>
    </w:p>
    <w:p w14:paraId="716A3593" w14:textId="77777777" w:rsidR="0034495B" w:rsidRDefault="0034495B">
      <w:pPr>
        <w:pStyle w:val="BodyText"/>
        <w:spacing w:before="0"/>
        <w:rPr>
          <w:sz w:val="26"/>
        </w:rPr>
      </w:pPr>
    </w:p>
    <w:p w14:paraId="1296392C" w14:textId="77777777" w:rsidR="0034495B" w:rsidRDefault="0034495B">
      <w:pPr>
        <w:pStyle w:val="BodyText"/>
        <w:spacing w:before="3"/>
        <w:rPr>
          <w:sz w:val="29"/>
        </w:rPr>
      </w:pPr>
    </w:p>
    <w:p w14:paraId="281C0EB3" w14:textId="77777777" w:rsidR="0034495B" w:rsidRDefault="00696754">
      <w:pPr>
        <w:pStyle w:val="Heading1"/>
        <w:spacing w:before="0"/>
        <w:ind w:left="588"/>
      </w:pPr>
      <w:r>
        <w:t>Odpowiedzialność producenta</w:t>
      </w:r>
    </w:p>
    <w:p w14:paraId="576CA7F7" w14:textId="77777777" w:rsidR="0034495B" w:rsidRDefault="0034495B">
      <w:pPr>
        <w:pStyle w:val="BodyText"/>
        <w:spacing w:before="2"/>
        <w:rPr>
          <w:b/>
          <w:sz w:val="21"/>
        </w:rPr>
      </w:pPr>
    </w:p>
    <w:p w14:paraId="7E749EBF" w14:textId="77777777" w:rsidR="0034495B" w:rsidRDefault="00696754">
      <w:pPr>
        <w:pStyle w:val="ListParagraph"/>
        <w:numPr>
          <w:ilvl w:val="1"/>
          <w:numId w:val="11"/>
        </w:numPr>
        <w:tabs>
          <w:tab w:val="left" w:pos="1155"/>
        </w:tabs>
        <w:spacing w:before="0"/>
        <w:ind w:right="300" w:firstLine="283"/>
        <w:jc w:val="left"/>
        <w:rPr>
          <w:sz w:val="24"/>
        </w:rPr>
      </w:pPr>
      <w:r>
        <w:rPr>
          <w:sz w:val="24"/>
        </w:rPr>
        <w:t>(1) Producent jest odpowiedzialny za ocenę zgodności produkowanego przez niego paliwa stałego zgodnie z art. 10.</w:t>
      </w:r>
    </w:p>
    <w:p w14:paraId="5AFAF46E" w14:textId="77777777" w:rsidR="0034495B" w:rsidRDefault="00696754">
      <w:pPr>
        <w:pStyle w:val="ListParagraph"/>
        <w:numPr>
          <w:ilvl w:val="0"/>
          <w:numId w:val="6"/>
        </w:numPr>
        <w:tabs>
          <w:tab w:val="left" w:pos="1309"/>
        </w:tabs>
        <w:ind w:right="304" w:firstLine="283"/>
        <w:rPr>
          <w:sz w:val="24"/>
        </w:rPr>
      </w:pPr>
      <w:r>
        <w:rPr>
          <w:sz w:val="24"/>
        </w:rPr>
        <w:t>Producent nie może prowadzić sprzedaży detalicznej ani dystrybuować produktu będącego paliwem stałym, chyba że produkt:</w:t>
      </w:r>
    </w:p>
    <w:p w14:paraId="6880014A" w14:textId="77777777" w:rsidR="0034495B" w:rsidRDefault="00696754">
      <w:pPr>
        <w:pStyle w:val="ListParagraph"/>
        <w:numPr>
          <w:ilvl w:val="1"/>
          <w:numId w:val="6"/>
        </w:numPr>
        <w:tabs>
          <w:tab w:val="left" w:pos="2006"/>
          <w:tab w:val="left" w:pos="2007"/>
        </w:tabs>
        <w:jc w:val="left"/>
        <w:rPr>
          <w:sz w:val="24"/>
        </w:rPr>
      </w:pPr>
      <w:r>
        <w:rPr>
          <w:sz w:val="24"/>
        </w:rPr>
        <w:t>jest zatwierdzonym paliwem stałym,</w:t>
      </w:r>
    </w:p>
    <w:p w14:paraId="11BE7237" w14:textId="77777777" w:rsidR="0034495B" w:rsidRDefault="00696754">
      <w:pPr>
        <w:pStyle w:val="ListParagraph"/>
        <w:numPr>
          <w:ilvl w:val="1"/>
          <w:numId w:val="6"/>
        </w:numPr>
        <w:tabs>
          <w:tab w:val="left" w:pos="2006"/>
          <w:tab w:val="left" w:pos="2007"/>
        </w:tabs>
        <w:jc w:val="left"/>
        <w:rPr>
          <w:sz w:val="24"/>
        </w:rPr>
      </w:pPr>
      <w:r>
        <w:rPr>
          <w:sz w:val="24"/>
        </w:rPr>
        <w:t>jest certyfikowany zgodnie z art. 10,</w:t>
      </w:r>
    </w:p>
    <w:p w14:paraId="523064E5" w14:textId="77777777" w:rsidR="0034495B" w:rsidRDefault="00696754">
      <w:pPr>
        <w:pStyle w:val="ListParagraph"/>
        <w:numPr>
          <w:ilvl w:val="1"/>
          <w:numId w:val="6"/>
        </w:numPr>
        <w:tabs>
          <w:tab w:val="left" w:pos="2006"/>
          <w:tab w:val="left" w:pos="2007"/>
        </w:tabs>
        <w:ind w:right="306"/>
        <w:jc w:val="left"/>
        <w:rPr>
          <w:sz w:val="24"/>
        </w:rPr>
      </w:pPr>
      <w:r>
        <w:rPr>
          <w:sz w:val="24"/>
        </w:rPr>
        <w:t>jest oznakowany zgodnie z wymaganiami art. 11,</w:t>
      </w:r>
    </w:p>
    <w:p w14:paraId="259B98E2" w14:textId="77777777" w:rsidR="0034495B" w:rsidRDefault="0034495B">
      <w:pPr>
        <w:rPr>
          <w:sz w:val="24"/>
        </w:rPr>
        <w:sectPr w:rsidR="0034495B">
          <w:pgSz w:w="11910" w:h="16840"/>
          <w:pgMar w:top="1340" w:right="1680" w:bottom="280" w:left="1680" w:header="717" w:footer="0" w:gutter="0"/>
          <w:cols w:space="720"/>
        </w:sectPr>
      </w:pPr>
    </w:p>
    <w:p w14:paraId="5D44DAF6" w14:textId="77777777" w:rsidR="0034495B" w:rsidRDefault="00696754">
      <w:pPr>
        <w:pStyle w:val="ListParagraph"/>
        <w:numPr>
          <w:ilvl w:val="1"/>
          <w:numId w:val="6"/>
        </w:numPr>
        <w:tabs>
          <w:tab w:val="left" w:pos="1724"/>
        </w:tabs>
        <w:spacing w:before="80"/>
        <w:ind w:left="1723" w:right="587"/>
        <w:jc w:val="both"/>
        <w:rPr>
          <w:sz w:val="24"/>
        </w:rPr>
      </w:pPr>
      <w:r>
        <w:rPr>
          <w:sz w:val="24"/>
        </w:rPr>
        <w:lastRenderedPageBreak/>
        <w:t>w przypadku drewna dostarczanego w jednostkach o objętości dwóch metrów sześciennych lub większej, towarzyszy mu informacja zawierająca oświadczenie określone w załączniku 1, oraz</w:t>
      </w:r>
    </w:p>
    <w:p w14:paraId="3590E66F" w14:textId="77777777" w:rsidR="0034495B" w:rsidRDefault="00696754">
      <w:pPr>
        <w:pStyle w:val="ListParagraph"/>
        <w:numPr>
          <w:ilvl w:val="1"/>
          <w:numId w:val="6"/>
        </w:numPr>
        <w:tabs>
          <w:tab w:val="left" w:pos="1724"/>
        </w:tabs>
        <w:ind w:left="1723" w:right="590"/>
        <w:jc w:val="both"/>
        <w:rPr>
          <w:sz w:val="24"/>
        </w:rPr>
      </w:pPr>
      <w:r>
        <w:rPr>
          <w:sz w:val="24"/>
        </w:rPr>
        <w:t>dotyczy działalności związanej z paliwem, w odniesieniu do której producent jest wpisany do rejestru paliw.</w:t>
      </w:r>
    </w:p>
    <w:p w14:paraId="12E50CB7" w14:textId="77777777" w:rsidR="0034495B" w:rsidRDefault="0034495B">
      <w:pPr>
        <w:pStyle w:val="BodyText"/>
        <w:spacing w:before="0"/>
        <w:rPr>
          <w:sz w:val="26"/>
        </w:rPr>
      </w:pPr>
    </w:p>
    <w:p w14:paraId="78257A88" w14:textId="77777777" w:rsidR="0034495B" w:rsidRDefault="00696754">
      <w:pPr>
        <w:pStyle w:val="Heading1"/>
      </w:pPr>
      <w:r>
        <w:t>Odpowiedzialność sprzedawcy detalicznego</w:t>
      </w:r>
    </w:p>
    <w:p w14:paraId="50DA9A22" w14:textId="77777777" w:rsidR="0034495B" w:rsidRDefault="0034495B">
      <w:pPr>
        <w:pStyle w:val="BodyText"/>
        <w:spacing w:before="1"/>
        <w:rPr>
          <w:b/>
          <w:sz w:val="21"/>
        </w:rPr>
      </w:pPr>
    </w:p>
    <w:p w14:paraId="6D57E563" w14:textId="77777777" w:rsidR="0034495B" w:rsidRDefault="00696754">
      <w:pPr>
        <w:pStyle w:val="ListParagraph"/>
        <w:numPr>
          <w:ilvl w:val="1"/>
          <w:numId w:val="11"/>
        </w:numPr>
        <w:tabs>
          <w:tab w:val="left" w:pos="872"/>
        </w:tabs>
        <w:spacing w:before="0"/>
        <w:ind w:left="305" w:right="584" w:firstLine="283"/>
        <w:jc w:val="both"/>
        <w:rPr>
          <w:sz w:val="24"/>
        </w:rPr>
      </w:pPr>
      <w:r>
        <w:rPr>
          <w:sz w:val="24"/>
        </w:rPr>
        <w:t>(1) Sprzedawca detaliczny nie może prowadzić w kraju sprzedaży detalicznej produktów będących paliwem stałym wprowadzonych na rynek przez producenta, który nie jest wpisany do rejestru paliw w odniesieniu do tej działalności paliwowej.</w:t>
      </w:r>
    </w:p>
    <w:p w14:paraId="6007FB67" w14:textId="77777777" w:rsidR="0034495B" w:rsidRDefault="00696754">
      <w:pPr>
        <w:pStyle w:val="ListParagraph"/>
        <w:numPr>
          <w:ilvl w:val="0"/>
          <w:numId w:val="5"/>
        </w:numPr>
        <w:tabs>
          <w:tab w:val="left" w:pos="1026"/>
        </w:tabs>
        <w:spacing w:before="118"/>
        <w:ind w:right="585" w:firstLine="283"/>
        <w:jc w:val="both"/>
        <w:rPr>
          <w:sz w:val="24"/>
        </w:rPr>
      </w:pPr>
      <w:r>
        <w:rPr>
          <w:sz w:val="24"/>
        </w:rPr>
        <w:t>Sprzedawca detaliczny nie udostępnia do sprzedaży na terenie placówki handlowej lub w inny sposób paliwa stałego, które nie jest zatwierdzonym paliwem stałym.</w:t>
      </w:r>
    </w:p>
    <w:p w14:paraId="2D4482C0" w14:textId="77777777" w:rsidR="0034495B" w:rsidRDefault="00696754">
      <w:pPr>
        <w:pStyle w:val="ListParagraph"/>
        <w:numPr>
          <w:ilvl w:val="0"/>
          <w:numId w:val="5"/>
        </w:numPr>
        <w:tabs>
          <w:tab w:val="left" w:pos="1026"/>
        </w:tabs>
        <w:ind w:right="587" w:firstLine="283"/>
        <w:jc w:val="both"/>
        <w:rPr>
          <w:sz w:val="24"/>
        </w:rPr>
      </w:pPr>
      <w:r>
        <w:rPr>
          <w:sz w:val="24"/>
        </w:rPr>
        <w:t>Sprzedawca detaliczny przechowuje dokumentację przez okres jednego roku w celu wykazania, że całe sprzedawane lub dystrybuowane paliwo stałe jest zatwierdzonym paliwem stałym. Dokumentacja ta powinna zawierać wszystkie faktury, noty kredytowe, dokumenty wysyłkowe lub dokumenty dostawy wyszczególniające produkty zakupione od producenta, w tym numer rejestracyjny nadany producentowi na mocy ust. 22E ustawy z 1987 r. w odniesieniu do paliwa stałego dostarczonego sprzedawcy detalicznemu.</w:t>
      </w:r>
    </w:p>
    <w:p w14:paraId="3858BB8B" w14:textId="77777777" w:rsidR="0034495B" w:rsidRDefault="00696754">
      <w:pPr>
        <w:pStyle w:val="ListParagraph"/>
        <w:numPr>
          <w:ilvl w:val="0"/>
          <w:numId w:val="5"/>
        </w:numPr>
        <w:tabs>
          <w:tab w:val="left" w:pos="1026"/>
        </w:tabs>
        <w:ind w:right="592" w:firstLine="283"/>
        <w:jc w:val="both"/>
        <w:rPr>
          <w:sz w:val="24"/>
        </w:rPr>
      </w:pPr>
      <w:r>
        <w:rPr>
          <w:sz w:val="24"/>
        </w:rPr>
        <w:t>Dokumentacja, o której mowa w ust. 3, jest udostępniana przez sprzedawcę detalicznego do wglądu, na żądanie, osobie upoważnionej.</w:t>
      </w:r>
    </w:p>
    <w:p w14:paraId="3F1F9B63" w14:textId="77777777" w:rsidR="0034495B" w:rsidRDefault="0034495B">
      <w:pPr>
        <w:pStyle w:val="BodyText"/>
        <w:spacing w:before="0"/>
        <w:rPr>
          <w:sz w:val="26"/>
        </w:rPr>
      </w:pPr>
    </w:p>
    <w:p w14:paraId="3A990147" w14:textId="77777777" w:rsidR="0034495B" w:rsidRDefault="00696754">
      <w:pPr>
        <w:pStyle w:val="Heading1"/>
        <w:spacing w:before="218"/>
      </w:pPr>
      <w:r>
        <w:t>Transport paliwa stałego</w:t>
      </w:r>
    </w:p>
    <w:p w14:paraId="1AD2D23E" w14:textId="77777777" w:rsidR="0034495B" w:rsidRDefault="0034495B">
      <w:pPr>
        <w:pStyle w:val="BodyText"/>
        <w:spacing w:before="1"/>
        <w:rPr>
          <w:b/>
          <w:sz w:val="21"/>
        </w:rPr>
      </w:pPr>
    </w:p>
    <w:p w14:paraId="24D85903" w14:textId="77777777" w:rsidR="0034495B" w:rsidRDefault="00696754">
      <w:pPr>
        <w:pStyle w:val="ListParagraph"/>
        <w:numPr>
          <w:ilvl w:val="1"/>
          <w:numId w:val="11"/>
        </w:numPr>
        <w:tabs>
          <w:tab w:val="left" w:pos="1026"/>
        </w:tabs>
        <w:spacing w:before="0"/>
        <w:ind w:left="305" w:right="587" w:firstLine="283"/>
        <w:jc w:val="both"/>
        <w:rPr>
          <w:sz w:val="24"/>
        </w:rPr>
      </w:pPr>
      <w:r>
        <w:rPr>
          <w:sz w:val="24"/>
        </w:rPr>
        <w:t>Właściciel lub operator jakiegokolwiek pojazdu używanego do transportu paliwa stałego przeznaczonego do spalania w celach ogrzewania (pomieszczeń lub wody) w lokalach mieszkalnych lub lokalach z koncesją przechowuje w pojeździe i okazuje upoważnionej osobie</w:t>
      </w:r>
      <w:r>
        <w:rPr>
          <w:sz w:val="16"/>
        </w:rPr>
        <w:t>,</w:t>
      </w:r>
      <w:r>
        <w:rPr>
          <w:sz w:val="24"/>
        </w:rPr>
        <w:t xml:space="preserve"> na żądanie funkcjonariusza:</w:t>
      </w:r>
    </w:p>
    <w:p w14:paraId="1ADB7C51" w14:textId="77777777" w:rsidR="0034495B" w:rsidRDefault="00696754">
      <w:pPr>
        <w:pStyle w:val="ListParagraph"/>
        <w:numPr>
          <w:ilvl w:val="2"/>
          <w:numId w:val="11"/>
        </w:numPr>
        <w:tabs>
          <w:tab w:val="left" w:pos="1724"/>
        </w:tabs>
        <w:ind w:right="586"/>
        <w:jc w:val="both"/>
        <w:rPr>
          <w:sz w:val="24"/>
        </w:rPr>
      </w:pPr>
      <w:r>
        <w:rPr>
          <w:sz w:val="24"/>
        </w:rPr>
        <w:t>rejestr ilości każdego typu paliwa stałego w pojeździe oraz nazwę i adres osoby lub podmiotu, który dostarczył paliwo,</w:t>
      </w:r>
    </w:p>
    <w:p w14:paraId="713CFA0D" w14:textId="77777777" w:rsidR="0034495B" w:rsidRDefault="00696754">
      <w:pPr>
        <w:pStyle w:val="ListParagraph"/>
        <w:numPr>
          <w:ilvl w:val="2"/>
          <w:numId w:val="11"/>
        </w:numPr>
        <w:tabs>
          <w:tab w:val="left" w:pos="1724"/>
        </w:tabs>
        <w:ind w:right="591"/>
        <w:jc w:val="both"/>
        <w:rPr>
          <w:sz w:val="24"/>
        </w:rPr>
      </w:pPr>
      <w:r>
        <w:rPr>
          <w:sz w:val="24"/>
        </w:rPr>
        <w:t>rejestr dotyczący miejsca pochodzenia i miejsca przeznaczenia paliwa stałego oraz nazwę i adres osoby lub osób nabywających paliwo, oraz</w:t>
      </w:r>
    </w:p>
    <w:p w14:paraId="4B51C1A1" w14:textId="77777777" w:rsidR="0034495B" w:rsidRDefault="00696754">
      <w:pPr>
        <w:pStyle w:val="ListParagraph"/>
        <w:numPr>
          <w:ilvl w:val="2"/>
          <w:numId w:val="11"/>
        </w:numPr>
        <w:tabs>
          <w:tab w:val="left" w:pos="1724"/>
        </w:tabs>
        <w:ind w:right="587"/>
        <w:jc w:val="both"/>
        <w:rPr>
          <w:sz w:val="24"/>
        </w:rPr>
      </w:pPr>
      <w:r>
        <w:rPr>
          <w:sz w:val="24"/>
        </w:rPr>
        <w:t>dokumentację potwierdzającą, że paliwo stałe jest paliwem zatwierdzonym, taką jak faktura, nota kredytowa, dokumenty wysyłkowe lub dokumenty dostawy wyszczególniające produkty zakupione od producenta wpisanego do rejestru paliw, który zawiera numer rejestracyjny wydany producentowi zgodnie z art. 22E ustawy z 1987 r. w odniesieniu do przewożonego paliwa stałego.</w:t>
      </w:r>
    </w:p>
    <w:p w14:paraId="1A7E0F8A" w14:textId="77777777" w:rsidR="0034495B" w:rsidRDefault="0034495B">
      <w:pPr>
        <w:jc w:val="both"/>
        <w:rPr>
          <w:sz w:val="24"/>
        </w:rPr>
        <w:sectPr w:rsidR="0034495B">
          <w:pgSz w:w="11910" w:h="16840"/>
          <w:pgMar w:top="1340" w:right="1680" w:bottom="280" w:left="1680" w:header="717" w:footer="0" w:gutter="0"/>
          <w:cols w:space="720"/>
        </w:sectPr>
      </w:pPr>
    </w:p>
    <w:p w14:paraId="7126D0A2" w14:textId="77777777" w:rsidR="0034495B" w:rsidRDefault="00696754">
      <w:pPr>
        <w:pStyle w:val="Heading1"/>
        <w:spacing w:before="80"/>
        <w:ind w:left="588"/>
      </w:pPr>
      <w:r>
        <w:lastRenderedPageBreak/>
        <w:t>Certyfikacja zgodności i metody badań</w:t>
      </w:r>
    </w:p>
    <w:p w14:paraId="791EDD32" w14:textId="77777777" w:rsidR="0034495B" w:rsidRDefault="0034495B">
      <w:pPr>
        <w:pStyle w:val="BodyText"/>
        <w:spacing w:before="1"/>
        <w:rPr>
          <w:b/>
          <w:sz w:val="21"/>
        </w:rPr>
      </w:pPr>
    </w:p>
    <w:p w14:paraId="3018BB3B" w14:textId="77777777" w:rsidR="0034495B" w:rsidRDefault="00696754">
      <w:pPr>
        <w:pStyle w:val="ListParagraph"/>
        <w:numPr>
          <w:ilvl w:val="1"/>
          <w:numId w:val="11"/>
        </w:numPr>
        <w:tabs>
          <w:tab w:val="left" w:pos="1297"/>
        </w:tabs>
        <w:spacing w:before="0"/>
        <w:ind w:right="305" w:firstLine="283"/>
        <w:jc w:val="both"/>
        <w:rPr>
          <w:sz w:val="24"/>
        </w:rPr>
      </w:pPr>
      <w:r>
        <w:rPr>
          <w:sz w:val="24"/>
        </w:rPr>
        <w:t>(1) W celu ustalenia zgodności z wymogami, specyfikacjami i procedurami określonymi w niniejszych przepisach producent paliwa stałego jest poddawany corocznemu audytowi przez jednostkę certyfikującą.</w:t>
      </w:r>
    </w:p>
    <w:p w14:paraId="3FD387D9" w14:textId="77777777" w:rsidR="0034495B" w:rsidRDefault="00696754">
      <w:pPr>
        <w:pStyle w:val="ListParagraph"/>
        <w:numPr>
          <w:ilvl w:val="1"/>
          <w:numId w:val="5"/>
        </w:numPr>
        <w:tabs>
          <w:tab w:val="left" w:pos="1309"/>
        </w:tabs>
        <w:spacing w:line="276" w:lineRule="auto"/>
        <w:ind w:right="1312" w:firstLine="283"/>
        <w:jc w:val="both"/>
        <w:rPr>
          <w:sz w:val="24"/>
        </w:rPr>
      </w:pPr>
      <w:r>
        <w:rPr>
          <w:sz w:val="24"/>
        </w:rPr>
        <w:t>Producent paliwa stałego zwraca się do jednostki certyfikującej o ocenę zgodności.</w:t>
      </w:r>
    </w:p>
    <w:p w14:paraId="310F5943" w14:textId="77777777" w:rsidR="0034495B" w:rsidRDefault="00696754">
      <w:pPr>
        <w:pStyle w:val="ListParagraph"/>
        <w:numPr>
          <w:ilvl w:val="1"/>
          <w:numId w:val="5"/>
        </w:numPr>
        <w:tabs>
          <w:tab w:val="left" w:pos="1309"/>
        </w:tabs>
        <w:spacing w:before="198" w:line="276" w:lineRule="auto"/>
        <w:ind w:right="313" w:firstLine="283"/>
        <w:jc w:val="left"/>
        <w:rPr>
          <w:sz w:val="24"/>
        </w:rPr>
      </w:pPr>
      <w:r>
        <w:rPr>
          <w:sz w:val="24"/>
        </w:rPr>
        <w:t>Dokumentacja prowadzona i przechowywana przez producenta w odniesieniu do produktów będących paliwem stałym powinna być wystarczająca, aby umożliwić jednostce certyfikującej ustalenie zgodności z wymaganiami niniejszych przepisów, w tym z wymogami określonymi w art. 5, i powinna zawierać co najmniej dokumenty określone w załączniku 2</w:t>
      </w:r>
    </w:p>
    <w:p w14:paraId="34E0397B" w14:textId="77777777" w:rsidR="0034495B" w:rsidRDefault="00696754">
      <w:pPr>
        <w:pStyle w:val="ListParagraph"/>
        <w:numPr>
          <w:ilvl w:val="1"/>
          <w:numId w:val="5"/>
        </w:numPr>
        <w:tabs>
          <w:tab w:val="left" w:pos="1309"/>
        </w:tabs>
        <w:spacing w:before="202"/>
        <w:ind w:left="1308" w:hanging="438"/>
        <w:jc w:val="left"/>
        <w:rPr>
          <w:sz w:val="24"/>
        </w:rPr>
      </w:pPr>
      <w:r>
        <w:rPr>
          <w:sz w:val="24"/>
        </w:rPr>
        <w:t>Wymagania art. 5 powinny być spełnione poprzez zgodność z:</w:t>
      </w:r>
    </w:p>
    <w:p w14:paraId="1909EADE" w14:textId="77777777" w:rsidR="0034495B" w:rsidRDefault="0034495B">
      <w:pPr>
        <w:pStyle w:val="BodyText"/>
        <w:spacing w:before="10"/>
        <w:rPr>
          <w:sz w:val="20"/>
        </w:rPr>
      </w:pPr>
    </w:p>
    <w:p w14:paraId="2C840F8E" w14:textId="77777777" w:rsidR="0034495B" w:rsidRDefault="00696754">
      <w:pPr>
        <w:pStyle w:val="ListParagraph"/>
        <w:numPr>
          <w:ilvl w:val="2"/>
          <w:numId w:val="5"/>
        </w:numPr>
        <w:tabs>
          <w:tab w:val="left" w:pos="2007"/>
        </w:tabs>
        <w:spacing w:before="0"/>
        <w:ind w:right="307"/>
        <w:jc w:val="both"/>
        <w:rPr>
          <w:sz w:val="24"/>
        </w:rPr>
      </w:pPr>
      <w:r>
        <w:rPr>
          <w:sz w:val="24"/>
        </w:rPr>
        <w:t>odpowiednią normą lub kodeksem postępowania krajowego organu normalizacyjnego lub równoważnego organu w innym państwie członkowskim, kraju EFTA, Zjednoczonym Królestwie lub Turcji;</w:t>
      </w:r>
    </w:p>
    <w:p w14:paraId="61558A4F" w14:textId="77777777" w:rsidR="0034495B" w:rsidRDefault="00696754">
      <w:pPr>
        <w:pStyle w:val="ListParagraph"/>
        <w:numPr>
          <w:ilvl w:val="2"/>
          <w:numId w:val="5"/>
        </w:numPr>
        <w:tabs>
          <w:tab w:val="left" w:pos="2007"/>
        </w:tabs>
        <w:ind w:right="301"/>
        <w:jc w:val="both"/>
        <w:rPr>
          <w:sz w:val="24"/>
        </w:rPr>
      </w:pPr>
      <w:r>
        <w:rPr>
          <w:sz w:val="24"/>
        </w:rPr>
        <w:t>każdą odpowiednią normą międzynarodową uznaną do stosowania w innym państwie członkowskim, kraju EFTA, Zjednoczonym Królestwie lub Turcji;</w:t>
      </w:r>
    </w:p>
    <w:p w14:paraId="29A7DCBB" w14:textId="77777777" w:rsidR="0034495B" w:rsidRDefault="00696754">
      <w:pPr>
        <w:pStyle w:val="ListParagraph"/>
        <w:numPr>
          <w:ilvl w:val="2"/>
          <w:numId w:val="5"/>
        </w:numPr>
        <w:tabs>
          <w:tab w:val="left" w:pos="2007"/>
        </w:tabs>
        <w:ind w:right="304"/>
        <w:jc w:val="both"/>
        <w:rPr>
          <w:sz w:val="24"/>
        </w:rPr>
      </w:pPr>
      <w:r>
        <w:rPr>
          <w:sz w:val="24"/>
        </w:rPr>
        <w:t>wszelkimi odpowiednimi przepisami technicznymi, których stosowanie jest obowiązkowe lub de facto obowiązkowe w odniesieniu do wprowadzania do obrotu lub stosowania w innym państwie członkowskim, państwie EFTA, Zjednoczonym Królestwie lub Turcji,</w:t>
      </w:r>
    </w:p>
    <w:p w14:paraId="27CBB838" w14:textId="77777777" w:rsidR="0034495B" w:rsidRDefault="00696754">
      <w:pPr>
        <w:pStyle w:val="ListParagraph"/>
        <w:numPr>
          <w:ilvl w:val="2"/>
          <w:numId w:val="5"/>
        </w:numPr>
        <w:tabs>
          <w:tab w:val="left" w:pos="2007"/>
        </w:tabs>
        <w:jc w:val="both"/>
        <w:rPr>
          <w:sz w:val="24"/>
        </w:rPr>
      </w:pPr>
      <w:r>
        <w:rPr>
          <w:sz w:val="24"/>
        </w:rPr>
        <w:t>każdym odpowiednim systemem zapewniania jakości;</w:t>
      </w:r>
    </w:p>
    <w:p w14:paraId="4D66FE5B" w14:textId="77777777" w:rsidR="0034495B" w:rsidRDefault="00696754">
      <w:pPr>
        <w:pStyle w:val="BodyText"/>
        <w:spacing w:line="276" w:lineRule="auto"/>
        <w:ind w:left="588" w:right="464"/>
      </w:pPr>
      <w:r>
        <w:t>w zakresie, w jakim norma, kodeks postępowania, przepisy techniczne, system lub proces umożliwiają certyfikację wymogów art. 5 w równoważny sposób.</w:t>
      </w:r>
    </w:p>
    <w:p w14:paraId="0338C3E0" w14:textId="77777777" w:rsidR="0034495B" w:rsidRDefault="00696754">
      <w:pPr>
        <w:pStyle w:val="ListParagraph"/>
        <w:numPr>
          <w:ilvl w:val="1"/>
          <w:numId w:val="5"/>
        </w:numPr>
        <w:tabs>
          <w:tab w:val="left" w:pos="1309"/>
        </w:tabs>
        <w:spacing w:before="200" w:line="276" w:lineRule="auto"/>
        <w:ind w:right="764" w:firstLine="283"/>
        <w:jc w:val="left"/>
        <w:rPr>
          <w:sz w:val="24"/>
        </w:rPr>
      </w:pPr>
      <w:r>
        <w:rPr>
          <w:sz w:val="24"/>
        </w:rPr>
        <w:t>Zawartość siarki określa się aktualnie stosowaną metodą określoną w normie ASTM D4239 lub normie międzynarodowej ISO 19579 lub jej technicznym odpowiedniku;</w:t>
      </w:r>
    </w:p>
    <w:p w14:paraId="33BF218C" w14:textId="77777777" w:rsidR="0034495B" w:rsidRDefault="00696754">
      <w:pPr>
        <w:pStyle w:val="ListParagraph"/>
        <w:numPr>
          <w:ilvl w:val="1"/>
          <w:numId w:val="5"/>
        </w:numPr>
        <w:tabs>
          <w:tab w:val="left" w:pos="1309"/>
        </w:tabs>
        <w:spacing w:before="200" w:line="276" w:lineRule="auto"/>
        <w:ind w:right="308" w:firstLine="283"/>
        <w:jc w:val="left"/>
        <w:rPr>
          <w:sz w:val="24"/>
        </w:rPr>
      </w:pPr>
      <w:r>
        <w:rPr>
          <w:sz w:val="24"/>
        </w:rPr>
        <w:t>Wartość opałowa brutto określana jest zgodnie z obowiązującą metodą określoną w międzynarodowej normie o numerze referencyjnym ISO 1928 lub równoważną metodą techniczną, a poziom wilgotności do celów wyrażenia wartości opałowej brutto w stanie wolnym od wilgotnego popiołu odpowiada zdolności zatrzymywania wilgoci określonej zgodnie z obowiązującą metodą określoną w międzynarodowej normie o numerze referencyjnym ISO 1018 lub równoważną metodą techniczną.</w:t>
      </w:r>
    </w:p>
    <w:p w14:paraId="4676C20A" w14:textId="77777777" w:rsidR="0034495B" w:rsidRDefault="00696754">
      <w:pPr>
        <w:pStyle w:val="ListParagraph"/>
        <w:numPr>
          <w:ilvl w:val="1"/>
          <w:numId w:val="5"/>
        </w:numPr>
        <w:tabs>
          <w:tab w:val="left" w:pos="1309"/>
        </w:tabs>
        <w:spacing w:before="201" w:line="276" w:lineRule="auto"/>
        <w:ind w:right="582" w:firstLine="283"/>
        <w:jc w:val="left"/>
        <w:rPr>
          <w:sz w:val="24"/>
        </w:rPr>
      </w:pPr>
      <w:r>
        <w:rPr>
          <w:sz w:val="24"/>
        </w:rPr>
        <w:t>Zawartość substancji lotnych określa się za pomocą metody aktualnie określonej w międzynarodowej normie ISO 20360:2020 lub ISO 562 lub jej technicznym odpowiedniku, w zależności od przypadku.</w:t>
      </w:r>
    </w:p>
    <w:p w14:paraId="54FEE3BB" w14:textId="77777777" w:rsidR="0034495B" w:rsidRDefault="0034495B">
      <w:pPr>
        <w:spacing w:line="276" w:lineRule="auto"/>
        <w:rPr>
          <w:sz w:val="24"/>
        </w:rPr>
        <w:sectPr w:rsidR="0034495B">
          <w:pgSz w:w="11910" w:h="16840"/>
          <w:pgMar w:top="1340" w:right="1680" w:bottom="280" w:left="1680" w:header="717" w:footer="0" w:gutter="0"/>
          <w:cols w:space="720"/>
        </w:sectPr>
      </w:pPr>
    </w:p>
    <w:p w14:paraId="51735E90" w14:textId="77777777" w:rsidR="0034495B" w:rsidRDefault="00696754">
      <w:pPr>
        <w:pStyle w:val="ListParagraph"/>
        <w:numPr>
          <w:ilvl w:val="1"/>
          <w:numId w:val="5"/>
        </w:numPr>
        <w:tabs>
          <w:tab w:val="left" w:pos="1026"/>
        </w:tabs>
        <w:spacing w:before="80" w:line="276" w:lineRule="auto"/>
        <w:ind w:left="305" w:right="1062" w:firstLine="283"/>
        <w:jc w:val="left"/>
        <w:rPr>
          <w:sz w:val="24"/>
        </w:rPr>
      </w:pPr>
      <w:r>
        <w:rPr>
          <w:sz w:val="24"/>
        </w:rPr>
        <w:lastRenderedPageBreak/>
        <w:t>Natężenie emisji dymu przy spalaniu należy określić za pomocą metody, która w danym momencie jest określona w normie brytyjskiej 3841.</w:t>
      </w:r>
    </w:p>
    <w:p w14:paraId="51FFAE27" w14:textId="77777777" w:rsidR="0034495B" w:rsidRDefault="00696754">
      <w:pPr>
        <w:pStyle w:val="ListParagraph"/>
        <w:numPr>
          <w:ilvl w:val="1"/>
          <w:numId w:val="5"/>
        </w:numPr>
        <w:tabs>
          <w:tab w:val="left" w:pos="1026"/>
        </w:tabs>
        <w:spacing w:before="200" w:line="276" w:lineRule="auto"/>
        <w:ind w:left="305" w:right="858" w:firstLine="283"/>
        <w:jc w:val="left"/>
        <w:rPr>
          <w:sz w:val="24"/>
        </w:rPr>
      </w:pPr>
      <w:r>
        <w:rPr>
          <w:sz w:val="24"/>
        </w:rPr>
        <w:t>Zawartość popiołu określa się za pomocą metody, która w danym momencie jest określona w międzynarodowej normie ISO 1171.</w:t>
      </w:r>
    </w:p>
    <w:p w14:paraId="58C8E0F6" w14:textId="77777777" w:rsidR="0034495B" w:rsidRDefault="00696754">
      <w:pPr>
        <w:pStyle w:val="ListParagraph"/>
        <w:numPr>
          <w:ilvl w:val="1"/>
          <w:numId w:val="5"/>
        </w:numPr>
        <w:tabs>
          <w:tab w:val="left" w:pos="1026"/>
        </w:tabs>
        <w:spacing w:before="201" w:line="276" w:lineRule="auto"/>
        <w:ind w:left="305" w:right="642" w:firstLine="283"/>
        <w:jc w:val="left"/>
        <w:rPr>
          <w:sz w:val="24"/>
        </w:rPr>
      </w:pPr>
      <w:r>
        <w:rPr>
          <w:sz w:val="24"/>
        </w:rPr>
        <w:t>Metodą, którą należy stosować do przeliczania wyników analiz paliw na różne stany, jest metoda aktualnie określona w międzynarodowej normie ISO 1170.</w:t>
      </w:r>
    </w:p>
    <w:p w14:paraId="2D6B328E" w14:textId="77777777" w:rsidR="0034495B" w:rsidRDefault="00696754">
      <w:pPr>
        <w:pStyle w:val="ListParagraph"/>
        <w:numPr>
          <w:ilvl w:val="1"/>
          <w:numId w:val="5"/>
        </w:numPr>
        <w:tabs>
          <w:tab w:val="left" w:pos="1026"/>
        </w:tabs>
        <w:spacing w:before="200" w:line="276" w:lineRule="auto"/>
        <w:ind w:left="305" w:right="622" w:firstLine="283"/>
        <w:jc w:val="left"/>
        <w:rPr>
          <w:sz w:val="24"/>
        </w:rPr>
      </w:pPr>
      <w:r>
        <w:rPr>
          <w:sz w:val="24"/>
        </w:rPr>
        <w:t>Do obliczania zawartości wilgoci w paliwach drzewnych lub produktach w 100 % wytworzonych z biomasy stosuje się metodę, która w danym momencie jest określona w międzynarodowej normie ISO 17225 lub jej technicznym odpowiedniku.</w:t>
      </w:r>
    </w:p>
    <w:p w14:paraId="047F4EBA" w14:textId="77777777" w:rsidR="0034495B" w:rsidRDefault="00696754">
      <w:pPr>
        <w:pStyle w:val="ListParagraph"/>
        <w:numPr>
          <w:ilvl w:val="1"/>
          <w:numId w:val="5"/>
        </w:numPr>
        <w:tabs>
          <w:tab w:val="left" w:pos="1026"/>
        </w:tabs>
        <w:spacing w:before="200"/>
        <w:ind w:left="305" w:right="932" w:firstLine="283"/>
        <w:jc w:val="both"/>
        <w:rPr>
          <w:sz w:val="24"/>
        </w:rPr>
      </w:pPr>
      <w:r>
        <w:rPr>
          <w:sz w:val="24"/>
        </w:rPr>
        <w:t>Laboratorium lub placówka badawcza może przeprowadzić dowolny test, badanie lub analizę dowolnej próbki paliwa pobranej w celu zapewnienia zgodności z niniejszymi przepisami, zgodnie z metodami określonymi w niniejszych przepisach.</w:t>
      </w:r>
    </w:p>
    <w:p w14:paraId="22FBE095" w14:textId="77777777" w:rsidR="0034495B" w:rsidRDefault="0034495B">
      <w:pPr>
        <w:pStyle w:val="BodyText"/>
        <w:spacing w:before="0"/>
        <w:rPr>
          <w:sz w:val="26"/>
        </w:rPr>
      </w:pPr>
    </w:p>
    <w:p w14:paraId="33E371A5" w14:textId="77777777" w:rsidR="0034495B" w:rsidRDefault="00696754">
      <w:pPr>
        <w:pStyle w:val="Heading1"/>
      </w:pPr>
      <w:r>
        <w:t>Oznakowanie</w:t>
      </w:r>
    </w:p>
    <w:p w14:paraId="378BA5A7" w14:textId="77777777" w:rsidR="0034495B" w:rsidRDefault="0034495B">
      <w:pPr>
        <w:pStyle w:val="BodyText"/>
        <w:spacing w:before="10"/>
        <w:rPr>
          <w:b/>
          <w:sz w:val="20"/>
        </w:rPr>
      </w:pPr>
    </w:p>
    <w:p w14:paraId="035EC1ED" w14:textId="77777777" w:rsidR="0034495B" w:rsidRDefault="00696754">
      <w:pPr>
        <w:pStyle w:val="ListParagraph"/>
        <w:numPr>
          <w:ilvl w:val="1"/>
          <w:numId w:val="11"/>
        </w:numPr>
        <w:tabs>
          <w:tab w:val="left" w:pos="1014"/>
        </w:tabs>
        <w:spacing w:before="0"/>
        <w:ind w:left="1013" w:hanging="426"/>
        <w:jc w:val="both"/>
        <w:rPr>
          <w:sz w:val="24"/>
        </w:rPr>
      </w:pPr>
      <w:r>
        <w:rPr>
          <w:sz w:val="24"/>
        </w:rPr>
        <w:t>(1) Oznakowanie opakowania zatwierdzonego paliwa stałego powinno zawierać—</w:t>
      </w:r>
    </w:p>
    <w:p w14:paraId="654254CC" w14:textId="77777777" w:rsidR="0034495B" w:rsidRDefault="00696754">
      <w:pPr>
        <w:pStyle w:val="ListParagraph"/>
        <w:numPr>
          <w:ilvl w:val="2"/>
          <w:numId w:val="11"/>
        </w:numPr>
        <w:tabs>
          <w:tab w:val="left" w:pos="1724"/>
        </w:tabs>
        <w:ind w:right="589"/>
        <w:jc w:val="both"/>
        <w:rPr>
          <w:sz w:val="24"/>
        </w:rPr>
      </w:pPr>
      <w:r>
        <w:rPr>
          <w:sz w:val="24"/>
        </w:rPr>
        <w:t>informację „zawartość zgodna z przepisami ustawy o zanieczyszczeniu powietrza” oraz</w:t>
      </w:r>
    </w:p>
    <w:p w14:paraId="3CBBFCB0" w14:textId="77777777" w:rsidR="0034495B" w:rsidRDefault="00696754">
      <w:pPr>
        <w:pStyle w:val="ListParagraph"/>
        <w:numPr>
          <w:ilvl w:val="2"/>
          <w:numId w:val="11"/>
        </w:numPr>
        <w:tabs>
          <w:tab w:val="left" w:pos="1724"/>
        </w:tabs>
        <w:spacing w:before="121"/>
        <w:ind w:right="590"/>
        <w:jc w:val="both"/>
        <w:rPr>
          <w:sz w:val="24"/>
        </w:rPr>
      </w:pPr>
      <w:r>
        <w:rPr>
          <w:sz w:val="24"/>
        </w:rPr>
        <w:t>numer rejestracyjny wydany producentowi paliwa na podstawie ust. 22E ustawy z 1987 r.</w:t>
      </w:r>
    </w:p>
    <w:p w14:paraId="12D9B8F8" w14:textId="77777777" w:rsidR="0034495B" w:rsidRDefault="00696754">
      <w:pPr>
        <w:pStyle w:val="ListParagraph"/>
        <w:numPr>
          <w:ilvl w:val="0"/>
          <w:numId w:val="4"/>
        </w:numPr>
        <w:tabs>
          <w:tab w:val="left" w:pos="1026"/>
        </w:tabs>
        <w:ind w:hanging="438"/>
        <w:jc w:val="both"/>
        <w:rPr>
          <w:sz w:val="24"/>
        </w:rPr>
      </w:pPr>
      <w:r>
        <w:rPr>
          <w:sz w:val="24"/>
        </w:rPr>
        <w:t>Etykieta do celów ust. 1 powinna być:</w:t>
      </w:r>
    </w:p>
    <w:p w14:paraId="4599AB14" w14:textId="77777777" w:rsidR="0034495B" w:rsidRDefault="00696754">
      <w:pPr>
        <w:pStyle w:val="ListParagraph"/>
        <w:numPr>
          <w:ilvl w:val="1"/>
          <w:numId w:val="4"/>
        </w:numPr>
        <w:tabs>
          <w:tab w:val="left" w:pos="1724"/>
        </w:tabs>
        <w:jc w:val="both"/>
        <w:rPr>
          <w:sz w:val="24"/>
        </w:rPr>
      </w:pPr>
      <w:r>
        <w:rPr>
          <w:sz w:val="24"/>
        </w:rPr>
        <w:t>niemożliwa do odczepienia,</w:t>
      </w:r>
    </w:p>
    <w:p w14:paraId="334505D1" w14:textId="77777777" w:rsidR="0034495B" w:rsidRDefault="00696754">
      <w:pPr>
        <w:pStyle w:val="ListParagraph"/>
        <w:numPr>
          <w:ilvl w:val="1"/>
          <w:numId w:val="4"/>
        </w:numPr>
        <w:tabs>
          <w:tab w:val="left" w:pos="1724"/>
        </w:tabs>
        <w:jc w:val="both"/>
        <w:rPr>
          <w:sz w:val="24"/>
        </w:rPr>
      </w:pPr>
      <w:r>
        <w:rPr>
          <w:sz w:val="24"/>
        </w:rPr>
        <w:t>czytelna,</w:t>
      </w:r>
    </w:p>
    <w:p w14:paraId="79FCFDD0" w14:textId="77777777" w:rsidR="0034495B" w:rsidRDefault="00696754">
      <w:pPr>
        <w:pStyle w:val="ListParagraph"/>
        <w:numPr>
          <w:ilvl w:val="1"/>
          <w:numId w:val="4"/>
        </w:numPr>
        <w:tabs>
          <w:tab w:val="left" w:pos="1724"/>
        </w:tabs>
        <w:ind w:right="591"/>
        <w:jc w:val="both"/>
        <w:rPr>
          <w:sz w:val="24"/>
        </w:rPr>
      </w:pPr>
      <w:r>
        <w:rPr>
          <w:sz w:val="24"/>
        </w:rPr>
        <w:t>kolorowa lub czarno-biała, umieszczona na kontrastującym tle, oraz</w:t>
      </w:r>
    </w:p>
    <w:p w14:paraId="79A1FB10" w14:textId="77777777" w:rsidR="0034495B" w:rsidRDefault="00696754">
      <w:pPr>
        <w:pStyle w:val="ListParagraph"/>
        <w:numPr>
          <w:ilvl w:val="1"/>
          <w:numId w:val="4"/>
        </w:numPr>
        <w:tabs>
          <w:tab w:val="left" w:pos="1724"/>
        </w:tabs>
        <w:jc w:val="both"/>
        <w:rPr>
          <w:sz w:val="24"/>
        </w:rPr>
      </w:pPr>
      <w:r>
        <w:rPr>
          <w:sz w:val="24"/>
        </w:rPr>
        <w:t>odporna na manipulacje.</w:t>
      </w:r>
    </w:p>
    <w:p w14:paraId="5629813C" w14:textId="77777777" w:rsidR="0034495B" w:rsidRDefault="00696754">
      <w:pPr>
        <w:pStyle w:val="ListParagraph"/>
        <w:numPr>
          <w:ilvl w:val="0"/>
          <w:numId w:val="4"/>
        </w:numPr>
        <w:tabs>
          <w:tab w:val="left" w:pos="1026"/>
        </w:tabs>
        <w:ind w:left="305" w:right="583" w:firstLine="283"/>
        <w:jc w:val="both"/>
        <w:rPr>
          <w:sz w:val="24"/>
        </w:rPr>
      </w:pPr>
      <w:r>
        <w:rPr>
          <w:sz w:val="24"/>
        </w:rPr>
        <w:t>Oprócz wymagań określonych w ust. 1, etykieta na opakowaniu produktów wytworzonych częściowo z biomasy powinna zawierać informację o procentowym udziale biomasy użytej w mieszance produktu.</w:t>
      </w:r>
    </w:p>
    <w:p w14:paraId="114FAE58" w14:textId="77777777" w:rsidR="0034495B" w:rsidRDefault="00696754">
      <w:pPr>
        <w:pStyle w:val="ListParagraph"/>
        <w:numPr>
          <w:ilvl w:val="0"/>
          <w:numId w:val="4"/>
        </w:numPr>
        <w:tabs>
          <w:tab w:val="left" w:pos="1026"/>
        </w:tabs>
        <w:spacing w:before="121"/>
        <w:ind w:left="305" w:right="587" w:firstLine="283"/>
        <w:jc w:val="both"/>
        <w:rPr>
          <w:sz w:val="24"/>
        </w:rPr>
      </w:pPr>
      <w:r>
        <w:rPr>
          <w:sz w:val="24"/>
        </w:rPr>
        <w:t>W przypadku opakowania paliwa, które nie jest zatwierdzonym paliwem stałym, nie można domniemywać, że spełniono wymogi niniejszych przepisów.</w:t>
      </w:r>
    </w:p>
    <w:p w14:paraId="38E02DC0" w14:textId="77777777" w:rsidR="0034495B" w:rsidRDefault="0034495B">
      <w:pPr>
        <w:pStyle w:val="BodyText"/>
        <w:spacing w:before="0"/>
        <w:rPr>
          <w:sz w:val="26"/>
        </w:rPr>
      </w:pPr>
    </w:p>
    <w:p w14:paraId="0B47F90B" w14:textId="77777777" w:rsidR="0034495B" w:rsidRDefault="00696754">
      <w:pPr>
        <w:pStyle w:val="Heading1"/>
      </w:pPr>
      <w:r>
        <w:t>Osoby upoważnione</w:t>
      </w:r>
    </w:p>
    <w:p w14:paraId="6329C9C0" w14:textId="77777777" w:rsidR="0034495B" w:rsidRDefault="0034495B">
      <w:pPr>
        <w:pStyle w:val="BodyText"/>
        <w:spacing w:before="0"/>
        <w:rPr>
          <w:b/>
          <w:sz w:val="21"/>
        </w:rPr>
      </w:pPr>
    </w:p>
    <w:p w14:paraId="552DB1C7" w14:textId="77777777" w:rsidR="0034495B" w:rsidRDefault="00696754">
      <w:pPr>
        <w:pStyle w:val="ListParagraph"/>
        <w:numPr>
          <w:ilvl w:val="1"/>
          <w:numId w:val="11"/>
        </w:numPr>
        <w:tabs>
          <w:tab w:val="left" w:pos="1014"/>
        </w:tabs>
        <w:spacing w:before="1"/>
        <w:ind w:left="305" w:right="581" w:firstLine="283"/>
        <w:jc w:val="both"/>
        <w:rPr>
          <w:sz w:val="24"/>
        </w:rPr>
      </w:pPr>
      <w:r>
        <w:rPr>
          <w:sz w:val="24"/>
        </w:rPr>
        <w:t>(1) Władze lokalne lub minister może na piśmie wyznaczyć takie osoby lub grupę osób, jakie organ uzna za właściwe, jako osobę upoważnioną w rozumieniu niniejszych przepisów i ustawy z 1987 r.</w:t>
      </w:r>
    </w:p>
    <w:p w14:paraId="5509EFC4" w14:textId="77777777" w:rsidR="0034495B" w:rsidRDefault="0034495B">
      <w:pPr>
        <w:jc w:val="both"/>
        <w:rPr>
          <w:sz w:val="24"/>
        </w:rPr>
        <w:sectPr w:rsidR="0034495B">
          <w:pgSz w:w="11910" w:h="16840"/>
          <w:pgMar w:top="1340" w:right="1680" w:bottom="280" w:left="1680" w:header="717" w:footer="0" w:gutter="0"/>
          <w:cols w:space="720"/>
        </w:sectPr>
      </w:pPr>
    </w:p>
    <w:p w14:paraId="79400F30" w14:textId="77777777" w:rsidR="0034495B" w:rsidRDefault="00696754">
      <w:pPr>
        <w:pStyle w:val="ListParagraph"/>
        <w:numPr>
          <w:ilvl w:val="0"/>
          <w:numId w:val="3"/>
        </w:numPr>
        <w:tabs>
          <w:tab w:val="left" w:pos="1309"/>
        </w:tabs>
        <w:spacing w:before="80"/>
        <w:ind w:right="308" w:firstLine="283"/>
        <w:jc w:val="both"/>
        <w:rPr>
          <w:sz w:val="24"/>
        </w:rPr>
      </w:pPr>
      <w:r>
        <w:rPr>
          <w:sz w:val="24"/>
        </w:rPr>
        <w:lastRenderedPageBreak/>
        <w:t>Osoba upoważniona może wykonywać każdą z funkcji powierzonych osobie upoważnionej na mocy niniejszego artykułu, art. 8 ust. 4 lub ustawy z 1987 r.</w:t>
      </w:r>
    </w:p>
    <w:p w14:paraId="29938E3D" w14:textId="77777777" w:rsidR="0034495B" w:rsidRDefault="00696754">
      <w:pPr>
        <w:pStyle w:val="ListParagraph"/>
        <w:numPr>
          <w:ilvl w:val="1"/>
          <w:numId w:val="3"/>
        </w:numPr>
        <w:tabs>
          <w:tab w:val="left" w:pos="2007"/>
        </w:tabs>
        <w:ind w:right="306"/>
        <w:jc w:val="both"/>
        <w:rPr>
          <w:sz w:val="24"/>
        </w:rPr>
      </w:pPr>
      <w:r>
        <w:rPr>
          <w:sz w:val="24"/>
        </w:rPr>
        <w:t>w obrębie obszaru funkcjonalnego władz lokalnych, które wyznaczyły osobę upoważnioną, lub</w:t>
      </w:r>
    </w:p>
    <w:p w14:paraId="1CC47FEC" w14:textId="77777777" w:rsidR="0034495B" w:rsidRDefault="00696754">
      <w:pPr>
        <w:pStyle w:val="ListParagraph"/>
        <w:numPr>
          <w:ilvl w:val="1"/>
          <w:numId w:val="3"/>
        </w:numPr>
        <w:tabs>
          <w:tab w:val="left" w:pos="2007"/>
        </w:tabs>
        <w:ind w:right="301"/>
        <w:jc w:val="both"/>
        <w:rPr>
          <w:sz w:val="24"/>
        </w:rPr>
      </w:pPr>
      <w:r>
        <w:rPr>
          <w:sz w:val="24"/>
        </w:rPr>
        <w:t>w obszarze funkcjonalnym innej jednostki samorządu terytorialnego, z którą zawarto porozumienie o wykonywaniu lub pełnieniu przez upoważnioną osobę pierwszej wymienionej jednostki w obszarze funkcjonalnym tej drugiej jednostki funkcji upoważnionej osoby.</w:t>
      </w:r>
    </w:p>
    <w:p w14:paraId="396C3855" w14:textId="77777777" w:rsidR="0034495B" w:rsidRDefault="00696754">
      <w:pPr>
        <w:pStyle w:val="ListParagraph"/>
        <w:numPr>
          <w:ilvl w:val="0"/>
          <w:numId w:val="3"/>
        </w:numPr>
        <w:tabs>
          <w:tab w:val="left" w:pos="1309"/>
        </w:tabs>
        <w:ind w:right="304" w:firstLine="283"/>
        <w:jc w:val="both"/>
        <w:rPr>
          <w:sz w:val="24"/>
        </w:rPr>
      </w:pPr>
      <w:r>
        <w:rPr>
          <w:sz w:val="24"/>
        </w:rPr>
        <w:t>Upoważniona osoba mianowana na mocy art. 10 ustawy o zanieczyszczeniu powietrza (marketing, sprzedaż, dystrybucja i spalanie określonych paliw) z 2012 r. (S. I. nr 326 z 2012 r.), która posiada swoje upoważnienie bezpośrednio w momencie wejścia w życie niniejszych przepisów, pozostaje upoważnioną osobą, tak jakby została mianowana na mocy niniejszych przepisów.</w:t>
      </w:r>
    </w:p>
    <w:p w14:paraId="07B9E62E" w14:textId="77777777" w:rsidR="0034495B" w:rsidRDefault="00696754">
      <w:pPr>
        <w:pStyle w:val="ListParagraph"/>
        <w:numPr>
          <w:ilvl w:val="0"/>
          <w:numId w:val="3"/>
        </w:numPr>
        <w:tabs>
          <w:tab w:val="left" w:pos="1309"/>
        </w:tabs>
        <w:spacing w:before="121"/>
        <w:ind w:right="302" w:firstLine="283"/>
        <w:jc w:val="both"/>
        <w:rPr>
          <w:sz w:val="24"/>
        </w:rPr>
      </w:pPr>
      <w:r>
        <w:rPr>
          <w:sz w:val="24"/>
        </w:rPr>
        <w:t>Osoba upoważniona może, w odniesieniu do każdego pojazdu lub lokalu, który jej zdaniem jest wykorzystywany w związku ze sprzedażą detaliczną lub dystrybucją paliwa stałego:</w:t>
      </w:r>
    </w:p>
    <w:p w14:paraId="01C02943" w14:textId="77777777" w:rsidR="0034495B" w:rsidRDefault="00696754">
      <w:pPr>
        <w:pStyle w:val="ListParagraph"/>
        <w:numPr>
          <w:ilvl w:val="1"/>
          <w:numId w:val="3"/>
        </w:numPr>
        <w:tabs>
          <w:tab w:val="left" w:pos="2007"/>
        </w:tabs>
        <w:ind w:right="310"/>
        <w:jc w:val="both"/>
        <w:rPr>
          <w:sz w:val="24"/>
        </w:rPr>
      </w:pPr>
      <w:r>
        <w:rPr>
          <w:sz w:val="24"/>
        </w:rPr>
        <w:t>dokonać sprawdzenia i pobrania próbek paliwa stałego znajdującego się w pojeździe lub w lokalu,</w:t>
      </w:r>
    </w:p>
    <w:p w14:paraId="43FBABCF" w14:textId="77777777" w:rsidR="0034495B" w:rsidRDefault="00696754">
      <w:pPr>
        <w:pStyle w:val="ListParagraph"/>
        <w:numPr>
          <w:ilvl w:val="1"/>
          <w:numId w:val="3"/>
        </w:numPr>
        <w:tabs>
          <w:tab w:val="left" w:pos="2007"/>
        </w:tabs>
        <w:ind w:right="302"/>
        <w:jc w:val="both"/>
        <w:rPr>
          <w:sz w:val="24"/>
        </w:rPr>
      </w:pPr>
      <w:r>
        <w:rPr>
          <w:sz w:val="24"/>
        </w:rPr>
        <w:t>zażądać od producenta i sprawdzić wydany mu certyfikat zgodności lub dokument na podstawie art. 22E ustawy z 1987 roku,</w:t>
      </w:r>
    </w:p>
    <w:p w14:paraId="28FAEE15" w14:textId="77777777" w:rsidR="0034495B" w:rsidRDefault="00696754">
      <w:pPr>
        <w:pStyle w:val="ListParagraph"/>
        <w:numPr>
          <w:ilvl w:val="1"/>
          <w:numId w:val="3"/>
        </w:numPr>
        <w:tabs>
          <w:tab w:val="left" w:pos="2007"/>
        </w:tabs>
        <w:ind w:right="307"/>
        <w:jc w:val="both"/>
        <w:rPr>
          <w:sz w:val="24"/>
        </w:rPr>
      </w:pPr>
      <w:r>
        <w:rPr>
          <w:sz w:val="24"/>
        </w:rPr>
        <w:t>przeglądać takie zapisy lub takie dokumenty, jakie upoważniona osoba, uwzględniając wszystkie okoliczności, uzna za niezbędne do celów niniejszych przepisów, lub</w:t>
      </w:r>
    </w:p>
    <w:p w14:paraId="3D8C69DB" w14:textId="77777777" w:rsidR="0034495B" w:rsidRDefault="00696754">
      <w:pPr>
        <w:pStyle w:val="ListParagraph"/>
        <w:numPr>
          <w:ilvl w:val="1"/>
          <w:numId w:val="3"/>
        </w:numPr>
        <w:tabs>
          <w:tab w:val="left" w:pos="2007"/>
        </w:tabs>
        <w:ind w:right="302"/>
        <w:jc w:val="both"/>
        <w:rPr>
          <w:sz w:val="24"/>
        </w:rPr>
      </w:pPr>
      <w:r>
        <w:rPr>
          <w:sz w:val="24"/>
        </w:rPr>
        <w:t>zażądać od właściciela lub użytkownika lokalu lub od każdej innej osoby przebywającej na terenie lokalu, lub zażądać od właściciela lub operatora pojazdu takich informacji, jakie upoważniona osoba, uwzględniając wszystkie okoliczności, uzna za niezbędne do celów niniejszych przepisów.</w:t>
      </w:r>
    </w:p>
    <w:p w14:paraId="4EC5C24F" w14:textId="77777777" w:rsidR="0034495B" w:rsidRDefault="00696754">
      <w:pPr>
        <w:pStyle w:val="ListParagraph"/>
        <w:numPr>
          <w:ilvl w:val="0"/>
          <w:numId w:val="3"/>
        </w:numPr>
        <w:tabs>
          <w:tab w:val="left" w:pos="1309"/>
        </w:tabs>
        <w:spacing w:before="121"/>
        <w:ind w:right="308" w:firstLine="283"/>
        <w:jc w:val="both"/>
        <w:rPr>
          <w:sz w:val="24"/>
        </w:rPr>
      </w:pPr>
      <w:r>
        <w:rPr>
          <w:sz w:val="24"/>
        </w:rPr>
        <w:t>Jeżeli upoważniona osoba pobiera próbkę paliwa stałego z dowolnego pojazdu lub terenu zgodnie z ust. 4 lit. a), upoważniona osoba powinna–</w:t>
      </w:r>
    </w:p>
    <w:p w14:paraId="13BC430B" w14:textId="77777777" w:rsidR="0034495B" w:rsidRDefault="00696754">
      <w:pPr>
        <w:pStyle w:val="ListParagraph"/>
        <w:numPr>
          <w:ilvl w:val="1"/>
          <w:numId w:val="3"/>
        </w:numPr>
        <w:tabs>
          <w:tab w:val="left" w:pos="2007"/>
        </w:tabs>
        <w:ind w:right="304"/>
        <w:jc w:val="both"/>
        <w:rPr>
          <w:sz w:val="24"/>
        </w:rPr>
      </w:pPr>
      <w:r>
        <w:rPr>
          <w:sz w:val="24"/>
        </w:rPr>
        <w:t>niezwłocznie powiadomić właściwą osobę o pobraniu próbki i wydać jej pokwitowanie za pobraną próbkę; oraz</w:t>
      </w:r>
    </w:p>
    <w:p w14:paraId="3864B784" w14:textId="77777777" w:rsidR="0034495B" w:rsidRDefault="00696754">
      <w:pPr>
        <w:pStyle w:val="ListParagraph"/>
        <w:numPr>
          <w:ilvl w:val="1"/>
          <w:numId w:val="3"/>
        </w:numPr>
        <w:tabs>
          <w:tab w:val="left" w:pos="2007"/>
        </w:tabs>
        <w:ind w:right="302"/>
        <w:jc w:val="both"/>
        <w:rPr>
          <w:sz w:val="24"/>
        </w:rPr>
      </w:pPr>
      <w:r>
        <w:rPr>
          <w:sz w:val="24"/>
        </w:rPr>
        <w:t>w momencie pobierania próbki dołączyć do jej pojemnika lub opakowania, odpowiednio, etykietę określającą datę pobrania próbki oraz numer identyfikacyjny tej próbki.</w:t>
      </w:r>
    </w:p>
    <w:p w14:paraId="0AE1177A" w14:textId="77777777" w:rsidR="0034495B" w:rsidRDefault="00696754">
      <w:pPr>
        <w:pStyle w:val="ListParagraph"/>
        <w:numPr>
          <w:ilvl w:val="0"/>
          <w:numId w:val="3"/>
        </w:numPr>
        <w:tabs>
          <w:tab w:val="left" w:pos="1309"/>
        </w:tabs>
        <w:ind w:right="303" w:firstLine="283"/>
        <w:jc w:val="both"/>
        <w:rPr>
          <w:sz w:val="24"/>
        </w:rPr>
      </w:pPr>
      <w:r>
        <w:rPr>
          <w:sz w:val="24"/>
        </w:rPr>
        <w:t>W niniejszych przepisach „odpowiednia osoba” oznacza właściciela lub użytkownika, lub jakąkolwiek inną osobę, która w danym momencie wydaje się być odpowiedzialna za lokal, w którym pobierana jest próbka, lub właściciela lub użytkownika pojazdu, z którego pobierana jest próbka.</w:t>
      </w:r>
    </w:p>
    <w:p w14:paraId="784E5299" w14:textId="77777777" w:rsidR="0034495B" w:rsidRDefault="0034495B">
      <w:pPr>
        <w:jc w:val="both"/>
        <w:rPr>
          <w:sz w:val="24"/>
        </w:rPr>
        <w:sectPr w:rsidR="0034495B">
          <w:pgSz w:w="11910" w:h="16840"/>
          <w:pgMar w:top="1340" w:right="1680" w:bottom="280" w:left="1680" w:header="717" w:footer="0" w:gutter="0"/>
          <w:cols w:space="720"/>
        </w:sectPr>
      </w:pPr>
    </w:p>
    <w:p w14:paraId="6FC3A905" w14:textId="77777777" w:rsidR="0034495B" w:rsidRDefault="00696754">
      <w:pPr>
        <w:pStyle w:val="Heading1"/>
        <w:spacing w:before="80"/>
        <w:jc w:val="both"/>
      </w:pPr>
      <w:r>
        <w:lastRenderedPageBreak/>
        <w:t>Analiza laboratoryjna</w:t>
      </w:r>
    </w:p>
    <w:p w14:paraId="40382552" w14:textId="77777777" w:rsidR="0034495B" w:rsidRDefault="0034495B">
      <w:pPr>
        <w:pStyle w:val="BodyText"/>
        <w:spacing w:before="1"/>
        <w:rPr>
          <w:b/>
          <w:sz w:val="21"/>
        </w:rPr>
      </w:pPr>
    </w:p>
    <w:p w14:paraId="44FC820C" w14:textId="77777777" w:rsidR="0034495B" w:rsidRDefault="00696754">
      <w:pPr>
        <w:pStyle w:val="ListParagraph"/>
        <w:numPr>
          <w:ilvl w:val="1"/>
          <w:numId w:val="11"/>
        </w:numPr>
        <w:tabs>
          <w:tab w:val="left" w:pos="1014"/>
        </w:tabs>
        <w:spacing w:before="0"/>
        <w:ind w:left="305" w:right="586" w:firstLine="283"/>
        <w:jc w:val="both"/>
        <w:rPr>
          <w:sz w:val="24"/>
        </w:rPr>
      </w:pPr>
      <w:r>
        <w:rPr>
          <w:sz w:val="24"/>
        </w:rPr>
        <w:t>(1) Próbka pobrana zgodnie z art. 12 ust. 4 lit. a) jest przekazywana do laboratorium akredytowanego zgodnie z normą ISO/IEC 17025 lub równoważną dla odpowiedniego zakresu analizy, lub do placówki badawczej zaangażowanej przez Agencję lub właściwy organ lokalny do przeprowadzenia testów, analiz lub badań próbki w celu wykrycia wszelkich przypadków niespełniania norm technicznych wymaganych na mocy art. 5.</w:t>
      </w:r>
    </w:p>
    <w:p w14:paraId="2615D63C" w14:textId="77777777" w:rsidR="0034495B" w:rsidRDefault="00696754">
      <w:pPr>
        <w:pStyle w:val="ListParagraph"/>
        <w:numPr>
          <w:ilvl w:val="0"/>
          <w:numId w:val="2"/>
        </w:numPr>
        <w:tabs>
          <w:tab w:val="left" w:pos="1026"/>
        </w:tabs>
        <w:ind w:right="583" w:firstLine="283"/>
        <w:jc w:val="both"/>
        <w:rPr>
          <w:sz w:val="24"/>
        </w:rPr>
      </w:pPr>
      <w:r>
        <w:rPr>
          <w:sz w:val="24"/>
        </w:rPr>
        <w:t>W postępowaniu w sprawie o wykroczenie zgodnie z art. 11 ustawy z 1987 r. zaświadczenie podpisane przez osobę zatrudnioną w laboratorium lub placówce badawczej, w której badano, analizowano lub analizowano próbkę paliwa stałego pobraną zgodnie z art. 12 ust. 4 lit. a), stwierdzające, w jakim charakterze osoba ta jest zatrudniona oraz że:</w:t>
      </w:r>
    </w:p>
    <w:p w14:paraId="2EC88767" w14:textId="77777777" w:rsidR="0034495B" w:rsidRDefault="00696754">
      <w:pPr>
        <w:pStyle w:val="ListParagraph"/>
        <w:numPr>
          <w:ilvl w:val="1"/>
          <w:numId w:val="2"/>
        </w:numPr>
        <w:tabs>
          <w:tab w:val="left" w:pos="1724"/>
        </w:tabs>
        <w:spacing w:before="118"/>
        <w:ind w:right="589"/>
        <w:jc w:val="both"/>
        <w:rPr>
          <w:sz w:val="24"/>
        </w:rPr>
      </w:pPr>
      <w:r>
        <w:rPr>
          <w:sz w:val="24"/>
        </w:rPr>
        <w:t>osoba, która otrzymała próbkę, została zidentyfikowana na podstawie informacji wymaganych zgodnie z art. 12 ust. 5 lit. b) na etykiecie dołączonej do pojemnika z próbką,</w:t>
      </w:r>
    </w:p>
    <w:p w14:paraId="5DFF3875" w14:textId="77777777" w:rsidR="0034495B" w:rsidRDefault="00696754">
      <w:pPr>
        <w:pStyle w:val="ListParagraph"/>
        <w:numPr>
          <w:ilvl w:val="1"/>
          <w:numId w:val="2"/>
        </w:numPr>
        <w:tabs>
          <w:tab w:val="left" w:pos="1724"/>
        </w:tabs>
        <w:ind w:right="591"/>
        <w:jc w:val="both"/>
        <w:rPr>
          <w:sz w:val="24"/>
        </w:rPr>
      </w:pPr>
      <w:r>
        <w:rPr>
          <w:sz w:val="24"/>
        </w:rPr>
        <w:t>przez okres wskazany w certyfikacie była w posiadaniu próbki, oraz</w:t>
      </w:r>
    </w:p>
    <w:p w14:paraId="2325C9A1" w14:textId="77777777" w:rsidR="0034495B" w:rsidRDefault="00696754">
      <w:pPr>
        <w:pStyle w:val="ListParagraph"/>
        <w:numPr>
          <w:ilvl w:val="1"/>
          <w:numId w:val="2"/>
        </w:numPr>
        <w:tabs>
          <w:tab w:val="left" w:pos="1724"/>
        </w:tabs>
        <w:jc w:val="both"/>
        <w:rPr>
          <w:sz w:val="24"/>
        </w:rPr>
      </w:pPr>
      <w:r>
        <w:rPr>
          <w:sz w:val="24"/>
        </w:rPr>
        <w:t>osoba ta</w:t>
      </w:r>
    </w:p>
    <w:p w14:paraId="7BB4F941" w14:textId="77777777" w:rsidR="0034495B" w:rsidRDefault="00696754">
      <w:pPr>
        <w:pStyle w:val="ListParagraph"/>
        <w:numPr>
          <w:ilvl w:val="2"/>
          <w:numId w:val="2"/>
        </w:numPr>
        <w:tabs>
          <w:tab w:val="left" w:pos="2291"/>
        </w:tabs>
        <w:ind w:right="590"/>
        <w:jc w:val="both"/>
        <w:rPr>
          <w:sz w:val="24"/>
        </w:rPr>
      </w:pPr>
      <w:r>
        <w:rPr>
          <w:sz w:val="24"/>
        </w:rPr>
        <w:t>przekazała próbkę innej osobie wymienionej w certyfikacie, lub</w:t>
      </w:r>
    </w:p>
    <w:p w14:paraId="68CB35A9" w14:textId="77777777" w:rsidR="0034495B" w:rsidRDefault="00696754">
      <w:pPr>
        <w:pStyle w:val="ListParagraph"/>
        <w:numPr>
          <w:ilvl w:val="2"/>
          <w:numId w:val="2"/>
        </w:numPr>
        <w:tabs>
          <w:tab w:val="left" w:pos="2291"/>
        </w:tabs>
        <w:ind w:right="585"/>
        <w:jc w:val="both"/>
        <w:rPr>
          <w:sz w:val="24"/>
        </w:rPr>
      </w:pPr>
      <w:r>
        <w:rPr>
          <w:sz w:val="24"/>
        </w:rPr>
        <w:t>przeprowadziła procedurę mającą na celu wykrycie w próbce dowodów na niespełnienie norm technicznych wymaganych zgodnie z art. 5,</w:t>
      </w:r>
    </w:p>
    <w:p w14:paraId="56D688C2" w14:textId="77777777" w:rsidR="0034495B" w:rsidRDefault="00696754">
      <w:pPr>
        <w:pStyle w:val="BodyText"/>
        <w:spacing w:before="121"/>
        <w:ind w:left="305" w:right="589"/>
        <w:jc w:val="both"/>
      </w:pPr>
      <w:r>
        <w:t>jest (w przypadku braku dowodu podpisu lub osoby albo tego, że jest lub była ona zatrudniona w laboratorium lub placówce badawczej), o ile nie wykazano, że jest inaczej, świadkiem kwestii wskazanych w certyfikacie.</w:t>
      </w:r>
    </w:p>
    <w:p w14:paraId="7F4957AF" w14:textId="77777777" w:rsidR="0034495B" w:rsidRDefault="00696754">
      <w:pPr>
        <w:pStyle w:val="ListParagraph"/>
        <w:numPr>
          <w:ilvl w:val="0"/>
          <w:numId w:val="2"/>
        </w:numPr>
        <w:tabs>
          <w:tab w:val="left" w:pos="1026"/>
        </w:tabs>
        <w:ind w:right="584" w:firstLine="283"/>
        <w:jc w:val="both"/>
        <w:rPr>
          <w:sz w:val="24"/>
        </w:rPr>
      </w:pPr>
      <w:r>
        <w:rPr>
          <w:sz w:val="24"/>
        </w:rPr>
        <w:t>W postępowaniu dotyczącym przestępstwa z art. 11 ustawy z 1987 r. sąd może, jeśli uzna, że leży to w interesie wymiaru sprawiedliwości, zarządzić przeprowadzenie ustnego dowodu na okoliczności wskazane w certyfikacie, o którym mowa w ust. 2, i może w celu przeprowadzenia ustnego dowodu odroczyć postępowanie.</w:t>
      </w:r>
    </w:p>
    <w:p w14:paraId="3BB5D347" w14:textId="77777777" w:rsidR="0034495B" w:rsidRDefault="0034495B">
      <w:pPr>
        <w:pStyle w:val="BodyText"/>
        <w:spacing w:before="0"/>
        <w:rPr>
          <w:sz w:val="26"/>
        </w:rPr>
      </w:pPr>
    </w:p>
    <w:p w14:paraId="49772AA0" w14:textId="77777777" w:rsidR="0034495B" w:rsidRDefault="00696754">
      <w:pPr>
        <w:pStyle w:val="Heading1"/>
      </w:pPr>
      <w:r>
        <w:t>Uchylenie</w:t>
      </w:r>
    </w:p>
    <w:p w14:paraId="7BAB222D" w14:textId="77777777" w:rsidR="0034495B" w:rsidRDefault="0034495B">
      <w:pPr>
        <w:pStyle w:val="BodyText"/>
        <w:spacing w:before="2"/>
        <w:rPr>
          <w:b/>
          <w:sz w:val="21"/>
        </w:rPr>
      </w:pPr>
    </w:p>
    <w:p w14:paraId="6F4B0152" w14:textId="77777777" w:rsidR="0034495B" w:rsidRDefault="00696754">
      <w:pPr>
        <w:pStyle w:val="ListParagraph"/>
        <w:numPr>
          <w:ilvl w:val="1"/>
          <w:numId w:val="11"/>
        </w:numPr>
        <w:tabs>
          <w:tab w:val="left" w:pos="1026"/>
        </w:tabs>
        <w:spacing w:before="0"/>
        <w:ind w:left="1025" w:hanging="438"/>
        <w:jc w:val="both"/>
        <w:rPr>
          <w:sz w:val="24"/>
        </w:rPr>
      </w:pPr>
      <w:r>
        <w:rPr>
          <w:sz w:val="24"/>
        </w:rPr>
        <w:t>Unieważnia się następujące dokumenty:</w:t>
      </w:r>
    </w:p>
    <w:p w14:paraId="2B7E9310" w14:textId="77777777" w:rsidR="0034495B" w:rsidRDefault="00696754">
      <w:pPr>
        <w:pStyle w:val="ListParagraph"/>
        <w:numPr>
          <w:ilvl w:val="2"/>
          <w:numId w:val="11"/>
        </w:numPr>
        <w:tabs>
          <w:tab w:val="left" w:pos="1724"/>
        </w:tabs>
        <w:ind w:left="1745" w:right="587" w:hanging="588"/>
        <w:jc w:val="both"/>
        <w:rPr>
          <w:sz w:val="24"/>
        </w:rPr>
      </w:pPr>
      <w:r>
        <w:rPr>
          <w:sz w:val="24"/>
        </w:rPr>
        <w:t>przepisy z 2012 roku ws. ustawy o zanieczyszczeniu powietrza (marketing, sprzedaż, dystrybucja i spalanie określonych paliw) (S. I. nr 326 z 2012 roku);</w:t>
      </w:r>
    </w:p>
    <w:p w14:paraId="31DC926C" w14:textId="77777777" w:rsidR="0034495B" w:rsidRDefault="00696754">
      <w:pPr>
        <w:pStyle w:val="ListParagraph"/>
        <w:numPr>
          <w:ilvl w:val="2"/>
          <w:numId w:val="11"/>
        </w:numPr>
        <w:tabs>
          <w:tab w:val="left" w:pos="1724"/>
        </w:tabs>
        <w:ind w:left="1745" w:right="587" w:hanging="588"/>
        <w:jc w:val="both"/>
        <w:rPr>
          <w:sz w:val="24"/>
        </w:rPr>
      </w:pPr>
      <w:r>
        <w:rPr>
          <w:sz w:val="24"/>
        </w:rPr>
        <w:t>przepisy z 2015 roku ws. ustawy o zanieczyszczeniu powietrza (marketing, sprzedaż, dystrybucja i spalanie określonych paliw) (zmienione) (S. I. nr 30 z 2015 roku);</w:t>
      </w:r>
    </w:p>
    <w:p w14:paraId="75EA0941" w14:textId="77777777" w:rsidR="0034495B" w:rsidRDefault="00696754">
      <w:pPr>
        <w:pStyle w:val="ListParagraph"/>
        <w:numPr>
          <w:ilvl w:val="2"/>
          <w:numId w:val="11"/>
        </w:numPr>
        <w:tabs>
          <w:tab w:val="left" w:pos="1724"/>
        </w:tabs>
        <w:ind w:right="590"/>
        <w:jc w:val="both"/>
        <w:rPr>
          <w:sz w:val="24"/>
        </w:rPr>
      </w:pPr>
      <w:r>
        <w:rPr>
          <w:sz w:val="24"/>
        </w:rPr>
        <w:t>rozporządzenie w sprawie zanieczyszczenia powietrza (Przepisy dotyczące stałego zawiadomienia o płatności) 2015 (S. I. nr. 633 z 2015 r.);</w:t>
      </w:r>
    </w:p>
    <w:p w14:paraId="2E720284" w14:textId="77777777" w:rsidR="0034495B" w:rsidRDefault="0034495B">
      <w:pPr>
        <w:jc w:val="both"/>
        <w:rPr>
          <w:sz w:val="24"/>
        </w:rPr>
        <w:sectPr w:rsidR="0034495B">
          <w:pgSz w:w="11910" w:h="16840"/>
          <w:pgMar w:top="1340" w:right="1680" w:bottom="280" w:left="1680" w:header="717" w:footer="0" w:gutter="0"/>
          <w:cols w:space="720"/>
        </w:sectPr>
      </w:pPr>
    </w:p>
    <w:p w14:paraId="66D75E30" w14:textId="77777777" w:rsidR="0034495B" w:rsidRDefault="00696754">
      <w:pPr>
        <w:pStyle w:val="ListParagraph"/>
        <w:numPr>
          <w:ilvl w:val="2"/>
          <w:numId w:val="11"/>
        </w:numPr>
        <w:tabs>
          <w:tab w:val="left" w:pos="2007"/>
        </w:tabs>
        <w:spacing w:before="80"/>
        <w:ind w:left="2006" w:right="302"/>
        <w:jc w:val="both"/>
        <w:rPr>
          <w:sz w:val="24"/>
        </w:rPr>
      </w:pPr>
      <w:r>
        <w:rPr>
          <w:sz w:val="24"/>
        </w:rPr>
        <w:lastRenderedPageBreak/>
        <w:t>przepisy z 2016 roku ws. ustawy o zanieczyszczeniu powietrza (marketing, sprzedaż, dystrybucja i spalanie określonych paliw) (zmienione) (S. I. nr 128 z 2016 roku);</w:t>
      </w:r>
    </w:p>
    <w:p w14:paraId="6F454847" w14:textId="77777777" w:rsidR="0034495B" w:rsidRDefault="00696754">
      <w:pPr>
        <w:pStyle w:val="ListParagraph"/>
        <w:numPr>
          <w:ilvl w:val="2"/>
          <w:numId w:val="11"/>
        </w:numPr>
        <w:tabs>
          <w:tab w:val="left" w:pos="2007"/>
        </w:tabs>
        <w:ind w:left="2006" w:right="301"/>
        <w:jc w:val="both"/>
        <w:rPr>
          <w:sz w:val="24"/>
        </w:rPr>
      </w:pPr>
      <w:r>
        <w:rPr>
          <w:sz w:val="24"/>
        </w:rPr>
        <w:t>przepisy z 2016 roku ws. ustawy o zanieczyszczeniu powietrza z 1987 r. (rejestracja podmiotów zajmujących się workowaniem paliwa i dostawców oraz marketingiem, sprzedażą, dystrybucją i spalaniem określonych paliw) (zmienione) (S. I. nr 571 z 2016 roku);</w:t>
      </w:r>
    </w:p>
    <w:p w14:paraId="4FF2BAC3" w14:textId="77777777" w:rsidR="0034495B" w:rsidRDefault="00696754">
      <w:pPr>
        <w:pStyle w:val="ListParagraph"/>
        <w:numPr>
          <w:ilvl w:val="2"/>
          <w:numId w:val="11"/>
        </w:numPr>
        <w:tabs>
          <w:tab w:val="left" w:pos="2007"/>
        </w:tabs>
        <w:ind w:left="2006" w:right="302"/>
        <w:jc w:val="both"/>
        <w:rPr>
          <w:sz w:val="24"/>
        </w:rPr>
      </w:pPr>
      <w:r>
        <w:rPr>
          <w:sz w:val="24"/>
        </w:rPr>
        <w:t>przepisy z 2020 roku ws. ustawy o zanieczyszczeniu powietrza (marketing, sprzedaż, dystrybucja i spalanie określonych paliw) (zmienione) (S. I. nr 260 z 2020 roku).</w:t>
      </w:r>
    </w:p>
    <w:p w14:paraId="2DF3A521" w14:textId="77777777" w:rsidR="0034495B" w:rsidRDefault="0034495B">
      <w:pPr>
        <w:jc w:val="both"/>
        <w:rPr>
          <w:sz w:val="24"/>
        </w:rPr>
        <w:sectPr w:rsidR="0034495B">
          <w:pgSz w:w="11910" w:h="16840"/>
          <w:pgMar w:top="1340" w:right="1680" w:bottom="280" w:left="1680" w:header="717" w:footer="0" w:gutter="0"/>
          <w:cols w:space="720"/>
        </w:sectPr>
      </w:pPr>
    </w:p>
    <w:p w14:paraId="7712B81B" w14:textId="77777777" w:rsidR="0034495B" w:rsidRDefault="00696754">
      <w:pPr>
        <w:spacing w:before="80"/>
        <w:ind w:left="5550" w:right="572"/>
        <w:jc w:val="center"/>
        <w:rPr>
          <w:i/>
          <w:sz w:val="24"/>
        </w:rPr>
      </w:pPr>
      <w:r>
        <w:rPr>
          <w:i/>
          <w:sz w:val="24"/>
        </w:rPr>
        <w:lastRenderedPageBreak/>
        <w:t>Przepisy art. 5 ust. 6 i art. 7 ust. 2</w:t>
      </w:r>
    </w:p>
    <w:p w14:paraId="242DCAD6" w14:textId="77777777" w:rsidR="0034495B" w:rsidRDefault="00696754">
      <w:pPr>
        <w:pStyle w:val="Heading1"/>
        <w:spacing w:before="120"/>
        <w:ind w:left="289" w:right="568"/>
        <w:jc w:val="center"/>
      </w:pPr>
      <w:r>
        <w:t>Załącznik 1</w:t>
      </w:r>
    </w:p>
    <w:p w14:paraId="0BCB444B" w14:textId="77777777" w:rsidR="0034495B" w:rsidRDefault="00696754">
      <w:pPr>
        <w:spacing w:before="120"/>
        <w:ind w:left="289" w:right="569"/>
        <w:jc w:val="center"/>
        <w:rPr>
          <w:i/>
          <w:sz w:val="24"/>
        </w:rPr>
      </w:pPr>
      <w:r>
        <w:rPr>
          <w:i/>
          <w:color w:val="404040"/>
          <w:sz w:val="24"/>
        </w:rPr>
        <w:t>Treść dotycząca drewna powyżej 2 m</w:t>
      </w:r>
      <w:r>
        <w:rPr>
          <w:i/>
          <w:color w:val="404040"/>
          <w:sz w:val="24"/>
          <w:vertAlign w:val="superscript"/>
        </w:rPr>
        <w:t>3</w:t>
      </w:r>
    </w:p>
    <w:p w14:paraId="1007AED7" w14:textId="77777777" w:rsidR="0034495B" w:rsidRDefault="00696754">
      <w:pPr>
        <w:pStyle w:val="Heading1"/>
        <w:spacing w:before="120"/>
        <w:ind w:right="584"/>
        <w:jc w:val="both"/>
      </w:pPr>
      <w:r>
        <w:t>Treść w odniesieniu do drewna sprzedawanego w objętości większej niż dwa metry sześcienne.</w:t>
      </w:r>
    </w:p>
    <w:p w14:paraId="11CB2D6C" w14:textId="77777777" w:rsidR="0034495B" w:rsidRDefault="0034495B">
      <w:pPr>
        <w:pStyle w:val="BodyText"/>
        <w:spacing w:before="0"/>
        <w:rPr>
          <w:b/>
          <w:sz w:val="26"/>
        </w:rPr>
      </w:pPr>
    </w:p>
    <w:p w14:paraId="3A9A4E5E" w14:textId="77777777" w:rsidR="0034495B" w:rsidRDefault="00696754">
      <w:pPr>
        <w:pStyle w:val="BodyText"/>
        <w:spacing w:before="217"/>
        <w:ind w:left="305" w:right="584"/>
        <w:jc w:val="both"/>
      </w:pPr>
      <w:r>
        <w:t>Drewno nie nadaje się do spalania, dopóki nie zostanie wysuszone do wilgotności 25 % lub mniejszej. Drewno takie należy przechowywać i suszyć w jasnym, dobrze wietrzonym pomieszczeniu, aż osiągnie wymagany poziom wilgotności</w:t>
      </w:r>
    </w:p>
    <w:p w14:paraId="4CBD4696" w14:textId="77777777" w:rsidR="0034495B" w:rsidRDefault="0034495B">
      <w:pPr>
        <w:pStyle w:val="BodyText"/>
        <w:spacing w:before="0"/>
        <w:rPr>
          <w:sz w:val="26"/>
        </w:rPr>
      </w:pPr>
    </w:p>
    <w:p w14:paraId="1449CB8D" w14:textId="77777777" w:rsidR="0034495B" w:rsidRDefault="00696754">
      <w:pPr>
        <w:pStyle w:val="Heading1"/>
        <w:spacing w:before="218"/>
        <w:ind w:right="584"/>
        <w:jc w:val="both"/>
      </w:pPr>
      <w:r>
        <w:t>Treść w odniesieniu do drewna sprzedawanego w objętości większej niż dwa metry sześcienne od 1 września 2025 r.</w:t>
      </w:r>
    </w:p>
    <w:p w14:paraId="6E1298A4" w14:textId="77777777" w:rsidR="0034495B" w:rsidRDefault="0034495B">
      <w:pPr>
        <w:pStyle w:val="BodyText"/>
        <w:spacing w:before="0"/>
        <w:rPr>
          <w:b/>
          <w:sz w:val="26"/>
        </w:rPr>
      </w:pPr>
    </w:p>
    <w:p w14:paraId="5A76C32A" w14:textId="77777777" w:rsidR="0034495B" w:rsidRDefault="00696754">
      <w:pPr>
        <w:pStyle w:val="BodyText"/>
        <w:spacing w:before="217"/>
        <w:ind w:left="305" w:right="584"/>
        <w:jc w:val="both"/>
      </w:pPr>
      <w:r>
        <w:t>Drewno nie nadaje się do spalania, dopóki nie zostanie wysuszone do wilgotności 20 % lub mniejszej. Drewno to należy przechowywać i suszyć w jasnym, dobrze wietrzonym pomieszczeniu do czasu osiągnięcia przez nie wymaganego poziomu wilgotności.</w:t>
      </w:r>
    </w:p>
    <w:p w14:paraId="1929F834" w14:textId="77777777" w:rsidR="0034495B" w:rsidRDefault="0034495B">
      <w:pPr>
        <w:jc w:val="both"/>
        <w:sectPr w:rsidR="0034495B">
          <w:pgSz w:w="11910" w:h="16840"/>
          <w:pgMar w:top="1340" w:right="1680" w:bottom="280" w:left="1680" w:header="717" w:footer="0" w:gutter="0"/>
          <w:cols w:space="720"/>
        </w:sectPr>
      </w:pPr>
    </w:p>
    <w:p w14:paraId="7A23A37A" w14:textId="77777777" w:rsidR="0034495B" w:rsidRDefault="00696754">
      <w:pPr>
        <w:spacing w:before="80"/>
        <w:ind w:left="6593" w:right="285"/>
        <w:jc w:val="center"/>
        <w:rPr>
          <w:i/>
          <w:sz w:val="24"/>
        </w:rPr>
      </w:pPr>
      <w:r>
        <w:rPr>
          <w:i/>
          <w:sz w:val="24"/>
        </w:rPr>
        <w:lastRenderedPageBreak/>
        <w:t>Art. 10 ust. 3</w:t>
      </w:r>
    </w:p>
    <w:p w14:paraId="44436F30" w14:textId="77777777" w:rsidR="0034495B" w:rsidRDefault="00696754">
      <w:pPr>
        <w:pStyle w:val="Heading1"/>
        <w:spacing w:before="120"/>
        <w:ind w:left="289" w:right="5"/>
        <w:jc w:val="center"/>
      </w:pPr>
      <w:r>
        <w:t>Załącznik 2</w:t>
      </w:r>
    </w:p>
    <w:p w14:paraId="6A0D659E" w14:textId="77777777" w:rsidR="0034495B" w:rsidRDefault="0034495B">
      <w:pPr>
        <w:pStyle w:val="BodyText"/>
        <w:spacing w:before="1"/>
        <w:rPr>
          <w:b/>
          <w:sz w:val="21"/>
        </w:rPr>
      </w:pPr>
    </w:p>
    <w:p w14:paraId="1F004ECB" w14:textId="77777777" w:rsidR="0034495B" w:rsidRDefault="00696754">
      <w:pPr>
        <w:ind w:left="289" w:right="4"/>
        <w:jc w:val="center"/>
        <w:rPr>
          <w:i/>
          <w:sz w:val="24"/>
        </w:rPr>
      </w:pPr>
      <w:r>
        <w:rPr>
          <w:i/>
          <w:color w:val="404040"/>
          <w:sz w:val="24"/>
        </w:rPr>
        <w:t>Zapisy dotyczące identyfikowalności i zgodności</w:t>
      </w:r>
    </w:p>
    <w:p w14:paraId="69DB86E7" w14:textId="77777777" w:rsidR="0034495B" w:rsidRDefault="00696754">
      <w:pPr>
        <w:pStyle w:val="ListParagraph"/>
        <w:numPr>
          <w:ilvl w:val="0"/>
          <w:numId w:val="1"/>
        </w:numPr>
        <w:tabs>
          <w:tab w:val="left" w:pos="1309"/>
        </w:tabs>
        <w:ind w:right="306" w:firstLine="283"/>
        <w:rPr>
          <w:sz w:val="24"/>
        </w:rPr>
      </w:pPr>
      <w:r>
        <w:rPr>
          <w:sz w:val="24"/>
        </w:rPr>
        <w:t>Zapisy dotyczące identyfikowalności i zgodności paliw w ramach art. 10 ust. 3 powinny być:</w:t>
      </w:r>
    </w:p>
    <w:p w14:paraId="25D33EDC" w14:textId="77777777" w:rsidR="0034495B" w:rsidRDefault="00696754">
      <w:pPr>
        <w:pStyle w:val="ListParagraph"/>
        <w:numPr>
          <w:ilvl w:val="1"/>
          <w:numId w:val="1"/>
        </w:numPr>
        <w:tabs>
          <w:tab w:val="left" w:pos="2006"/>
          <w:tab w:val="left" w:pos="2007"/>
        </w:tabs>
        <w:rPr>
          <w:sz w:val="24"/>
        </w:rPr>
      </w:pPr>
      <w:r>
        <w:rPr>
          <w:sz w:val="24"/>
        </w:rPr>
        <w:t>przechowywane na odpowiednich nośnikach (np. w formie papierowej lub elektronicznej),</w:t>
      </w:r>
    </w:p>
    <w:p w14:paraId="341F49D3" w14:textId="77777777" w:rsidR="0034495B" w:rsidRDefault="00696754">
      <w:pPr>
        <w:pStyle w:val="ListParagraph"/>
        <w:numPr>
          <w:ilvl w:val="1"/>
          <w:numId w:val="1"/>
        </w:numPr>
        <w:tabs>
          <w:tab w:val="left" w:pos="2006"/>
          <w:tab w:val="left" w:pos="2007"/>
        </w:tabs>
        <w:rPr>
          <w:sz w:val="24"/>
        </w:rPr>
      </w:pPr>
      <w:r>
        <w:rPr>
          <w:sz w:val="24"/>
        </w:rPr>
        <w:t>przechowywane przez 6 lat, oraz</w:t>
      </w:r>
    </w:p>
    <w:p w14:paraId="2F5FFD91" w14:textId="77777777" w:rsidR="0034495B" w:rsidRDefault="00696754">
      <w:pPr>
        <w:pStyle w:val="ListParagraph"/>
        <w:numPr>
          <w:ilvl w:val="1"/>
          <w:numId w:val="1"/>
        </w:numPr>
        <w:tabs>
          <w:tab w:val="left" w:pos="2006"/>
          <w:tab w:val="left" w:pos="2007"/>
        </w:tabs>
        <w:ind w:right="299"/>
        <w:rPr>
          <w:sz w:val="24"/>
        </w:rPr>
      </w:pPr>
      <w:r>
        <w:rPr>
          <w:sz w:val="24"/>
        </w:rPr>
        <w:t>przechowywane lub archiwizowane w celu zapewnienia zadowalającej dostępności, czytelności oraz ochrony przed uszkodzeniem lub celową zmianą.</w:t>
      </w:r>
    </w:p>
    <w:p w14:paraId="108F7C52" w14:textId="77777777" w:rsidR="0034495B" w:rsidRDefault="00696754">
      <w:pPr>
        <w:pStyle w:val="ListParagraph"/>
        <w:numPr>
          <w:ilvl w:val="0"/>
          <w:numId w:val="1"/>
        </w:numPr>
        <w:tabs>
          <w:tab w:val="left" w:pos="1309"/>
        </w:tabs>
        <w:spacing w:before="118"/>
        <w:ind w:right="304" w:firstLine="283"/>
        <w:rPr>
          <w:sz w:val="24"/>
        </w:rPr>
      </w:pPr>
      <w:r>
        <w:rPr>
          <w:sz w:val="24"/>
        </w:rPr>
        <w:t>Rodzaje prowadzonej dokumentacji obejmują, w stosownych przypadkach, co najmniej następujące elementy:</w:t>
      </w:r>
    </w:p>
    <w:p w14:paraId="6BA104B1" w14:textId="77777777" w:rsidR="0034495B" w:rsidRDefault="00696754">
      <w:pPr>
        <w:pStyle w:val="ListParagraph"/>
        <w:numPr>
          <w:ilvl w:val="1"/>
          <w:numId w:val="1"/>
        </w:numPr>
        <w:tabs>
          <w:tab w:val="left" w:pos="2006"/>
          <w:tab w:val="left" w:pos="2007"/>
        </w:tabs>
        <w:ind w:right="307"/>
        <w:rPr>
          <w:sz w:val="24"/>
        </w:rPr>
      </w:pPr>
      <w:r>
        <w:rPr>
          <w:sz w:val="24"/>
        </w:rPr>
        <w:t>ewidencję dostaw surowców dostarczonych do producenta określającą</w:t>
      </w:r>
    </w:p>
    <w:p w14:paraId="1B3DEF44" w14:textId="77777777" w:rsidR="0034495B" w:rsidRDefault="00696754">
      <w:pPr>
        <w:pStyle w:val="ListParagraph"/>
        <w:numPr>
          <w:ilvl w:val="2"/>
          <w:numId w:val="1"/>
        </w:numPr>
        <w:tabs>
          <w:tab w:val="left" w:pos="2573"/>
          <w:tab w:val="left" w:pos="2574"/>
        </w:tabs>
        <w:ind w:hanging="568"/>
        <w:rPr>
          <w:sz w:val="24"/>
        </w:rPr>
      </w:pPr>
      <w:r>
        <w:rPr>
          <w:sz w:val="24"/>
        </w:rPr>
        <w:t>ciężar dostarczonego paliwa,</w:t>
      </w:r>
    </w:p>
    <w:p w14:paraId="3210CC03" w14:textId="77777777" w:rsidR="0034495B" w:rsidRDefault="00696754">
      <w:pPr>
        <w:pStyle w:val="ListParagraph"/>
        <w:numPr>
          <w:ilvl w:val="2"/>
          <w:numId w:val="1"/>
        </w:numPr>
        <w:tabs>
          <w:tab w:val="left" w:pos="2573"/>
          <w:tab w:val="left" w:pos="2574"/>
        </w:tabs>
        <w:ind w:hanging="568"/>
        <w:rPr>
          <w:sz w:val="24"/>
        </w:rPr>
      </w:pPr>
      <w:r>
        <w:rPr>
          <w:sz w:val="24"/>
        </w:rPr>
        <w:t>certyfikat analityczny,</w:t>
      </w:r>
    </w:p>
    <w:p w14:paraId="496F4D6E" w14:textId="77777777" w:rsidR="0034495B" w:rsidRDefault="00696754">
      <w:pPr>
        <w:pStyle w:val="ListParagraph"/>
        <w:numPr>
          <w:ilvl w:val="2"/>
          <w:numId w:val="1"/>
        </w:numPr>
        <w:tabs>
          <w:tab w:val="left" w:pos="2573"/>
          <w:tab w:val="left" w:pos="2574"/>
        </w:tabs>
        <w:ind w:hanging="568"/>
        <w:rPr>
          <w:sz w:val="24"/>
        </w:rPr>
      </w:pPr>
      <w:r>
        <w:rPr>
          <w:sz w:val="24"/>
        </w:rPr>
        <w:t>identyfikowalność z certyfikatem analitycznym,</w:t>
      </w:r>
    </w:p>
    <w:p w14:paraId="4DFA5398" w14:textId="77777777" w:rsidR="0034495B" w:rsidRDefault="00696754">
      <w:pPr>
        <w:pStyle w:val="ListParagraph"/>
        <w:numPr>
          <w:ilvl w:val="2"/>
          <w:numId w:val="1"/>
        </w:numPr>
        <w:tabs>
          <w:tab w:val="left" w:pos="2573"/>
          <w:tab w:val="left" w:pos="2574"/>
          <w:tab w:val="left" w:pos="3067"/>
          <w:tab w:val="left" w:pos="4053"/>
          <w:tab w:val="left" w:pos="4950"/>
          <w:tab w:val="left" w:pos="5830"/>
          <w:tab w:val="left" w:pos="6497"/>
          <w:tab w:val="left" w:pos="7435"/>
          <w:tab w:val="left" w:pos="7835"/>
        </w:tabs>
        <w:ind w:right="308"/>
        <w:rPr>
          <w:sz w:val="24"/>
        </w:rPr>
      </w:pPr>
      <w:r>
        <w:rPr>
          <w:sz w:val="24"/>
        </w:rPr>
        <w:t>numer rejestracyjny pojazdu dostawczego lub numer referencyjny statku, oraz</w:t>
      </w:r>
    </w:p>
    <w:p w14:paraId="1765D7DF" w14:textId="77777777" w:rsidR="0034495B" w:rsidRDefault="00696754">
      <w:pPr>
        <w:pStyle w:val="ListParagraph"/>
        <w:numPr>
          <w:ilvl w:val="2"/>
          <w:numId w:val="1"/>
        </w:numPr>
        <w:tabs>
          <w:tab w:val="left" w:pos="2573"/>
          <w:tab w:val="left" w:pos="2574"/>
        </w:tabs>
        <w:ind w:hanging="568"/>
        <w:rPr>
          <w:sz w:val="24"/>
        </w:rPr>
      </w:pPr>
      <w:r>
        <w:rPr>
          <w:sz w:val="24"/>
        </w:rPr>
        <w:t>datę dostawy;</w:t>
      </w:r>
    </w:p>
    <w:p w14:paraId="39173DD6" w14:textId="77777777" w:rsidR="0034495B" w:rsidRDefault="00696754">
      <w:pPr>
        <w:pStyle w:val="ListParagraph"/>
        <w:numPr>
          <w:ilvl w:val="1"/>
          <w:numId w:val="1"/>
        </w:numPr>
        <w:tabs>
          <w:tab w:val="left" w:pos="2006"/>
          <w:tab w:val="left" w:pos="2007"/>
        </w:tabs>
        <w:rPr>
          <w:sz w:val="24"/>
        </w:rPr>
      </w:pPr>
      <w:r>
        <w:rPr>
          <w:sz w:val="24"/>
        </w:rPr>
        <w:t>zapisy dotyczące kalibracji i konserwacji wag pomostowych;</w:t>
      </w:r>
    </w:p>
    <w:p w14:paraId="4BABFA95" w14:textId="77777777" w:rsidR="0034495B" w:rsidRDefault="00696754">
      <w:pPr>
        <w:pStyle w:val="ListParagraph"/>
        <w:numPr>
          <w:ilvl w:val="1"/>
          <w:numId w:val="1"/>
        </w:numPr>
        <w:tabs>
          <w:tab w:val="left" w:pos="2006"/>
          <w:tab w:val="left" w:pos="2007"/>
        </w:tabs>
        <w:spacing w:before="121"/>
        <w:ind w:right="302"/>
        <w:rPr>
          <w:sz w:val="24"/>
        </w:rPr>
      </w:pPr>
      <w:r>
        <w:rPr>
          <w:sz w:val="24"/>
        </w:rPr>
        <w:t>zapisy dotyczące kalibracji i konserwacji urządzeń ważących oraz ważenia kontrolnego, jeśli jest stosowane;</w:t>
      </w:r>
    </w:p>
    <w:p w14:paraId="1FB8F6AE" w14:textId="77777777" w:rsidR="0034495B" w:rsidRDefault="00696754">
      <w:pPr>
        <w:pStyle w:val="ListParagraph"/>
        <w:numPr>
          <w:ilvl w:val="1"/>
          <w:numId w:val="1"/>
        </w:numPr>
        <w:tabs>
          <w:tab w:val="left" w:pos="2007"/>
        </w:tabs>
        <w:ind w:right="306"/>
        <w:jc w:val="both"/>
        <w:rPr>
          <w:sz w:val="24"/>
        </w:rPr>
      </w:pPr>
      <w:r>
        <w:rPr>
          <w:sz w:val="24"/>
        </w:rPr>
        <w:t>zapisy dotyczące postępowań wyjaśniających oraz działań naprawczych podejmowanych w odpowiednim czasie po każdym nieprawidłowym działaniu urządzenia ważącego lub utracie dokładności;</w:t>
      </w:r>
    </w:p>
    <w:p w14:paraId="15DC2ECE" w14:textId="77777777" w:rsidR="0034495B" w:rsidRDefault="00696754">
      <w:pPr>
        <w:pStyle w:val="ListParagraph"/>
        <w:numPr>
          <w:ilvl w:val="1"/>
          <w:numId w:val="1"/>
        </w:numPr>
        <w:tabs>
          <w:tab w:val="left" w:pos="2007"/>
        </w:tabs>
        <w:ind w:right="304"/>
        <w:jc w:val="both"/>
        <w:rPr>
          <w:sz w:val="24"/>
        </w:rPr>
      </w:pPr>
      <w:r>
        <w:rPr>
          <w:sz w:val="24"/>
        </w:rPr>
        <w:t>sprawozdania z produkcji określające liczbę wyprodukowanych produktów oraz każdy produkt, który został zwrócony do zapasów;</w:t>
      </w:r>
    </w:p>
    <w:p w14:paraId="3AFC5427" w14:textId="77777777" w:rsidR="0034495B" w:rsidRDefault="00696754">
      <w:pPr>
        <w:pStyle w:val="ListParagraph"/>
        <w:numPr>
          <w:ilvl w:val="1"/>
          <w:numId w:val="1"/>
        </w:numPr>
        <w:tabs>
          <w:tab w:val="left" w:pos="2007"/>
        </w:tabs>
        <w:ind w:right="305"/>
        <w:jc w:val="both"/>
        <w:rPr>
          <w:sz w:val="24"/>
        </w:rPr>
      </w:pPr>
      <w:r>
        <w:rPr>
          <w:sz w:val="24"/>
        </w:rPr>
        <w:t>roczne inwentaryzacje surowców i produktów workowanych na koniec roku lub w najbliższym dniu roboczym;</w:t>
      </w:r>
    </w:p>
    <w:p w14:paraId="7D35224C" w14:textId="77777777" w:rsidR="0034495B" w:rsidRDefault="00696754">
      <w:pPr>
        <w:pStyle w:val="ListParagraph"/>
        <w:numPr>
          <w:ilvl w:val="1"/>
          <w:numId w:val="1"/>
        </w:numPr>
        <w:tabs>
          <w:tab w:val="left" w:pos="2007"/>
        </w:tabs>
        <w:ind w:right="303"/>
        <w:jc w:val="both"/>
        <w:rPr>
          <w:sz w:val="24"/>
        </w:rPr>
      </w:pPr>
      <w:r>
        <w:rPr>
          <w:sz w:val="24"/>
        </w:rPr>
        <w:t>certyfikaty akredytacji zgodnie z normą I.S. EN ISO/IEC 17025 lub równoważną, potwierdzające, że wszyscy wykonawcy wzorcowania i laboratoria analityczne wykonujące prace istotne dla procesu przeprowadzają badania zgodnie z obowiązującą normą;</w:t>
      </w:r>
    </w:p>
    <w:p w14:paraId="7A71BE68" w14:textId="77777777" w:rsidR="0034495B" w:rsidRDefault="00696754">
      <w:pPr>
        <w:pStyle w:val="ListParagraph"/>
        <w:numPr>
          <w:ilvl w:val="1"/>
          <w:numId w:val="1"/>
        </w:numPr>
        <w:tabs>
          <w:tab w:val="left" w:pos="2007"/>
        </w:tabs>
        <w:spacing w:before="121"/>
        <w:jc w:val="both"/>
        <w:rPr>
          <w:sz w:val="24"/>
        </w:rPr>
      </w:pPr>
      <w:r>
        <w:rPr>
          <w:sz w:val="24"/>
        </w:rPr>
        <w:t>dokumentację obróbki produktu (jeśli dotyczy);</w:t>
      </w:r>
    </w:p>
    <w:p w14:paraId="78A2A546" w14:textId="77777777" w:rsidR="0034495B" w:rsidRDefault="00696754">
      <w:pPr>
        <w:pStyle w:val="ListParagraph"/>
        <w:numPr>
          <w:ilvl w:val="1"/>
          <w:numId w:val="1"/>
        </w:numPr>
        <w:tabs>
          <w:tab w:val="left" w:pos="2007"/>
        </w:tabs>
        <w:jc w:val="both"/>
        <w:rPr>
          <w:sz w:val="24"/>
        </w:rPr>
      </w:pPr>
      <w:r>
        <w:rPr>
          <w:sz w:val="24"/>
        </w:rPr>
        <w:t>rejestry sprzedaży dla wszystkich sprzedanych paliw;</w:t>
      </w:r>
    </w:p>
    <w:p w14:paraId="12AB5443" w14:textId="77777777" w:rsidR="0034495B" w:rsidRDefault="00696754">
      <w:pPr>
        <w:pStyle w:val="ListParagraph"/>
        <w:numPr>
          <w:ilvl w:val="1"/>
          <w:numId w:val="1"/>
        </w:numPr>
        <w:tabs>
          <w:tab w:val="left" w:pos="2007"/>
        </w:tabs>
        <w:jc w:val="both"/>
        <w:rPr>
          <w:sz w:val="24"/>
        </w:rPr>
      </w:pPr>
      <w:r>
        <w:rPr>
          <w:sz w:val="24"/>
        </w:rPr>
        <w:t>rejestry nadzoru rynku (jeżeli takie istnieją);</w:t>
      </w:r>
    </w:p>
    <w:p w14:paraId="51CC3C1F" w14:textId="77777777" w:rsidR="0034495B" w:rsidRDefault="00696754">
      <w:pPr>
        <w:pStyle w:val="ListParagraph"/>
        <w:numPr>
          <w:ilvl w:val="1"/>
          <w:numId w:val="1"/>
        </w:numPr>
        <w:tabs>
          <w:tab w:val="left" w:pos="2007"/>
        </w:tabs>
        <w:jc w:val="both"/>
        <w:rPr>
          <w:sz w:val="24"/>
        </w:rPr>
      </w:pPr>
      <w:r>
        <w:rPr>
          <w:sz w:val="24"/>
        </w:rPr>
        <w:t>informacje zwrotne i reklamacje (jeśli dotyczą);</w:t>
      </w:r>
    </w:p>
    <w:p w14:paraId="232B4A6E" w14:textId="77777777" w:rsidR="0034495B" w:rsidRDefault="00696754">
      <w:pPr>
        <w:pStyle w:val="ListParagraph"/>
        <w:numPr>
          <w:ilvl w:val="1"/>
          <w:numId w:val="1"/>
        </w:numPr>
        <w:tabs>
          <w:tab w:val="left" w:pos="2007"/>
        </w:tabs>
        <w:jc w:val="both"/>
        <w:rPr>
          <w:sz w:val="24"/>
        </w:rPr>
      </w:pPr>
      <w:r>
        <w:rPr>
          <w:sz w:val="24"/>
        </w:rPr>
        <w:t>zapisy produkcyjne potwierdzające parametry kontrolne (jakość);</w:t>
      </w:r>
    </w:p>
    <w:p w14:paraId="4ED31748" w14:textId="77777777" w:rsidR="0034495B" w:rsidRDefault="00696754">
      <w:pPr>
        <w:pStyle w:val="ListParagraph"/>
        <w:numPr>
          <w:ilvl w:val="1"/>
          <w:numId w:val="1"/>
        </w:numPr>
        <w:tabs>
          <w:tab w:val="left" w:pos="2007"/>
        </w:tabs>
        <w:jc w:val="both"/>
        <w:rPr>
          <w:sz w:val="24"/>
        </w:rPr>
      </w:pPr>
      <w:r>
        <w:rPr>
          <w:sz w:val="24"/>
        </w:rPr>
        <w:lastRenderedPageBreak/>
        <w:t>zapisy dotyczące serii produkcyjnych (czas trwania, produkt, ilość).</w:t>
      </w:r>
    </w:p>
    <w:p w14:paraId="1330FD46" w14:textId="77777777" w:rsidR="0034495B" w:rsidRDefault="0034495B">
      <w:pPr>
        <w:jc w:val="both"/>
        <w:rPr>
          <w:sz w:val="24"/>
        </w:rPr>
        <w:sectPr w:rsidR="0034495B">
          <w:pgSz w:w="11910" w:h="16840"/>
          <w:pgMar w:top="1340" w:right="1680" w:bottom="280" w:left="1680" w:header="717" w:footer="0" w:gutter="0"/>
          <w:cols w:space="720"/>
        </w:sectPr>
      </w:pPr>
    </w:p>
    <w:p w14:paraId="59713148" w14:textId="77777777" w:rsidR="0034495B" w:rsidRDefault="0034495B">
      <w:pPr>
        <w:pStyle w:val="BodyText"/>
        <w:spacing w:before="0"/>
        <w:rPr>
          <w:sz w:val="7"/>
        </w:rPr>
      </w:pPr>
    </w:p>
    <w:tbl>
      <w:tblPr>
        <w:tblW w:w="0" w:type="auto"/>
        <w:tblInd w:w="142" w:type="dxa"/>
        <w:tblLayout w:type="fixed"/>
        <w:tblCellMar>
          <w:left w:w="0" w:type="dxa"/>
          <w:right w:w="0" w:type="dxa"/>
        </w:tblCellMar>
        <w:tblLook w:val="01E0" w:firstRow="1" w:lastRow="1" w:firstColumn="1" w:lastColumn="1" w:noHBand="0" w:noVBand="0"/>
      </w:tblPr>
      <w:tblGrid>
        <w:gridCol w:w="1440"/>
        <w:gridCol w:w="3560"/>
      </w:tblGrid>
      <w:tr w:rsidR="0034495B" w14:paraId="2E50A586" w14:textId="77777777">
        <w:trPr>
          <w:trHeight w:val="1655"/>
        </w:trPr>
        <w:tc>
          <w:tcPr>
            <w:tcW w:w="1440" w:type="dxa"/>
          </w:tcPr>
          <w:p w14:paraId="667C829A" w14:textId="77777777" w:rsidR="0034495B" w:rsidRDefault="0034495B">
            <w:pPr>
              <w:pStyle w:val="TableParagraph"/>
              <w:spacing w:before="3"/>
              <w:rPr>
                <w:sz w:val="7"/>
              </w:rPr>
            </w:pPr>
          </w:p>
          <w:p w14:paraId="51AB39EB" w14:textId="77777777" w:rsidR="0034495B" w:rsidRDefault="00696754">
            <w:pPr>
              <w:pStyle w:val="TableParagraph"/>
              <w:ind w:left="308"/>
              <w:rPr>
                <w:sz w:val="20"/>
              </w:rPr>
            </w:pPr>
            <w:r>
              <w:rPr>
                <w:noProof/>
                <w:sz w:val="20"/>
              </w:rPr>
              <w:drawing>
                <wp:inline distT="0" distB="0" distL="0" distR="0" wp14:anchorId="71701C91" wp14:editId="7504CCF3">
                  <wp:extent cx="556260" cy="518159"/>
                  <wp:effectExtent l="0" t="0" r="0" b="0"/>
                  <wp:docPr id="3" name="image2.jpeg" descr="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56260" cy="518159"/>
                          </a:xfrm>
                          <a:prstGeom prst="rect">
                            <a:avLst/>
                          </a:prstGeom>
                        </pic:spPr>
                      </pic:pic>
                    </a:graphicData>
                  </a:graphic>
                </wp:inline>
              </w:drawing>
            </w:r>
          </w:p>
        </w:tc>
        <w:tc>
          <w:tcPr>
            <w:tcW w:w="3560" w:type="dxa"/>
          </w:tcPr>
          <w:p w14:paraId="30D9BC65" w14:textId="77777777" w:rsidR="0034495B" w:rsidRDefault="00696754">
            <w:pPr>
              <w:pStyle w:val="TableParagraph"/>
              <w:ind w:left="431" w:right="243" w:hanging="176"/>
              <w:rPr>
                <w:sz w:val="24"/>
              </w:rPr>
            </w:pPr>
            <w:r>
              <w:rPr>
                <w:sz w:val="24"/>
              </w:rPr>
              <w:t>CO NINIEJSZYM POTWIERDZAM moją pieczęcią urzędową, 20 października 2022 r.</w:t>
            </w:r>
          </w:p>
          <w:p w14:paraId="2C1D483B" w14:textId="77777777" w:rsidR="0034495B" w:rsidRDefault="0034495B">
            <w:pPr>
              <w:pStyle w:val="TableParagraph"/>
              <w:spacing w:before="11"/>
              <w:rPr>
                <w:sz w:val="23"/>
              </w:rPr>
            </w:pPr>
          </w:p>
          <w:p w14:paraId="7A68DB98" w14:textId="77777777" w:rsidR="0034495B" w:rsidRDefault="00696754">
            <w:pPr>
              <w:pStyle w:val="TableParagraph"/>
              <w:ind w:left="256"/>
              <w:rPr>
                <w:sz w:val="24"/>
              </w:rPr>
            </w:pPr>
            <w:r>
              <w:rPr>
                <w:sz w:val="24"/>
              </w:rPr>
              <w:t>EAMON RYAN,</w:t>
            </w:r>
          </w:p>
          <w:p w14:paraId="23BD4018" w14:textId="77777777" w:rsidR="0034495B" w:rsidRDefault="00696754">
            <w:pPr>
              <w:pStyle w:val="TableParagraph"/>
              <w:spacing w:line="270" w:lineRule="atLeast"/>
              <w:ind w:left="431" w:right="195"/>
              <w:rPr>
                <w:sz w:val="24"/>
              </w:rPr>
            </w:pPr>
            <w:r>
              <w:rPr>
                <w:sz w:val="24"/>
              </w:rPr>
              <w:t>Minister środowiska, klimatu i komunikacji.</w:t>
            </w:r>
          </w:p>
        </w:tc>
      </w:tr>
    </w:tbl>
    <w:p w14:paraId="66EAC01F" w14:textId="77777777" w:rsidR="0034495B" w:rsidRDefault="0034495B">
      <w:pPr>
        <w:spacing w:line="270" w:lineRule="atLeast"/>
        <w:rPr>
          <w:sz w:val="24"/>
        </w:rPr>
        <w:sectPr w:rsidR="0034495B">
          <w:pgSz w:w="11910" w:h="16840"/>
          <w:pgMar w:top="1340" w:right="1680" w:bottom="280" w:left="1680" w:header="717" w:footer="0" w:gutter="0"/>
          <w:cols w:space="720"/>
        </w:sectPr>
      </w:pPr>
    </w:p>
    <w:p w14:paraId="56D9592D" w14:textId="77777777" w:rsidR="0034495B" w:rsidRDefault="00696754">
      <w:pPr>
        <w:pStyle w:val="BodyText"/>
        <w:spacing w:before="80"/>
        <w:ind w:left="289" w:right="7"/>
        <w:jc w:val="center"/>
      </w:pPr>
      <w:r>
        <w:lastRenderedPageBreak/>
        <w:t>Nota wyjaśniająca</w:t>
      </w:r>
    </w:p>
    <w:p w14:paraId="6B3EED1C" w14:textId="77777777" w:rsidR="0034495B" w:rsidRDefault="0034495B">
      <w:pPr>
        <w:pStyle w:val="BodyText"/>
        <w:spacing w:before="0"/>
      </w:pPr>
    </w:p>
    <w:p w14:paraId="681B3C3D" w14:textId="77777777" w:rsidR="0034495B" w:rsidRDefault="00696754">
      <w:pPr>
        <w:ind w:left="289" w:right="6"/>
        <w:jc w:val="center"/>
        <w:rPr>
          <w:sz w:val="24"/>
        </w:rPr>
      </w:pPr>
      <w:r>
        <w:rPr>
          <w:sz w:val="24"/>
        </w:rPr>
        <w:t>(</w:t>
      </w:r>
      <w:r>
        <w:rPr>
          <w:i/>
          <w:sz w:val="24"/>
        </w:rPr>
        <w:t>Niniejsza nota nie stanowi części instrumentu prawnego ani jego wykładni prawnej</w:t>
      </w:r>
      <w:r>
        <w:rPr>
          <w:sz w:val="24"/>
        </w:rPr>
        <w:t>)</w:t>
      </w:r>
    </w:p>
    <w:p w14:paraId="77E2CDBE" w14:textId="77777777" w:rsidR="0034495B" w:rsidRDefault="0034495B">
      <w:pPr>
        <w:pStyle w:val="BodyText"/>
        <w:spacing w:before="5"/>
        <w:rPr>
          <w:sz w:val="34"/>
        </w:rPr>
      </w:pPr>
    </w:p>
    <w:p w14:paraId="52FBED34" w14:textId="77777777" w:rsidR="0034495B" w:rsidRDefault="00696754">
      <w:pPr>
        <w:pStyle w:val="BodyText"/>
        <w:spacing w:before="0"/>
        <w:ind w:left="588" w:right="306"/>
        <w:jc w:val="both"/>
      </w:pPr>
      <w:r>
        <w:t>Celem przepisów jest uregulowanie sprzedaży i dystrybucji paliwa stałego stosowanego do ogrzewania pomieszczeń lub wody w pomieszczeniach domowych lub lokalach z koncesją (takich jak puby lub hotele). Paliwo stałe może być dystrybuowane wyłącznie jako zatwierdzone paliwo stałe, które spełnia wymagania określone w przepisach.</w:t>
      </w:r>
    </w:p>
    <w:p w14:paraId="25C7D569" w14:textId="77777777" w:rsidR="0034495B" w:rsidRDefault="0034495B">
      <w:pPr>
        <w:pStyle w:val="BodyText"/>
        <w:spacing w:before="0"/>
        <w:rPr>
          <w:sz w:val="26"/>
        </w:rPr>
      </w:pPr>
    </w:p>
    <w:p w14:paraId="7E52D7BC" w14:textId="77777777" w:rsidR="0034495B" w:rsidRDefault="00696754">
      <w:pPr>
        <w:pStyle w:val="BodyText"/>
        <w:spacing w:before="217"/>
        <w:ind w:left="588" w:right="309"/>
        <w:jc w:val="both"/>
      </w:pPr>
      <w:r>
        <w:t>Art. 1 to cytat (tytuł) i rozpoczęcie. Przepisy wchodzą w życie z dniem 31 października 2022 r.</w:t>
      </w:r>
    </w:p>
    <w:p w14:paraId="4B2B4926" w14:textId="77777777" w:rsidR="0034495B" w:rsidRDefault="0034495B">
      <w:pPr>
        <w:pStyle w:val="BodyText"/>
        <w:spacing w:before="0"/>
        <w:rPr>
          <w:sz w:val="26"/>
        </w:rPr>
      </w:pPr>
    </w:p>
    <w:p w14:paraId="56A20867" w14:textId="77777777" w:rsidR="0034495B" w:rsidRDefault="00696754">
      <w:pPr>
        <w:pStyle w:val="BodyText"/>
        <w:spacing w:before="218"/>
        <w:ind w:left="588" w:right="306"/>
        <w:jc w:val="both"/>
      </w:pPr>
      <w:r>
        <w:t>Art. 2 zawiera interpretację słów i zwrotów użytych w przepisach.</w:t>
      </w:r>
    </w:p>
    <w:p w14:paraId="212929D7" w14:textId="77777777" w:rsidR="0034495B" w:rsidRDefault="0034495B">
      <w:pPr>
        <w:pStyle w:val="BodyText"/>
        <w:spacing w:before="0"/>
        <w:rPr>
          <w:sz w:val="26"/>
        </w:rPr>
      </w:pPr>
    </w:p>
    <w:p w14:paraId="4336EF74" w14:textId="77777777" w:rsidR="0034495B" w:rsidRDefault="00696754">
      <w:pPr>
        <w:pStyle w:val="BodyText"/>
        <w:spacing w:before="217"/>
        <w:ind w:left="588" w:right="306"/>
        <w:jc w:val="both"/>
      </w:pPr>
      <w:r>
        <w:t>Art. 3 zakazuje dystrybucji lub sprzedaży paliwa stałego do ogrzewania domów lub lokali z koncesją, takich jak puby lub hotele, które nie jest homologowanym paliwem zgodnie z wymaganiami technicznymi określonymi w art. 5.</w:t>
      </w:r>
    </w:p>
    <w:p w14:paraId="2D8D0085" w14:textId="77777777" w:rsidR="0034495B" w:rsidRDefault="0034495B">
      <w:pPr>
        <w:pStyle w:val="BodyText"/>
        <w:spacing w:before="0"/>
        <w:rPr>
          <w:sz w:val="26"/>
        </w:rPr>
      </w:pPr>
    </w:p>
    <w:p w14:paraId="1559BDD1" w14:textId="77777777" w:rsidR="0034495B" w:rsidRDefault="00696754">
      <w:pPr>
        <w:pStyle w:val="BodyText"/>
        <w:spacing w:before="217"/>
        <w:ind w:left="588" w:right="305"/>
        <w:jc w:val="both"/>
      </w:pPr>
      <w:r>
        <w:t>Art. 4 zakazuje sprzedaży torfu za pośrednictwem internetowych kanałów sprzedaży, lokali handlowych lub innych miejsc publicznych, ale zezwala wyłącznie osobom posiadającym prawa w odniesieniu do wycinania torfu na dystrybucję torfu wśród innych osób zgodnie z tradycyjnymi zwyczajowymi praktykami.</w:t>
      </w:r>
    </w:p>
    <w:p w14:paraId="2ED3CA0D" w14:textId="77777777" w:rsidR="0034495B" w:rsidRDefault="0034495B">
      <w:pPr>
        <w:pStyle w:val="BodyText"/>
        <w:spacing w:before="0"/>
        <w:rPr>
          <w:sz w:val="26"/>
        </w:rPr>
      </w:pPr>
    </w:p>
    <w:p w14:paraId="0DFB275F" w14:textId="77777777" w:rsidR="0034495B" w:rsidRDefault="00696754">
      <w:pPr>
        <w:pStyle w:val="BodyText"/>
        <w:spacing w:before="217"/>
        <w:ind w:left="588" w:right="301"/>
        <w:jc w:val="both"/>
      </w:pPr>
      <w:r>
        <w:t>Art. 5 wprowadza nowe wymagania techniczne, które będą miały zastosowanie do paliw stałych wprowadzanych do obrotu, sprzedawanych lub dystrybuowanych w całym kraju w celu wykorzystania w pomieszczeniach domowych i lokalach z koncesją.</w:t>
      </w:r>
    </w:p>
    <w:p w14:paraId="77222866" w14:textId="77777777" w:rsidR="0034495B" w:rsidRDefault="0034495B">
      <w:pPr>
        <w:pStyle w:val="BodyText"/>
        <w:spacing w:before="0"/>
        <w:rPr>
          <w:sz w:val="26"/>
        </w:rPr>
      </w:pPr>
    </w:p>
    <w:p w14:paraId="7474B66E" w14:textId="77777777" w:rsidR="0034495B" w:rsidRDefault="00696754">
      <w:pPr>
        <w:pStyle w:val="BodyText"/>
        <w:spacing w:before="218"/>
        <w:ind w:left="588" w:right="306"/>
        <w:jc w:val="both"/>
      </w:pPr>
      <w:r>
        <w:t>Art. 6 zobowiązuje producenta do zarejestrowania się w rejestrze paliw EPA w celu wprowadzenia paliwa stałego na rynek, jego produkcji lub dystrybucji. Określa informacje i opłatę wymagane przy składaniu wniosku o rejestrację, okres ważności rejestracji oraz wymagania dotyczące umieszczania szczegółów rejestracji.</w:t>
      </w:r>
    </w:p>
    <w:p w14:paraId="3C879106" w14:textId="77777777" w:rsidR="0034495B" w:rsidRDefault="0034495B">
      <w:pPr>
        <w:pStyle w:val="BodyText"/>
        <w:spacing w:before="0"/>
        <w:rPr>
          <w:sz w:val="26"/>
        </w:rPr>
      </w:pPr>
    </w:p>
    <w:p w14:paraId="37D35EC8" w14:textId="77777777" w:rsidR="0034495B" w:rsidRDefault="00696754">
      <w:pPr>
        <w:pStyle w:val="BodyText"/>
        <w:spacing w:before="217"/>
        <w:ind w:left="588"/>
        <w:jc w:val="both"/>
      </w:pPr>
      <w:r>
        <w:t>Art. 7 i 8 określają obowiązki producentów i sprzedawców detalicznych.</w:t>
      </w:r>
    </w:p>
    <w:p w14:paraId="42E8030F" w14:textId="77777777" w:rsidR="0034495B" w:rsidRDefault="0034495B">
      <w:pPr>
        <w:pStyle w:val="BodyText"/>
        <w:spacing w:before="0"/>
        <w:rPr>
          <w:sz w:val="26"/>
        </w:rPr>
      </w:pPr>
    </w:p>
    <w:p w14:paraId="59CA3F93" w14:textId="77777777" w:rsidR="0034495B" w:rsidRDefault="00696754">
      <w:pPr>
        <w:pStyle w:val="BodyText"/>
        <w:spacing w:before="217"/>
        <w:ind w:left="588" w:right="306"/>
        <w:jc w:val="both"/>
      </w:pPr>
      <w:r>
        <w:t>Art. 9 określa obowiązki wszystkich osób zaangażowanych w transport paliwa stałego.</w:t>
      </w:r>
    </w:p>
    <w:p w14:paraId="3EF5BE2C" w14:textId="77777777" w:rsidR="0034495B" w:rsidRDefault="0034495B">
      <w:pPr>
        <w:pStyle w:val="BodyText"/>
        <w:spacing w:before="0"/>
        <w:rPr>
          <w:sz w:val="26"/>
        </w:rPr>
      </w:pPr>
    </w:p>
    <w:p w14:paraId="748D7AAB" w14:textId="77777777" w:rsidR="0034495B" w:rsidRDefault="00696754">
      <w:pPr>
        <w:pStyle w:val="BodyText"/>
        <w:spacing w:before="217"/>
        <w:ind w:left="588" w:right="307"/>
        <w:jc w:val="both"/>
      </w:pPr>
      <w:r>
        <w:t>Art. 10 przewiduje proces certyfikacji, który ma zapewnić, że wszystkie paliwa wprowadzone na rynek spełniają nowe normy techniczne.</w:t>
      </w:r>
    </w:p>
    <w:p w14:paraId="72A7E668" w14:textId="77777777" w:rsidR="0034495B" w:rsidRDefault="0034495B">
      <w:pPr>
        <w:jc w:val="both"/>
        <w:sectPr w:rsidR="0034495B">
          <w:pgSz w:w="11910" w:h="16840"/>
          <w:pgMar w:top="1340" w:right="1680" w:bottom="280" w:left="1680" w:header="717" w:footer="0" w:gutter="0"/>
          <w:cols w:space="720"/>
        </w:sectPr>
      </w:pPr>
    </w:p>
    <w:p w14:paraId="2E3F2063" w14:textId="77777777" w:rsidR="0034495B" w:rsidRDefault="00696754">
      <w:pPr>
        <w:pStyle w:val="BodyText"/>
        <w:spacing w:before="80" w:line="688" w:lineRule="auto"/>
        <w:ind w:left="305" w:right="1066"/>
      </w:pPr>
      <w:r>
        <w:lastRenderedPageBreak/>
        <w:t>Art. 11 określa wymagania dotyczące etykietowania opakowań paliw stałych. Art. 12 określa środki egzekwowania przepisów przez upoważnione osoby.</w:t>
      </w:r>
    </w:p>
    <w:p w14:paraId="46CA5280" w14:textId="77777777" w:rsidR="0034495B" w:rsidRDefault="00696754">
      <w:pPr>
        <w:pStyle w:val="BodyText"/>
        <w:spacing w:before="0"/>
        <w:ind w:left="305" w:right="587"/>
      </w:pPr>
      <w:r>
        <w:t>Art. 13 określa badania laboratoryjne próbek pobranych przez upoważnione osoby.</w:t>
      </w:r>
    </w:p>
    <w:p w14:paraId="5ACBDEDA" w14:textId="77777777" w:rsidR="0034495B" w:rsidRDefault="0034495B">
      <w:pPr>
        <w:pStyle w:val="BodyText"/>
        <w:spacing w:before="0"/>
        <w:rPr>
          <w:sz w:val="26"/>
        </w:rPr>
      </w:pPr>
    </w:p>
    <w:p w14:paraId="5A312FAE" w14:textId="77777777" w:rsidR="0034495B" w:rsidRDefault="00696754">
      <w:pPr>
        <w:pStyle w:val="BodyText"/>
        <w:spacing w:before="217"/>
        <w:ind w:left="305"/>
      </w:pPr>
      <w:r>
        <w:t>Art. 14 uchyla poprzednie przepisy w odniesieniu do paliw stałych.</w:t>
      </w:r>
    </w:p>
    <w:p w14:paraId="2BFF01ED" w14:textId="77777777" w:rsidR="0034495B" w:rsidRDefault="0034495B">
      <w:pPr>
        <w:sectPr w:rsidR="0034495B">
          <w:pgSz w:w="11910" w:h="16840"/>
          <w:pgMar w:top="1340" w:right="1680" w:bottom="280" w:left="1680" w:header="717" w:footer="0" w:gutter="0"/>
          <w:cols w:space="720"/>
        </w:sectPr>
      </w:pPr>
    </w:p>
    <w:p w14:paraId="70F9A129" w14:textId="77777777" w:rsidR="0034495B" w:rsidRDefault="0034495B">
      <w:pPr>
        <w:pStyle w:val="BodyText"/>
        <w:spacing w:before="0"/>
        <w:rPr>
          <w:sz w:val="20"/>
        </w:rPr>
      </w:pPr>
    </w:p>
    <w:p w14:paraId="33A88759" w14:textId="77777777" w:rsidR="0034495B" w:rsidRDefault="0034495B">
      <w:pPr>
        <w:pStyle w:val="BodyText"/>
        <w:spacing w:before="0"/>
        <w:rPr>
          <w:sz w:val="20"/>
        </w:rPr>
      </w:pPr>
    </w:p>
    <w:p w14:paraId="635D3912" w14:textId="77777777" w:rsidR="0034495B" w:rsidRDefault="0034495B">
      <w:pPr>
        <w:pStyle w:val="BodyText"/>
        <w:spacing w:before="0"/>
        <w:rPr>
          <w:sz w:val="20"/>
        </w:rPr>
      </w:pPr>
    </w:p>
    <w:p w14:paraId="0A635C48" w14:textId="77777777" w:rsidR="0034495B" w:rsidRDefault="0034495B">
      <w:pPr>
        <w:pStyle w:val="BodyText"/>
        <w:spacing w:before="0"/>
        <w:rPr>
          <w:sz w:val="20"/>
        </w:rPr>
      </w:pPr>
    </w:p>
    <w:p w14:paraId="20D7E97C" w14:textId="77777777" w:rsidR="0034495B" w:rsidRDefault="0034495B">
      <w:pPr>
        <w:pStyle w:val="BodyText"/>
        <w:spacing w:before="0"/>
        <w:rPr>
          <w:sz w:val="20"/>
        </w:rPr>
      </w:pPr>
    </w:p>
    <w:p w14:paraId="1624FDC9" w14:textId="77777777" w:rsidR="0034495B" w:rsidRDefault="0034495B">
      <w:pPr>
        <w:pStyle w:val="BodyText"/>
        <w:spacing w:before="0"/>
        <w:rPr>
          <w:sz w:val="20"/>
        </w:rPr>
      </w:pPr>
    </w:p>
    <w:p w14:paraId="2428C34A" w14:textId="77777777" w:rsidR="0034495B" w:rsidRDefault="0034495B">
      <w:pPr>
        <w:pStyle w:val="BodyText"/>
        <w:spacing w:before="0"/>
        <w:rPr>
          <w:sz w:val="20"/>
        </w:rPr>
      </w:pPr>
    </w:p>
    <w:p w14:paraId="4AD8BB5C" w14:textId="77777777" w:rsidR="0034495B" w:rsidRDefault="0034495B">
      <w:pPr>
        <w:pStyle w:val="BodyText"/>
        <w:spacing w:before="0"/>
        <w:rPr>
          <w:sz w:val="20"/>
        </w:rPr>
      </w:pPr>
    </w:p>
    <w:p w14:paraId="77988B37" w14:textId="77777777" w:rsidR="0034495B" w:rsidRDefault="0034495B">
      <w:pPr>
        <w:pStyle w:val="BodyText"/>
        <w:spacing w:before="0"/>
        <w:rPr>
          <w:sz w:val="20"/>
        </w:rPr>
      </w:pPr>
    </w:p>
    <w:p w14:paraId="3221B22B" w14:textId="77777777" w:rsidR="0034495B" w:rsidRDefault="0034495B">
      <w:pPr>
        <w:pStyle w:val="BodyText"/>
        <w:spacing w:before="0"/>
        <w:rPr>
          <w:sz w:val="20"/>
        </w:rPr>
      </w:pPr>
    </w:p>
    <w:p w14:paraId="51BCF8C2" w14:textId="77777777" w:rsidR="0034495B" w:rsidRDefault="0034495B">
      <w:pPr>
        <w:pStyle w:val="BodyText"/>
        <w:spacing w:before="0"/>
        <w:rPr>
          <w:sz w:val="20"/>
        </w:rPr>
      </w:pPr>
    </w:p>
    <w:p w14:paraId="599FFBD9" w14:textId="77777777" w:rsidR="0034495B" w:rsidRDefault="0034495B">
      <w:pPr>
        <w:pStyle w:val="BodyText"/>
        <w:spacing w:before="0"/>
        <w:rPr>
          <w:sz w:val="20"/>
        </w:rPr>
      </w:pPr>
    </w:p>
    <w:p w14:paraId="698D97B6" w14:textId="77777777" w:rsidR="0034495B" w:rsidRDefault="0034495B">
      <w:pPr>
        <w:pStyle w:val="BodyText"/>
        <w:spacing w:before="0"/>
        <w:rPr>
          <w:sz w:val="20"/>
        </w:rPr>
      </w:pPr>
    </w:p>
    <w:p w14:paraId="7801FFD3" w14:textId="77777777" w:rsidR="0034495B" w:rsidRDefault="0034495B">
      <w:pPr>
        <w:pStyle w:val="BodyText"/>
        <w:spacing w:before="0"/>
        <w:rPr>
          <w:sz w:val="19"/>
        </w:rPr>
      </w:pPr>
    </w:p>
    <w:p w14:paraId="7FC03244" w14:textId="77777777" w:rsidR="0034495B" w:rsidRDefault="00696754">
      <w:pPr>
        <w:spacing w:before="91"/>
        <w:ind w:left="289" w:right="12"/>
        <w:jc w:val="center"/>
        <w:rPr>
          <w:sz w:val="20"/>
        </w:rPr>
      </w:pPr>
      <w:r>
        <w:rPr>
          <w:sz w:val="20"/>
        </w:rPr>
        <w:t>BAILE ÁTHA CLIATH</w:t>
      </w:r>
    </w:p>
    <w:p w14:paraId="0B555B35" w14:textId="77777777" w:rsidR="0034495B" w:rsidRDefault="00696754">
      <w:pPr>
        <w:spacing w:before="1"/>
        <w:ind w:left="289" w:right="11"/>
        <w:jc w:val="center"/>
        <w:rPr>
          <w:sz w:val="20"/>
        </w:rPr>
      </w:pPr>
      <w:r>
        <w:rPr>
          <w:sz w:val="20"/>
        </w:rPr>
        <w:t>ARNA FHOILSIÚ AG OIFIG AN tSOLÁTHAIR</w:t>
      </w:r>
    </w:p>
    <w:p w14:paraId="6498C782" w14:textId="77777777" w:rsidR="0034495B" w:rsidRDefault="00696754">
      <w:pPr>
        <w:spacing w:before="1"/>
        <w:ind w:left="2921" w:right="2638" w:firstLine="2"/>
        <w:jc w:val="center"/>
        <w:rPr>
          <w:sz w:val="20"/>
        </w:rPr>
      </w:pPr>
      <w:r>
        <w:rPr>
          <w:sz w:val="20"/>
        </w:rPr>
        <w:t>Le ceannach díreach ó FOILSEACHÁIN RIALTAIS, BÓTHAR BHAILE UÍ BHEOLÁIN, CILL MHAIGHNEANN,</w:t>
      </w:r>
    </w:p>
    <w:p w14:paraId="542ABC76" w14:textId="77777777" w:rsidR="0034495B" w:rsidRDefault="00696754">
      <w:pPr>
        <w:ind w:left="3327" w:right="3043"/>
        <w:jc w:val="center"/>
        <w:rPr>
          <w:sz w:val="20"/>
        </w:rPr>
      </w:pPr>
      <w:r>
        <w:rPr>
          <w:sz w:val="20"/>
        </w:rPr>
        <w:t>BAILE ÁTHA CLIATH 8, D08 XAO6</w:t>
      </w:r>
    </w:p>
    <w:p w14:paraId="068CECD6" w14:textId="77777777" w:rsidR="0034495B" w:rsidRDefault="0034495B">
      <w:pPr>
        <w:pStyle w:val="BodyText"/>
        <w:spacing w:before="0"/>
        <w:rPr>
          <w:sz w:val="20"/>
        </w:rPr>
      </w:pPr>
    </w:p>
    <w:p w14:paraId="67668BC8" w14:textId="77777777" w:rsidR="0034495B" w:rsidRDefault="00696754">
      <w:pPr>
        <w:ind w:left="289" w:right="5"/>
        <w:jc w:val="center"/>
        <w:rPr>
          <w:sz w:val="20"/>
        </w:rPr>
      </w:pPr>
      <w:r>
        <w:rPr>
          <w:sz w:val="20"/>
        </w:rPr>
        <w:t>Teil: 046 942 3100</w:t>
      </w:r>
    </w:p>
    <w:p w14:paraId="640D60C7" w14:textId="77777777" w:rsidR="0034495B" w:rsidRPr="00BC3BE2" w:rsidRDefault="00696754">
      <w:pPr>
        <w:spacing w:before="1" w:line="229" w:lineRule="exact"/>
        <w:ind w:left="289" w:right="6"/>
        <w:jc w:val="center"/>
        <w:rPr>
          <w:sz w:val="20"/>
          <w:lang w:val="en-US"/>
        </w:rPr>
      </w:pPr>
      <w:r w:rsidRPr="00BC3BE2">
        <w:rPr>
          <w:sz w:val="20"/>
          <w:lang w:val="en-US"/>
        </w:rPr>
        <w:t>r-</w:t>
      </w:r>
      <w:proofErr w:type="spellStart"/>
      <w:r w:rsidRPr="00BC3BE2">
        <w:rPr>
          <w:sz w:val="20"/>
          <w:lang w:val="en-US"/>
        </w:rPr>
        <w:t>phost</w:t>
      </w:r>
      <w:proofErr w:type="spellEnd"/>
      <w:r w:rsidRPr="00BC3BE2">
        <w:rPr>
          <w:sz w:val="20"/>
          <w:lang w:val="en-US"/>
        </w:rPr>
        <w:t xml:space="preserve">: </w:t>
      </w:r>
      <w:hyperlink r:id="rId14">
        <w:r w:rsidRPr="00BC3BE2">
          <w:rPr>
            <w:sz w:val="20"/>
            <w:lang w:val="en-US"/>
          </w:rPr>
          <w:t>publications@opw.ie</w:t>
        </w:r>
      </w:hyperlink>
    </w:p>
    <w:p w14:paraId="7046AC6C" w14:textId="77777777" w:rsidR="0034495B" w:rsidRPr="00BC3BE2" w:rsidRDefault="00696754">
      <w:pPr>
        <w:spacing w:line="229" w:lineRule="exact"/>
        <w:ind w:left="289" w:right="9"/>
        <w:jc w:val="center"/>
        <w:rPr>
          <w:sz w:val="20"/>
          <w:lang w:val="en-US"/>
        </w:rPr>
      </w:pPr>
      <w:r w:rsidRPr="00BC3BE2">
        <w:rPr>
          <w:sz w:val="20"/>
          <w:lang w:val="en-US"/>
        </w:rPr>
        <w:t>——————</w:t>
      </w:r>
    </w:p>
    <w:p w14:paraId="6251AE48" w14:textId="77777777" w:rsidR="0034495B" w:rsidRPr="00BC3BE2" w:rsidRDefault="0034495B">
      <w:pPr>
        <w:pStyle w:val="BodyText"/>
        <w:spacing w:before="0"/>
        <w:rPr>
          <w:sz w:val="22"/>
          <w:lang w:val="en-US"/>
        </w:rPr>
      </w:pPr>
    </w:p>
    <w:p w14:paraId="7297F484" w14:textId="77777777" w:rsidR="0034495B" w:rsidRPr="00BC3BE2" w:rsidRDefault="0034495B">
      <w:pPr>
        <w:pStyle w:val="BodyText"/>
        <w:spacing w:before="1"/>
        <w:rPr>
          <w:sz w:val="18"/>
          <w:lang w:val="en-US"/>
        </w:rPr>
      </w:pPr>
    </w:p>
    <w:p w14:paraId="4A8C6F87" w14:textId="77777777" w:rsidR="0034495B" w:rsidRPr="00BC3BE2" w:rsidRDefault="00696754">
      <w:pPr>
        <w:ind w:left="289" w:right="7"/>
        <w:jc w:val="center"/>
        <w:rPr>
          <w:sz w:val="20"/>
          <w:lang w:val="en-US"/>
        </w:rPr>
      </w:pPr>
      <w:r w:rsidRPr="00BC3BE2">
        <w:rPr>
          <w:sz w:val="20"/>
          <w:lang w:val="en-US"/>
        </w:rPr>
        <w:t>DUBLIN</w:t>
      </w:r>
    </w:p>
    <w:p w14:paraId="089F6663" w14:textId="77777777" w:rsidR="0034495B" w:rsidRPr="00BC3BE2" w:rsidRDefault="00696754">
      <w:pPr>
        <w:ind w:left="289" w:right="13"/>
        <w:jc w:val="center"/>
        <w:rPr>
          <w:sz w:val="20"/>
          <w:lang w:val="en-US"/>
        </w:rPr>
      </w:pPr>
      <w:r w:rsidRPr="00BC3BE2">
        <w:rPr>
          <w:sz w:val="20"/>
          <w:lang w:val="en-US"/>
        </w:rPr>
        <w:t>OPUBLIKOWANE PRZEZ STATIONERY OFFICE</w:t>
      </w:r>
    </w:p>
    <w:p w14:paraId="66279D5C" w14:textId="77777777" w:rsidR="0034495B" w:rsidRPr="00BC3BE2" w:rsidRDefault="00696754">
      <w:pPr>
        <w:spacing w:before="1"/>
        <w:ind w:left="2943" w:right="2657" w:hanging="3"/>
        <w:jc w:val="center"/>
        <w:rPr>
          <w:sz w:val="20"/>
          <w:lang w:val="en-US"/>
        </w:rPr>
      </w:pPr>
      <w:proofErr w:type="spellStart"/>
      <w:r w:rsidRPr="00BC3BE2">
        <w:rPr>
          <w:sz w:val="20"/>
          <w:lang w:val="en-US"/>
        </w:rPr>
        <w:t>Można</w:t>
      </w:r>
      <w:proofErr w:type="spellEnd"/>
      <w:r w:rsidRPr="00BC3BE2">
        <w:rPr>
          <w:sz w:val="20"/>
          <w:lang w:val="en-US"/>
        </w:rPr>
        <w:t xml:space="preserve"> </w:t>
      </w:r>
      <w:proofErr w:type="spellStart"/>
      <w:r w:rsidRPr="00BC3BE2">
        <w:rPr>
          <w:sz w:val="20"/>
          <w:lang w:val="en-US"/>
        </w:rPr>
        <w:t>nabyć</w:t>
      </w:r>
      <w:proofErr w:type="spellEnd"/>
      <w:r w:rsidRPr="00BC3BE2">
        <w:rPr>
          <w:sz w:val="20"/>
          <w:lang w:val="en-US"/>
        </w:rPr>
        <w:t xml:space="preserve"> w GOVERNMENT PUBLICATIONS, MOUNTSHANNON ROAD, KILMAINHAM, DUBLIN 8,</w:t>
      </w:r>
    </w:p>
    <w:p w14:paraId="18CCB182" w14:textId="77777777" w:rsidR="0034495B" w:rsidRPr="00BC3BE2" w:rsidRDefault="00696754">
      <w:pPr>
        <w:spacing w:line="230" w:lineRule="exact"/>
        <w:ind w:left="289" w:right="7"/>
        <w:jc w:val="center"/>
        <w:rPr>
          <w:sz w:val="20"/>
          <w:lang w:val="it-IT"/>
        </w:rPr>
      </w:pPr>
      <w:r w:rsidRPr="00BC3BE2">
        <w:rPr>
          <w:sz w:val="20"/>
          <w:lang w:val="it-IT"/>
        </w:rPr>
        <w:t>D08 XAO6</w:t>
      </w:r>
    </w:p>
    <w:p w14:paraId="7FC28EF5" w14:textId="77777777" w:rsidR="0034495B" w:rsidRPr="009946F9" w:rsidRDefault="0034495B">
      <w:pPr>
        <w:pStyle w:val="BodyText"/>
        <w:spacing w:before="1"/>
        <w:rPr>
          <w:sz w:val="20"/>
          <w:lang w:val="it-IT"/>
        </w:rPr>
      </w:pPr>
    </w:p>
    <w:p w14:paraId="65F338D3" w14:textId="77777777" w:rsidR="0034495B" w:rsidRPr="00BC3BE2" w:rsidRDefault="00696754">
      <w:pPr>
        <w:spacing w:line="229" w:lineRule="exact"/>
        <w:ind w:left="289" w:right="5"/>
        <w:jc w:val="center"/>
        <w:rPr>
          <w:sz w:val="20"/>
          <w:lang w:val="it-IT"/>
        </w:rPr>
      </w:pPr>
      <w:r w:rsidRPr="00BC3BE2">
        <w:rPr>
          <w:sz w:val="20"/>
          <w:lang w:val="it-IT"/>
        </w:rPr>
        <w:t>Tel.: 046 942 3100</w:t>
      </w:r>
    </w:p>
    <w:p w14:paraId="3ED7DF2D" w14:textId="77777777" w:rsidR="0034495B" w:rsidRPr="00BC3BE2" w:rsidRDefault="00696754">
      <w:pPr>
        <w:spacing w:line="229" w:lineRule="exact"/>
        <w:ind w:left="289" w:right="4"/>
        <w:jc w:val="center"/>
        <w:rPr>
          <w:sz w:val="20"/>
          <w:lang w:val="it-IT"/>
        </w:rPr>
      </w:pPr>
      <w:r w:rsidRPr="00BC3BE2">
        <w:rPr>
          <w:sz w:val="20"/>
          <w:lang w:val="it-IT"/>
        </w:rPr>
        <w:t xml:space="preserve">E-mail: </w:t>
      </w:r>
      <w:hyperlink r:id="rId15">
        <w:r w:rsidRPr="00BC3BE2">
          <w:rPr>
            <w:sz w:val="20"/>
            <w:lang w:val="it-IT"/>
          </w:rPr>
          <w:t>publications@opw.ie</w:t>
        </w:r>
      </w:hyperlink>
    </w:p>
    <w:p w14:paraId="7A99AA18" w14:textId="77777777" w:rsidR="0034495B" w:rsidRDefault="00696754">
      <w:pPr>
        <w:ind w:left="289" w:right="9"/>
        <w:jc w:val="center"/>
        <w:rPr>
          <w:sz w:val="20"/>
        </w:rPr>
      </w:pPr>
      <w:r>
        <w:rPr>
          <w:sz w:val="20"/>
        </w:rPr>
        <w:t>——————</w:t>
      </w:r>
    </w:p>
    <w:p w14:paraId="741F585F" w14:textId="77777777" w:rsidR="0034495B" w:rsidRDefault="0034495B">
      <w:pPr>
        <w:pStyle w:val="BodyText"/>
        <w:spacing w:before="0"/>
        <w:rPr>
          <w:sz w:val="20"/>
        </w:rPr>
      </w:pPr>
    </w:p>
    <w:p w14:paraId="718E25E0" w14:textId="77777777" w:rsidR="0034495B" w:rsidRDefault="0034495B">
      <w:pPr>
        <w:pStyle w:val="BodyText"/>
        <w:spacing w:before="0"/>
        <w:rPr>
          <w:sz w:val="20"/>
        </w:rPr>
      </w:pPr>
    </w:p>
    <w:p w14:paraId="754FFBD5" w14:textId="77777777" w:rsidR="0034495B" w:rsidRDefault="0034495B">
      <w:pPr>
        <w:pStyle w:val="BodyText"/>
        <w:spacing w:before="0"/>
        <w:rPr>
          <w:sz w:val="20"/>
        </w:rPr>
      </w:pPr>
    </w:p>
    <w:p w14:paraId="187D0528" w14:textId="77777777" w:rsidR="0034495B" w:rsidRDefault="0034495B">
      <w:pPr>
        <w:pStyle w:val="BodyText"/>
        <w:spacing w:before="0"/>
        <w:rPr>
          <w:sz w:val="20"/>
        </w:rPr>
      </w:pPr>
    </w:p>
    <w:p w14:paraId="0F3B7CDE" w14:textId="77777777" w:rsidR="0034495B" w:rsidRDefault="0034495B">
      <w:pPr>
        <w:pStyle w:val="BodyText"/>
        <w:spacing w:before="0"/>
        <w:rPr>
          <w:sz w:val="20"/>
        </w:rPr>
      </w:pPr>
    </w:p>
    <w:p w14:paraId="78320000" w14:textId="77777777" w:rsidR="0034495B" w:rsidRDefault="0034495B">
      <w:pPr>
        <w:pStyle w:val="BodyText"/>
        <w:spacing w:before="0"/>
        <w:rPr>
          <w:sz w:val="20"/>
        </w:rPr>
      </w:pPr>
    </w:p>
    <w:p w14:paraId="3136F869" w14:textId="77777777" w:rsidR="0034495B" w:rsidRDefault="0034495B">
      <w:pPr>
        <w:pStyle w:val="BodyText"/>
        <w:spacing w:before="10"/>
        <w:rPr>
          <w:sz w:val="19"/>
        </w:rPr>
      </w:pPr>
    </w:p>
    <w:p w14:paraId="24E4AA17" w14:textId="77777777" w:rsidR="0034495B" w:rsidRDefault="00696754">
      <w:pPr>
        <w:ind w:left="1759"/>
        <w:rPr>
          <w:sz w:val="20"/>
        </w:rPr>
      </w:pPr>
      <w:r>
        <w:rPr>
          <w:noProof/>
        </w:rPr>
        <w:drawing>
          <wp:anchor distT="0" distB="0" distL="0" distR="0" simplePos="0" relativeHeight="251656704" behindDoc="0" locked="0" layoutInCell="1" allowOverlap="1" wp14:anchorId="5437843B" wp14:editId="70D8B24F">
            <wp:simplePos x="0" y="0"/>
            <wp:positionH relativeFrom="page">
              <wp:posOffset>4470019</wp:posOffset>
            </wp:positionH>
            <wp:positionV relativeFrom="paragraph">
              <wp:posOffset>-729692</wp:posOffset>
            </wp:positionV>
            <wp:extent cx="1085850" cy="847242"/>
            <wp:effectExtent l="0" t="0" r="0" b="0"/>
            <wp:wrapNone/>
            <wp:docPr id="5" name="image3.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085850" cy="847242"/>
                    </a:xfrm>
                    <a:prstGeom prst="rect">
                      <a:avLst/>
                    </a:prstGeom>
                  </pic:spPr>
                </pic:pic>
              </a:graphicData>
            </a:graphic>
          </wp:anchor>
        </w:drawing>
      </w:r>
      <w:r>
        <w:rPr>
          <w:sz w:val="20"/>
        </w:rPr>
        <w:t>4,50 EUR</w:t>
      </w:r>
    </w:p>
    <w:p w14:paraId="735DF4F1" w14:textId="77777777" w:rsidR="0034495B" w:rsidRDefault="0034495B">
      <w:pPr>
        <w:pStyle w:val="BodyText"/>
        <w:spacing w:before="0"/>
        <w:rPr>
          <w:sz w:val="22"/>
        </w:rPr>
      </w:pPr>
    </w:p>
    <w:p w14:paraId="768AB16A" w14:textId="77777777" w:rsidR="0034495B" w:rsidRDefault="0034495B">
      <w:pPr>
        <w:pStyle w:val="BodyText"/>
        <w:spacing w:before="0"/>
        <w:rPr>
          <w:sz w:val="22"/>
        </w:rPr>
      </w:pPr>
    </w:p>
    <w:p w14:paraId="41C5370E" w14:textId="77777777" w:rsidR="0034495B" w:rsidRDefault="0034495B">
      <w:pPr>
        <w:pStyle w:val="BodyText"/>
        <w:spacing w:before="0"/>
        <w:rPr>
          <w:sz w:val="22"/>
        </w:rPr>
      </w:pPr>
    </w:p>
    <w:p w14:paraId="45DDDE31" w14:textId="77777777" w:rsidR="0034495B" w:rsidRDefault="00696754">
      <w:pPr>
        <w:spacing w:before="163"/>
        <w:ind w:left="588"/>
        <w:rPr>
          <w:sz w:val="16"/>
        </w:rPr>
      </w:pPr>
      <w:r>
        <w:rPr>
          <w:sz w:val="16"/>
        </w:rPr>
        <w:t>(AQ-12) 75. 10/22. Propylon.</w:t>
      </w:r>
    </w:p>
    <w:sectPr w:rsidR="0034495B">
      <w:pgSz w:w="11910" w:h="16840"/>
      <w:pgMar w:top="1340" w:right="1680" w:bottom="280" w:left="16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21BC" w14:textId="77777777" w:rsidR="00F10141" w:rsidRDefault="00F10141">
      <w:r>
        <w:separator/>
      </w:r>
    </w:p>
  </w:endnote>
  <w:endnote w:type="continuationSeparator" w:id="0">
    <w:p w14:paraId="330FB664" w14:textId="77777777" w:rsidR="00F10141" w:rsidRDefault="00F1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3156" w14:textId="77777777" w:rsidR="00F10141" w:rsidRDefault="00F10141">
      <w:r>
        <w:separator/>
      </w:r>
    </w:p>
  </w:footnote>
  <w:footnote w:type="continuationSeparator" w:id="0">
    <w:p w14:paraId="2D0FB8FF" w14:textId="77777777" w:rsidR="00F10141" w:rsidRDefault="00F1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FDD" w14:textId="6E65127D" w:rsidR="0034495B" w:rsidRDefault="007B0854">
    <w:pPr>
      <w:pStyle w:val="BodyText"/>
      <w:spacing w:before="0" w:line="14" w:lineRule="auto"/>
      <w:rPr>
        <w:sz w:val="20"/>
      </w:rPr>
    </w:pPr>
    <w:r>
      <w:rPr>
        <w:noProof/>
      </w:rPr>
      <mc:AlternateContent>
        <mc:Choice Requires="wps">
          <w:drawing>
            <wp:anchor distT="0" distB="0" distL="114300" distR="114300" simplePos="0" relativeHeight="487346688" behindDoc="1" locked="0" layoutInCell="1" allowOverlap="1" wp14:anchorId="1950566C" wp14:editId="132ADCCB">
              <wp:simplePos x="0" y="0"/>
              <wp:positionH relativeFrom="page">
                <wp:posOffset>1222375</wp:posOffset>
              </wp:positionH>
              <wp:positionV relativeFrom="page">
                <wp:posOffset>442595</wp:posOffset>
              </wp:positionV>
              <wp:extent cx="64770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E888" w14:textId="77777777" w:rsidR="0034495B" w:rsidRDefault="00696754">
                          <w:pPr>
                            <w:spacing w:before="10"/>
                            <w:ind w:left="60"/>
                            <w:rPr>
                              <w:b/>
                              <w:sz w:val="24"/>
                            </w:rPr>
                          </w:pPr>
                          <w:r>
                            <w:fldChar w:fldCharType="begin"/>
                          </w:r>
                          <w:r>
                            <w:rPr>
                              <w:sz w:val="24"/>
                            </w:rPr>
                            <w:instrText xml:space="preserve"> PAGE </w:instrText>
                          </w:r>
                          <w:r>
                            <w:fldChar w:fldCharType="separate"/>
                          </w:r>
                          <w:r>
                            <w:t>10</w:t>
                          </w:r>
                          <w:r>
                            <w:fldChar w:fldCharType="end"/>
                          </w:r>
                          <w:r>
                            <w:rPr>
                              <w:sz w:val="24"/>
                            </w:rPr>
                            <w:t xml:space="preserve"> </w:t>
                          </w:r>
                          <w:r>
                            <w:rPr>
                              <w:b/>
                              <w:sz w:val="24"/>
                            </w:rPr>
                            <w:t>[529]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566C" id="_x0000_t202" coordsize="21600,21600" o:spt="202" path="m,l,21600r21600,l21600,xe">
              <v:stroke joinstyle="miter"/>
              <v:path gradientshapeok="t" o:connecttype="rect"/>
            </v:shapetype>
            <v:shape id="_x0000_s1027" type="#_x0000_t202" style="position:absolute;margin-left:96.25pt;margin-top:34.85pt;width:51pt;height:15.3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" filled="f" stroked="f">
              <v:textbox inset="0,0,0,0">
                <w:txbxContent>
                  <w:p w14:paraId="1916E888" w14:textId="77777777" w:rsidR="0034495B" w:rsidRDefault="00696754">
                    <w:pPr>
                      <w:spacing w:before="10"/>
                      <w:ind w:left="60"/>
                      <w:rPr>
                        <w:b/>
                        <w:sz w:val="24"/>
                      </w:rPr>
                    </w:pPr>
                    <w:r>
                      <w:fldChar w:fldCharType="begin"/>
                    </w:r>
                    <w:r>
                      <w:rPr>
                        <w:sz w:val="24"/>
                      </w:rPr>
                      <w:instrText xml:space="preserve"> PAGE </w:instrText>
                    </w:r>
                    <w:r>
                      <w:fldChar w:fldCharType="separate"/>
                    </w:r>
                    <w:r>
                      <w:t>10</w:t>
                    </w:r>
                    <w:r>
                      <w:fldChar w:fldCharType="end"/>
                    </w:r>
                    <w:r>
                      <w:rPr>
                        <w:sz w:val="24"/>
                      </w:rPr>
                      <w:t xml:space="preserve"> </w:t>
                    </w:r>
                    <w:r>
                      <w:rPr>
                        <w:b/>
                        <w:sz w:val="24"/>
                      </w:rPr>
                      <w:t>[529]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CBFC" w14:textId="26EC2C3D" w:rsidR="0034495B" w:rsidRDefault="007B0854">
    <w:pPr>
      <w:pStyle w:val="BodyText"/>
      <w:spacing w:before="0" w:line="14" w:lineRule="auto"/>
      <w:rPr>
        <w:sz w:val="20"/>
      </w:rPr>
    </w:pPr>
    <w:r>
      <w:rPr>
        <w:noProof/>
      </w:rPr>
      <mc:AlternateContent>
        <mc:Choice Requires="wps">
          <w:drawing>
            <wp:anchor distT="0" distB="0" distL="114300" distR="114300" simplePos="0" relativeHeight="487347200" behindDoc="1" locked="0" layoutInCell="1" allowOverlap="1" wp14:anchorId="3A10298D" wp14:editId="28F054A6">
              <wp:simplePos x="0" y="0"/>
              <wp:positionH relativeFrom="page">
                <wp:posOffset>5729605</wp:posOffset>
              </wp:positionH>
              <wp:positionV relativeFrom="page">
                <wp:posOffset>442595</wp:posOffset>
              </wp:positionV>
              <wp:extent cx="608965"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0716" w14:textId="77777777" w:rsidR="0034495B" w:rsidRDefault="00696754">
                          <w:pPr>
                            <w:spacing w:before="10"/>
                            <w:ind w:left="20"/>
                            <w:rPr>
                              <w:sz w:val="24"/>
                            </w:rPr>
                          </w:pPr>
                          <w:r>
                            <w:rPr>
                              <w:b/>
                              <w:sz w:val="24"/>
                            </w:rPr>
                            <w:t xml:space="preserve">[529] </w:t>
                          </w:r>
                          <w:r>
                            <w:fldChar w:fldCharType="begin"/>
                          </w:r>
                          <w:r>
                            <w:rPr>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0298D" id="_x0000_t202" coordsize="21600,21600" o:spt="202" path="m,l,21600r21600,l21600,xe">
              <v:stroke joinstyle="miter"/>
              <v:path gradientshapeok="t" o:connecttype="rect"/>
            </v:shapetype>
            <v:shape id="Text Box 1" o:spid="_x0000_s1028" type="#_x0000_t202" style="position:absolute;margin-left:451.15pt;margin-top:34.85pt;width:47.95pt;height:15.3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" filled="f" stroked="f">
              <v:textbox inset="0,0,0,0">
                <w:txbxContent>
                  <w:p w14:paraId="153B0716" w14:textId="77777777" w:rsidR="0034495B" w:rsidRDefault="00696754">
                    <w:pPr>
                      <w:spacing w:before="10"/>
                      <w:ind w:left="20"/>
                      <w:rPr>
                        <w:sz w:val="24"/>
                      </w:rPr>
                    </w:pPr>
                    <w:r>
                      <w:rPr>
                        <w:b/>
                        <w:sz w:val="24"/>
                      </w:rPr>
                      <w:t xml:space="preserve">[529] </w:t>
                    </w:r>
                    <w:r>
                      <w:fldChar w:fldCharType="begin"/>
                    </w:r>
                    <w:r>
                      <w:rPr>
                        <w:sz w:val="24"/>
                      </w:rPr>
                      <w:instrText xml:space="preserve"> PAGE </w:instrText>
                    </w:r>
                    <w:r>
                      <w:fldChar w:fldCharType="separate"/>
                    </w:r>
                    <w: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10"/>
    <w:multiLevelType w:val="hybridMultilevel"/>
    <w:tmpl w:val="4B1ABB8A"/>
    <w:lvl w:ilvl="0" w:tplc="42F873FA">
      <w:start w:val="2"/>
      <w:numFmt w:val="decimal"/>
      <w:lvlText w:val="(%1)"/>
      <w:lvlJc w:val="left"/>
      <w:pPr>
        <w:ind w:left="305" w:hanging="437"/>
        <w:jc w:val="right"/>
      </w:pPr>
      <w:rPr>
        <w:rFonts w:ascii="Times New Roman" w:eastAsia="Times New Roman" w:hAnsi="Times New Roman" w:cs="Times New Roman" w:hint="default"/>
        <w:w w:val="99"/>
        <w:sz w:val="24"/>
        <w:szCs w:val="24"/>
        <w:lang w:val="en-US" w:eastAsia="en-US" w:bidi="ar-SA"/>
      </w:rPr>
    </w:lvl>
    <w:lvl w:ilvl="1" w:tplc="DB503F02">
      <w:start w:val="1"/>
      <w:numFmt w:val="lowerLetter"/>
      <w:lvlText w:val="(%2)"/>
      <w:lvlJc w:val="left"/>
      <w:pPr>
        <w:ind w:left="1723" w:hanging="567"/>
        <w:jc w:val="left"/>
      </w:pPr>
      <w:rPr>
        <w:rFonts w:ascii="Times New Roman" w:eastAsia="Times New Roman" w:hAnsi="Times New Roman" w:cs="Times New Roman" w:hint="default"/>
        <w:spacing w:val="-2"/>
        <w:w w:val="99"/>
        <w:sz w:val="24"/>
        <w:szCs w:val="24"/>
        <w:lang w:val="en-US" w:eastAsia="en-US" w:bidi="ar-SA"/>
      </w:rPr>
    </w:lvl>
    <w:lvl w:ilvl="2" w:tplc="C45EC994">
      <w:numFmt w:val="bullet"/>
      <w:lvlText w:val="•"/>
      <w:lvlJc w:val="left"/>
      <w:pPr>
        <w:ind w:left="2478" w:hanging="567"/>
      </w:pPr>
      <w:rPr>
        <w:rFonts w:hint="default"/>
        <w:lang w:val="en-US" w:eastAsia="en-US" w:bidi="ar-SA"/>
      </w:rPr>
    </w:lvl>
    <w:lvl w:ilvl="3" w:tplc="EAD0B9C8">
      <w:numFmt w:val="bullet"/>
      <w:lvlText w:val="•"/>
      <w:lvlJc w:val="left"/>
      <w:pPr>
        <w:ind w:left="3236" w:hanging="567"/>
      </w:pPr>
      <w:rPr>
        <w:rFonts w:hint="default"/>
        <w:lang w:val="en-US" w:eastAsia="en-US" w:bidi="ar-SA"/>
      </w:rPr>
    </w:lvl>
    <w:lvl w:ilvl="4" w:tplc="AC4AFF6E">
      <w:numFmt w:val="bullet"/>
      <w:lvlText w:val="•"/>
      <w:lvlJc w:val="left"/>
      <w:pPr>
        <w:ind w:left="3995" w:hanging="567"/>
      </w:pPr>
      <w:rPr>
        <w:rFonts w:hint="default"/>
        <w:lang w:val="en-US" w:eastAsia="en-US" w:bidi="ar-SA"/>
      </w:rPr>
    </w:lvl>
    <w:lvl w:ilvl="5" w:tplc="DB1EA4B8">
      <w:numFmt w:val="bullet"/>
      <w:lvlText w:val="•"/>
      <w:lvlJc w:val="left"/>
      <w:pPr>
        <w:ind w:left="4753" w:hanging="567"/>
      </w:pPr>
      <w:rPr>
        <w:rFonts w:hint="default"/>
        <w:lang w:val="en-US" w:eastAsia="en-US" w:bidi="ar-SA"/>
      </w:rPr>
    </w:lvl>
    <w:lvl w:ilvl="6" w:tplc="C342502A">
      <w:numFmt w:val="bullet"/>
      <w:lvlText w:val="•"/>
      <w:lvlJc w:val="left"/>
      <w:pPr>
        <w:ind w:left="5512" w:hanging="567"/>
      </w:pPr>
      <w:rPr>
        <w:rFonts w:hint="default"/>
        <w:lang w:val="en-US" w:eastAsia="en-US" w:bidi="ar-SA"/>
      </w:rPr>
    </w:lvl>
    <w:lvl w:ilvl="7" w:tplc="E4E842F0">
      <w:numFmt w:val="bullet"/>
      <w:lvlText w:val="•"/>
      <w:lvlJc w:val="left"/>
      <w:pPr>
        <w:ind w:left="6270" w:hanging="567"/>
      </w:pPr>
      <w:rPr>
        <w:rFonts w:hint="default"/>
        <w:lang w:val="en-US" w:eastAsia="en-US" w:bidi="ar-SA"/>
      </w:rPr>
    </w:lvl>
    <w:lvl w:ilvl="8" w:tplc="831C4FBA">
      <w:numFmt w:val="bullet"/>
      <w:lvlText w:val="•"/>
      <w:lvlJc w:val="left"/>
      <w:pPr>
        <w:ind w:left="7029" w:hanging="567"/>
      </w:pPr>
      <w:rPr>
        <w:rFonts w:hint="default"/>
        <w:lang w:val="en-US" w:eastAsia="en-US" w:bidi="ar-SA"/>
      </w:rPr>
    </w:lvl>
  </w:abstractNum>
  <w:abstractNum w:abstractNumId="1" w15:restartNumberingAfterBreak="0">
    <w:nsid w:val="008A4C95"/>
    <w:multiLevelType w:val="hybridMultilevel"/>
    <w:tmpl w:val="56B86A9A"/>
    <w:lvl w:ilvl="0" w:tplc="1BF01A8C">
      <w:start w:val="1"/>
      <w:numFmt w:val="decimal"/>
      <w:lvlText w:val="(%1)"/>
      <w:lvlJc w:val="left"/>
      <w:pPr>
        <w:ind w:left="588" w:hanging="437"/>
        <w:jc w:val="left"/>
      </w:pPr>
      <w:rPr>
        <w:rFonts w:ascii="Times New Roman" w:eastAsia="Times New Roman" w:hAnsi="Times New Roman" w:cs="Times New Roman" w:hint="default"/>
        <w:w w:val="99"/>
        <w:sz w:val="24"/>
        <w:szCs w:val="24"/>
        <w:lang w:val="en-US" w:eastAsia="en-US" w:bidi="ar-SA"/>
      </w:rPr>
    </w:lvl>
    <w:lvl w:ilvl="1" w:tplc="C1F44476">
      <w:start w:val="1"/>
      <w:numFmt w:val="lowerLetter"/>
      <w:lvlText w:val="(%2)"/>
      <w:lvlJc w:val="left"/>
      <w:pPr>
        <w:ind w:left="2006" w:hanging="567"/>
        <w:jc w:val="left"/>
      </w:pPr>
      <w:rPr>
        <w:rFonts w:ascii="Times New Roman" w:eastAsia="Times New Roman" w:hAnsi="Times New Roman" w:cs="Times New Roman" w:hint="default"/>
        <w:spacing w:val="-2"/>
        <w:w w:val="99"/>
        <w:sz w:val="24"/>
        <w:szCs w:val="24"/>
        <w:lang w:val="en-US" w:eastAsia="en-US" w:bidi="ar-SA"/>
      </w:rPr>
    </w:lvl>
    <w:lvl w:ilvl="2" w:tplc="CBE0FB20">
      <w:start w:val="1"/>
      <w:numFmt w:val="lowerRoman"/>
      <w:lvlText w:val="(%3)"/>
      <w:lvlJc w:val="left"/>
      <w:pPr>
        <w:ind w:left="2573" w:hanging="567"/>
        <w:jc w:val="left"/>
      </w:pPr>
      <w:rPr>
        <w:rFonts w:ascii="Times New Roman" w:eastAsia="Times New Roman" w:hAnsi="Times New Roman" w:cs="Times New Roman" w:hint="default"/>
        <w:w w:val="99"/>
        <w:sz w:val="24"/>
        <w:szCs w:val="24"/>
        <w:lang w:val="en-US" w:eastAsia="en-US" w:bidi="ar-SA"/>
      </w:rPr>
    </w:lvl>
    <w:lvl w:ilvl="3" w:tplc="9C60902A">
      <w:numFmt w:val="bullet"/>
      <w:lvlText w:val="•"/>
      <w:lvlJc w:val="left"/>
      <w:pPr>
        <w:ind w:left="3325" w:hanging="567"/>
      </w:pPr>
      <w:rPr>
        <w:rFonts w:hint="default"/>
        <w:lang w:val="en-US" w:eastAsia="en-US" w:bidi="ar-SA"/>
      </w:rPr>
    </w:lvl>
    <w:lvl w:ilvl="4" w:tplc="2C0E8BE8">
      <w:numFmt w:val="bullet"/>
      <w:lvlText w:val="•"/>
      <w:lvlJc w:val="left"/>
      <w:pPr>
        <w:ind w:left="4071" w:hanging="567"/>
      </w:pPr>
      <w:rPr>
        <w:rFonts w:hint="default"/>
        <w:lang w:val="en-US" w:eastAsia="en-US" w:bidi="ar-SA"/>
      </w:rPr>
    </w:lvl>
    <w:lvl w:ilvl="5" w:tplc="C270B804">
      <w:numFmt w:val="bullet"/>
      <w:lvlText w:val="•"/>
      <w:lvlJc w:val="left"/>
      <w:pPr>
        <w:ind w:left="4817" w:hanging="567"/>
      </w:pPr>
      <w:rPr>
        <w:rFonts w:hint="default"/>
        <w:lang w:val="en-US" w:eastAsia="en-US" w:bidi="ar-SA"/>
      </w:rPr>
    </w:lvl>
    <w:lvl w:ilvl="6" w:tplc="F6D260BE">
      <w:numFmt w:val="bullet"/>
      <w:lvlText w:val="•"/>
      <w:lvlJc w:val="left"/>
      <w:pPr>
        <w:ind w:left="5563" w:hanging="567"/>
      </w:pPr>
      <w:rPr>
        <w:rFonts w:hint="default"/>
        <w:lang w:val="en-US" w:eastAsia="en-US" w:bidi="ar-SA"/>
      </w:rPr>
    </w:lvl>
    <w:lvl w:ilvl="7" w:tplc="E6B682C4">
      <w:numFmt w:val="bullet"/>
      <w:lvlText w:val="•"/>
      <w:lvlJc w:val="left"/>
      <w:pPr>
        <w:ind w:left="6309" w:hanging="567"/>
      </w:pPr>
      <w:rPr>
        <w:rFonts w:hint="default"/>
        <w:lang w:val="en-US" w:eastAsia="en-US" w:bidi="ar-SA"/>
      </w:rPr>
    </w:lvl>
    <w:lvl w:ilvl="8" w:tplc="0A304760">
      <w:numFmt w:val="bullet"/>
      <w:lvlText w:val="•"/>
      <w:lvlJc w:val="left"/>
      <w:pPr>
        <w:ind w:left="7054" w:hanging="567"/>
      </w:pPr>
      <w:rPr>
        <w:rFonts w:hint="default"/>
        <w:lang w:val="en-US" w:eastAsia="en-US" w:bidi="ar-SA"/>
      </w:rPr>
    </w:lvl>
  </w:abstractNum>
  <w:abstractNum w:abstractNumId="2" w15:restartNumberingAfterBreak="0">
    <w:nsid w:val="0F3A6208"/>
    <w:multiLevelType w:val="hybridMultilevel"/>
    <w:tmpl w:val="0B12092A"/>
    <w:lvl w:ilvl="0" w:tplc="CFBAAAF4">
      <w:start w:val="2"/>
      <w:numFmt w:val="decimal"/>
      <w:lvlText w:val="(%1)"/>
      <w:lvlJc w:val="left"/>
      <w:pPr>
        <w:ind w:left="305" w:hanging="437"/>
        <w:jc w:val="left"/>
      </w:pPr>
      <w:rPr>
        <w:rFonts w:ascii="Times New Roman" w:eastAsia="Times New Roman" w:hAnsi="Times New Roman" w:cs="Times New Roman" w:hint="default"/>
        <w:w w:val="99"/>
        <w:sz w:val="24"/>
        <w:szCs w:val="24"/>
        <w:lang w:val="en-US" w:eastAsia="en-US" w:bidi="ar-SA"/>
      </w:rPr>
    </w:lvl>
    <w:lvl w:ilvl="1" w:tplc="E3887BC6">
      <w:start w:val="2"/>
      <w:numFmt w:val="decimal"/>
      <w:lvlText w:val="(%2)"/>
      <w:lvlJc w:val="left"/>
      <w:pPr>
        <w:ind w:left="588" w:hanging="437"/>
        <w:jc w:val="right"/>
      </w:pPr>
      <w:rPr>
        <w:rFonts w:ascii="Times New Roman" w:eastAsia="Times New Roman" w:hAnsi="Times New Roman" w:cs="Times New Roman" w:hint="default"/>
        <w:w w:val="99"/>
        <w:sz w:val="24"/>
        <w:szCs w:val="24"/>
        <w:lang w:val="en-US" w:eastAsia="en-US" w:bidi="ar-SA"/>
      </w:rPr>
    </w:lvl>
    <w:lvl w:ilvl="2" w:tplc="F99C6156">
      <w:start w:val="1"/>
      <w:numFmt w:val="lowerLetter"/>
      <w:lvlText w:val="(%3)"/>
      <w:lvlJc w:val="left"/>
      <w:pPr>
        <w:ind w:left="2006" w:hanging="567"/>
        <w:jc w:val="left"/>
      </w:pPr>
      <w:rPr>
        <w:rFonts w:ascii="Times New Roman" w:eastAsia="Times New Roman" w:hAnsi="Times New Roman" w:cs="Times New Roman" w:hint="default"/>
        <w:spacing w:val="-2"/>
        <w:w w:val="99"/>
        <w:sz w:val="24"/>
        <w:szCs w:val="24"/>
        <w:lang w:val="en-US" w:eastAsia="en-US" w:bidi="ar-SA"/>
      </w:rPr>
    </w:lvl>
    <w:lvl w:ilvl="3" w:tplc="A4303F8E">
      <w:numFmt w:val="bullet"/>
      <w:lvlText w:val="•"/>
      <w:lvlJc w:val="left"/>
      <w:pPr>
        <w:ind w:left="2818" w:hanging="567"/>
      </w:pPr>
      <w:rPr>
        <w:rFonts w:hint="default"/>
        <w:lang w:val="en-US" w:eastAsia="en-US" w:bidi="ar-SA"/>
      </w:rPr>
    </w:lvl>
    <w:lvl w:ilvl="4" w:tplc="750CE478">
      <w:numFmt w:val="bullet"/>
      <w:lvlText w:val="•"/>
      <w:lvlJc w:val="left"/>
      <w:pPr>
        <w:ind w:left="3636" w:hanging="567"/>
      </w:pPr>
      <w:rPr>
        <w:rFonts w:hint="default"/>
        <w:lang w:val="en-US" w:eastAsia="en-US" w:bidi="ar-SA"/>
      </w:rPr>
    </w:lvl>
    <w:lvl w:ilvl="5" w:tplc="6492C4DE">
      <w:numFmt w:val="bullet"/>
      <w:lvlText w:val="•"/>
      <w:lvlJc w:val="left"/>
      <w:pPr>
        <w:ind w:left="4454" w:hanging="567"/>
      </w:pPr>
      <w:rPr>
        <w:rFonts w:hint="default"/>
        <w:lang w:val="en-US" w:eastAsia="en-US" w:bidi="ar-SA"/>
      </w:rPr>
    </w:lvl>
    <w:lvl w:ilvl="6" w:tplc="2A1266AA">
      <w:numFmt w:val="bullet"/>
      <w:lvlText w:val="•"/>
      <w:lvlJc w:val="left"/>
      <w:pPr>
        <w:ind w:left="5273" w:hanging="567"/>
      </w:pPr>
      <w:rPr>
        <w:rFonts w:hint="default"/>
        <w:lang w:val="en-US" w:eastAsia="en-US" w:bidi="ar-SA"/>
      </w:rPr>
    </w:lvl>
    <w:lvl w:ilvl="7" w:tplc="0E86987E">
      <w:numFmt w:val="bullet"/>
      <w:lvlText w:val="•"/>
      <w:lvlJc w:val="left"/>
      <w:pPr>
        <w:ind w:left="6091" w:hanging="567"/>
      </w:pPr>
      <w:rPr>
        <w:rFonts w:hint="default"/>
        <w:lang w:val="en-US" w:eastAsia="en-US" w:bidi="ar-SA"/>
      </w:rPr>
    </w:lvl>
    <w:lvl w:ilvl="8" w:tplc="8FC60346">
      <w:numFmt w:val="bullet"/>
      <w:lvlText w:val="•"/>
      <w:lvlJc w:val="left"/>
      <w:pPr>
        <w:ind w:left="6909" w:hanging="567"/>
      </w:pPr>
      <w:rPr>
        <w:rFonts w:hint="default"/>
        <w:lang w:val="en-US" w:eastAsia="en-US" w:bidi="ar-SA"/>
      </w:rPr>
    </w:lvl>
  </w:abstractNum>
  <w:abstractNum w:abstractNumId="3" w15:restartNumberingAfterBreak="0">
    <w:nsid w:val="110E7C9A"/>
    <w:multiLevelType w:val="hybridMultilevel"/>
    <w:tmpl w:val="ED1CD484"/>
    <w:lvl w:ilvl="0" w:tplc="612C6A76">
      <w:start w:val="2"/>
      <w:numFmt w:val="decimal"/>
      <w:lvlText w:val="(%1)"/>
      <w:lvlJc w:val="left"/>
      <w:pPr>
        <w:ind w:left="588" w:hanging="437"/>
        <w:jc w:val="right"/>
      </w:pPr>
      <w:rPr>
        <w:rFonts w:ascii="Times New Roman" w:eastAsia="Times New Roman" w:hAnsi="Times New Roman" w:cs="Times New Roman" w:hint="default"/>
        <w:w w:val="99"/>
        <w:sz w:val="24"/>
        <w:szCs w:val="24"/>
        <w:lang w:val="en-US" w:eastAsia="en-US" w:bidi="ar-SA"/>
      </w:rPr>
    </w:lvl>
    <w:lvl w:ilvl="1" w:tplc="C4E4DBD2">
      <w:start w:val="1"/>
      <w:numFmt w:val="lowerLetter"/>
      <w:lvlText w:val="(%2)"/>
      <w:lvlJc w:val="left"/>
      <w:pPr>
        <w:ind w:left="2006" w:hanging="567"/>
        <w:jc w:val="left"/>
      </w:pPr>
      <w:rPr>
        <w:rFonts w:ascii="Times New Roman" w:eastAsia="Times New Roman" w:hAnsi="Times New Roman" w:cs="Times New Roman" w:hint="default"/>
        <w:spacing w:val="-2"/>
        <w:w w:val="99"/>
        <w:sz w:val="24"/>
        <w:szCs w:val="24"/>
        <w:lang w:val="en-US" w:eastAsia="en-US" w:bidi="ar-SA"/>
      </w:rPr>
    </w:lvl>
    <w:lvl w:ilvl="2" w:tplc="B8506E36">
      <w:numFmt w:val="bullet"/>
      <w:lvlText w:val="•"/>
      <w:lvlJc w:val="left"/>
      <w:pPr>
        <w:ind w:left="2000" w:hanging="567"/>
      </w:pPr>
      <w:rPr>
        <w:rFonts w:hint="default"/>
        <w:lang w:val="en-US" w:eastAsia="en-US" w:bidi="ar-SA"/>
      </w:rPr>
    </w:lvl>
    <w:lvl w:ilvl="3" w:tplc="82FC6ECC">
      <w:numFmt w:val="bullet"/>
      <w:lvlText w:val="•"/>
      <w:lvlJc w:val="left"/>
      <w:pPr>
        <w:ind w:left="2818" w:hanging="567"/>
      </w:pPr>
      <w:rPr>
        <w:rFonts w:hint="default"/>
        <w:lang w:val="en-US" w:eastAsia="en-US" w:bidi="ar-SA"/>
      </w:rPr>
    </w:lvl>
    <w:lvl w:ilvl="4" w:tplc="E82EE202">
      <w:numFmt w:val="bullet"/>
      <w:lvlText w:val="•"/>
      <w:lvlJc w:val="left"/>
      <w:pPr>
        <w:ind w:left="3636" w:hanging="567"/>
      </w:pPr>
      <w:rPr>
        <w:rFonts w:hint="default"/>
        <w:lang w:val="en-US" w:eastAsia="en-US" w:bidi="ar-SA"/>
      </w:rPr>
    </w:lvl>
    <w:lvl w:ilvl="5" w:tplc="29308810">
      <w:numFmt w:val="bullet"/>
      <w:lvlText w:val="•"/>
      <w:lvlJc w:val="left"/>
      <w:pPr>
        <w:ind w:left="4454" w:hanging="567"/>
      </w:pPr>
      <w:rPr>
        <w:rFonts w:hint="default"/>
        <w:lang w:val="en-US" w:eastAsia="en-US" w:bidi="ar-SA"/>
      </w:rPr>
    </w:lvl>
    <w:lvl w:ilvl="6" w:tplc="40B02D4A">
      <w:numFmt w:val="bullet"/>
      <w:lvlText w:val="•"/>
      <w:lvlJc w:val="left"/>
      <w:pPr>
        <w:ind w:left="5273" w:hanging="567"/>
      </w:pPr>
      <w:rPr>
        <w:rFonts w:hint="default"/>
        <w:lang w:val="en-US" w:eastAsia="en-US" w:bidi="ar-SA"/>
      </w:rPr>
    </w:lvl>
    <w:lvl w:ilvl="7" w:tplc="F3464410">
      <w:numFmt w:val="bullet"/>
      <w:lvlText w:val="•"/>
      <w:lvlJc w:val="left"/>
      <w:pPr>
        <w:ind w:left="6091" w:hanging="567"/>
      </w:pPr>
      <w:rPr>
        <w:rFonts w:hint="default"/>
        <w:lang w:val="en-US" w:eastAsia="en-US" w:bidi="ar-SA"/>
      </w:rPr>
    </w:lvl>
    <w:lvl w:ilvl="8" w:tplc="67DA8658">
      <w:numFmt w:val="bullet"/>
      <w:lvlText w:val="•"/>
      <w:lvlJc w:val="left"/>
      <w:pPr>
        <w:ind w:left="6909" w:hanging="567"/>
      </w:pPr>
      <w:rPr>
        <w:rFonts w:hint="default"/>
        <w:lang w:val="en-US" w:eastAsia="en-US" w:bidi="ar-SA"/>
      </w:rPr>
    </w:lvl>
  </w:abstractNum>
  <w:abstractNum w:abstractNumId="4" w15:restartNumberingAfterBreak="0">
    <w:nsid w:val="12A73E82"/>
    <w:multiLevelType w:val="hybridMultilevel"/>
    <w:tmpl w:val="8E3E6516"/>
    <w:lvl w:ilvl="0" w:tplc="638419B2">
      <w:start w:val="2"/>
      <w:numFmt w:val="decimal"/>
      <w:lvlText w:val="(%1)"/>
      <w:lvlJc w:val="left"/>
      <w:pPr>
        <w:ind w:left="1025" w:hanging="437"/>
        <w:jc w:val="left"/>
      </w:pPr>
      <w:rPr>
        <w:rFonts w:ascii="Times New Roman" w:eastAsia="Times New Roman" w:hAnsi="Times New Roman" w:cs="Times New Roman" w:hint="default"/>
        <w:w w:val="99"/>
        <w:sz w:val="24"/>
        <w:szCs w:val="24"/>
        <w:lang w:val="en-US" w:eastAsia="en-US" w:bidi="ar-SA"/>
      </w:rPr>
    </w:lvl>
    <w:lvl w:ilvl="1" w:tplc="10481E60">
      <w:start w:val="1"/>
      <w:numFmt w:val="lowerLetter"/>
      <w:lvlText w:val="(%2)"/>
      <w:lvlJc w:val="left"/>
      <w:pPr>
        <w:ind w:left="1723" w:hanging="567"/>
        <w:jc w:val="left"/>
      </w:pPr>
      <w:rPr>
        <w:rFonts w:ascii="Times New Roman" w:eastAsia="Times New Roman" w:hAnsi="Times New Roman" w:cs="Times New Roman" w:hint="default"/>
        <w:spacing w:val="-1"/>
        <w:w w:val="99"/>
        <w:sz w:val="24"/>
        <w:szCs w:val="24"/>
        <w:lang w:val="en-US" w:eastAsia="en-US" w:bidi="ar-SA"/>
      </w:rPr>
    </w:lvl>
    <w:lvl w:ilvl="2" w:tplc="B3507A18">
      <w:numFmt w:val="bullet"/>
      <w:lvlText w:val="•"/>
      <w:lvlJc w:val="left"/>
      <w:pPr>
        <w:ind w:left="2478" w:hanging="567"/>
      </w:pPr>
      <w:rPr>
        <w:rFonts w:hint="default"/>
        <w:lang w:val="en-US" w:eastAsia="en-US" w:bidi="ar-SA"/>
      </w:rPr>
    </w:lvl>
    <w:lvl w:ilvl="3" w:tplc="45CE3FBA">
      <w:numFmt w:val="bullet"/>
      <w:lvlText w:val="•"/>
      <w:lvlJc w:val="left"/>
      <w:pPr>
        <w:ind w:left="3236" w:hanging="567"/>
      </w:pPr>
      <w:rPr>
        <w:rFonts w:hint="default"/>
        <w:lang w:val="en-US" w:eastAsia="en-US" w:bidi="ar-SA"/>
      </w:rPr>
    </w:lvl>
    <w:lvl w:ilvl="4" w:tplc="2C229C82">
      <w:numFmt w:val="bullet"/>
      <w:lvlText w:val="•"/>
      <w:lvlJc w:val="left"/>
      <w:pPr>
        <w:ind w:left="3995" w:hanging="567"/>
      </w:pPr>
      <w:rPr>
        <w:rFonts w:hint="default"/>
        <w:lang w:val="en-US" w:eastAsia="en-US" w:bidi="ar-SA"/>
      </w:rPr>
    </w:lvl>
    <w:lvl w:ilvl="5" w:tplc="A148BCF4">
      <w:numFmt w:val="bullet"/>
      <w:lvlText w:val="•"/>
      <w:lvlJc w:val="left"/>
      <w:pPr>
        <w:ind w:left="4753" w:hanging="567"/>
      </w:pPr>
      <w:rPr>
        <w:rFonts w:hint="default"/>
        <w:lang w:val="en-US" w:eastAsia="en-US" w:bidi="ar-SA"/>
      </w:rPr>
    </w:lvl>
    <w:lvl w:ilvl="6" w:tplc="83B89250">
      <w:numFmt w:val="bullet"/>
      <w:lvlText w:val="•"/>
      <w:lvlJc w:val="left"/>
      <w:pPr>
        <w:ind w:left="5512" w:hanging="567"/>
      </w:pPr>
      <w:rPr>
        <w:rFonts w:hint="default"/>
        <w:lang w:val="en-US" w:eastAsia="en-US" w:bidi="ar-SA"/>
      </w:rPr>
    </w:lvl>
    <w:lvl w:ilvl="7" w:tplc="6C14932C">
      <w:numFmt w:val="bullet"/>
      <w:lvlText w:val="•"/>
      <w:lvlJc w:val="left"/>
      <w:pPr>
        <w:ind w:left="6270" w:hanging="567"/>
      </w:pPr>
      <w:rPr>
        <w:rFonts w:hint="default"/>
        <w:lang w:val="en-US" w:eastAsia="en-US" w:bidi="ar-SA"/>
      </w:rPr>
    </w:lvl>
    <w:lvl w:ilvl="8" w:tplc="6EA8AA86">
      <w:numFmt w:val="bullet"/>
      <w:lvlText w:val="•"/>
      <w:lvlJc w:val="left"/>
      <w:pPr>
        <w:ind w:left="7029" w:hanging="567"/>
      </w:pPr>
      <w:rPr>
        <w:rFonts w:hint="default"/>
        <w:lang w:val="en-US" w:eastAsia="en-US" w:bidi="ar-SA"/>
      </w:rPr>
    </w:lvl>
  </w:abstractNum>
  <w:abstractNum w:abstractNumId="5" w15:restartNumberingAfterBreak="0">
    <w:nsid w:val="1CBE54B0"/>
    <w:multiLevelType w:val="hybridMultilevel"/>
    <w:tmpl w:val="4A9E1222"/>
    <w:lvl w:ilvl="0" w:tplc="2060659C">
      <w:start w:val="2"/>
      <w:numFmt w:val="decimal"/>
      <w:lvlText w:val="(%1)"/>
      <w:lvlJc w:val="left"/>
      <w:pPr>
        <w:ind w:left="588" w:hanging="437"/>
        <w:jc w:val="left"/>
      </w:pPr>
      <w:rPr>
        <w:rFonts w:ascii="Times New Roman" w:eastAsia="Times New Roman" w:hAnsi="Times New Roman" w:cs="Times New Roman" w:hint="default"/>
        <w:w w:val="99"/>
        <w:sz w:val="24"/>
        <w:szCs w:val="24"/>
        <w:lang w:val="en-US" w:eastAsia="en-US" w:bidi="ar-SA"/>
      </w:rPr>
    </w:lvl>
    <w:lvl w:ilvl="1" w:tplc="9BD81BFC">
      <w:start w:val="1"/>
      <w:numFmt w:val="lowerLetter"/>
      <w:lvlText w:val="(%2)"/>
      <w:lvlJc w:val="left"/>
      <w:pPr>
        <w:ind w:left="2006" w:hanging="567"/>
        <w:jc w:val="right"/>
      </w:pPr>
      <w:rPr>
        <w:rFonts w:ascii="Times New Roman" w:eastAsia="Times New Roman" w:hAnsi="Times New Roman" w:cs="Times New Roman" w:hint="default"/>
        <w:spacing w:val="-2"/>
        <w:w w:val="99"/>
        <w:sz w:val="24"/>
        <w:szCs w:val="24"/>
        <w:lang w:val="en-US" w:eastAsia="en-US" w:bidi="ar-SA"/>
      </w:rPr>
    </w:lvl>
    <w:lvl w:ilvl="2" w:tplc="FB22EBEA">
      <w:numFmt w:val="bullet"/>
      <w:lvlText w:val="•"/>
      <w:lvlJc w:val="left"/>
      <w:pPr>
        <w:ind w:left="2727" w:hanging="567"/>
      </w:pPr>
      <w:rPr>
        <w:rFonts w:hint="default"/>
        <w:lang w:val="en-US" w:eastAsia="en-US" w:bidi="ar-SA"/>
      </w:rPr>
    </w:lvl>
    <w:lvl w:ilvl="3" w:tplc="05B685FC">
      <w:numFmt w:val="bullet"/>
      <w:lvlText w:val="•"/>
      <w:lvlJc w:val="left"/>
      <w:pPr>
        <w:ind w:left="3454" w:hanging="567"/>
      </w:pPr>
      <w:rPr>
        <w:rFonts w:hint="default"/>
        <w:lang w:val="en-US" w:eastAsia="en-US" w:bidi="ar-SA"/>
      </w:rPr>
    </w:lvl>
    <w:lvl w:ilvl="4" w:tplc="B0CAA3BA">
      <w:numFmt w:val="bullet"/>
      <w:lvlText w:val="•"/>
      <w:lvlJc w:val="left"/>
      <w:pPr>
        <w:ind w:left="4182" w:hanging="567"/>
      </w:pPr>
      <w:rPr>
        <w:rFonts w:hint="default"/>
        <w:lang w:val="en-US" w:eastAsia="en-US" w:bidi="ar-SA"/>
      </w:rPr>
    </w:lvl>
    <w:lvl w:ilvl="5" w:tplc="91B0B5B8">
      <w:numFmt w:val="bullet"/>
      <w:lvlText w:val="•"/>
      <w:lvlJc w:val="left"/>
      <w:pPr>
        <w:ind w:left="4909" w:hanging="567"/>
      </w:pPr>
      <w:rPr>
        <w:rFonts w:hint="default"/>
        <w:lang w:val="en-US" w:eastAsia="en-US" w:bidi="ar-SA"/>
      </w:rPr>
    </w:lvl>
    <w:lvl w:ilvl="6" w:tplc="03F40C62">
      <w:numFmt w:val="bullet"/>
      <w:lvlText w:val="•"/>
      <w:lvlJc w:val="left"/>
      <w:pPr>
        <w:ind w:left="5636" w:hanging="567"/>
      </w:pPr>
      <w:rPr>
        <w:rFonts w:hint="default"/>
        <w:lang w:val="en-US" w:eastAsia="en-US" w:bidi="ar-SA"/>
      </w:rPr>
    </w:lvl>
    <w:lvl w:ilvl="7" w:tplc="63D2F446">
      <w:numFmt w:val="bullet"/>
      <w:lvlText w:val="•"/>
      <w:lvlJc w:val="left"/>
      <w:pPr>
        <w:ind w:left="6364" w:hanging="567"/>
      </w:pPr>
      <w:rPr>
        <w:rFonts w:hint="default"/>
        <w:lang w:val="en-US" w:eastAsia="en-US" w:bidi="ar-SA"/>
      </w:rPr>
    </w:lvl>
    <w:lvl w:ilvl="8" w:tplc="A4C0D440">
      <w:numFmt w:val="bullet"/>
      <w:lvlText w:val="•"/>
      <w:lvlJc w:val="left"/>
      <w:pPr>
        <w:ind w:left="7091" w:hanging="567"/>
      </w:pPr>
      <w:rPr>
        <w:rFonts w:hint="default"/>
        <w:lang w:val="en-US" w:eastAsia="en-US" w:bidi="ar-SA"/>
      </w:rPr>
    </w:lvl>
  </w:abstractNum>
  <w:abstractNum w:abstractNumId="6" w15:restartNumberingAfterBreak="0">
    <w:nsid w:val="1F180CEC"/>
    <w:multiLevelType w:val="hybridMultilevel"/>
    <w:tmpl w:val="BE72C668"/>
    <w:lvl w:ilvl="0" w:tplc="19B0C718">
      <w:start w:val="6"/>
      <w:numFmt w:val="decimal"/>
      <w:lvlText w:val="(%1)"/>
      <w:lvlJc w:val="left"/>
      <w:pPr>
        <w:ind w:left="588" w:hanging="353"/>
        <w:jc w:val="left"/>
      </w:pPr>
      <w:rPr>
        <w:rFonts w:ascii="Times New Roman" w:eastAsia="Times New Roman" w:hAnsi="Times New Roman" w:cs="Times New Roman" w:hint="default"/>
        <w:w w:val="99"/>
        <w:sz w:val="24"/>
        <w:szCs w:val="24"/>
        <w:lang w:val="en-US" w:eastAsia="en-US" w:bidi="ar-SA"/>
      </w:rPr>
    </w:lvl>
    <w:lvl w:ilvl="1" w:tplc="64B4C6EE">
      <w:start w:val="8"/>
      <w:numFmt w:val="decimal"/>
      <w:lvlText w:val="(%2)"/>
      <w:lvlJc w:val="left"/>
      <w:pPr>
        <w:ind w:left="588" w:hanging="437"/>
        <w:jc w:val="left"/>
      </w:pPr>
      <w:rPr>
        <w:rFonts w:ascii="Times New Roman" w:eastAsia="Times New Roman" w:hAnsi="Times New Roman" w:cs="Times New Roman" w:hint="default"/>
        <w:spacing w:val="-1"/>
        <w:w w:val="99"/>
        <w:sz w:val="24"/>
        <w:szCs w:val="24"/>
        <w:lang w:val="en-US" w:eastAsia="en-US" w:bidi="ar-SA"/>
      </w:rPr>
    </w:lvl>
    <w:lvl w:ilvl="2" w:tplc="1F8CAD74">
      <w:numFmt w:val="bullet"/>
      <w:lvlText w:val="•"/>
      <w:lvlJc w:val="left"/>
      <w:pPr>
        <w:ind w:left="2173" w:hanging="437"/>
      </w:pPr>
      <w:rPr>
        <w:rFonts w:hint="default"/>
        <w:lang w:val="en-US" w:eastAsia="en-US" w:bidi="ar-SA"/>
      </w:rPr>
    </w:lvl>
    <w:lvl w:ilvl="3" w:tplc="C00661D8">
      <w:numFmt w:val="bullet"/>
      <w:lvlText w:val="•"/>
      <w:lvlJc w:val="left"/>
      <w:pPr>
        <w:ind w:left="2969" w:hanging="437"/>
      </w:pPr>
      <w:rPr>
        <w:rFonts w:hint="default"/>
        <w:lang w:val="en-US" w:eastAsia="en-US" w:bidi="ar-SA"/>
      </w:rPr>
    </w:lvl>
    <w:lvl w:ilvl="4" w:tplc="0EAC5582">
      <w:numFmt w:val="bullet"/>
      <w:lvlText w:val="•"/>
      <w:lvlJc w:val="left"/>
      <w:pPr>
        <w:ind w:left="3766" w:hanging="437"/>
      </w:pPr>
      <w:rPr>
        <w:rFonts w:hint="default"/>
        <w:lang w:val="en-US" w:eastAsia="en-US" w:bidi="ar-SA"/>
      </w:rPr>
    </w:lvl>
    <w:lvl w:ilvl="5" w:tplc="DCF89D58">
      <w:numFmt w:val="bullet"/>
      <w:lvlText w:val="•"/>
      <w:lvlJc w:val="left"/>
      <w:pPr>
        <w:ind w:left="4563" w:hanging="437"/>
      </w:pPr>
      <w:rPr>
        <w:rFonts w:hint="default"/>
        <w:lang w:val="en-US" w:eastAsia="en-US" w:bidi="ar-SA"/>
      </w:rPr>
    </w:lvl>
    <w:lvl w:ilvl="6" w:tplc="CF324A06">
      <w:numFmt w:val="bullet"/>
      <w:lvlText w:val="•"/>
      <w:lvlJc w:val="left"/>
      <w:pPr>
        <w:ind w:left="5359" w:hanging="437"/>
      </w:pPr>
      <w:rPr>
        <w:rFonts w:hint="default"/>
        <w:lang w:val="en-US" w:eastAsia="en-US" w:bidi="ar-SA"/>
      </w:rPr>
    </w:lvl>
    <w:lvl w:ilvl="7" w:tplc="4A9A4FA8">
      <w:numFmt w:val="bullet"/>
      <w:lvlText w:val="•"/>
      <w:lvlJc w:val="left"/>
      <w:pPr>
        <w:ind w:left="6156" w:hanging="437"/>
      </w:pPr>
      <w:rPr>
        <w:rFonts w:hint="default"/>
        <w:lang w:val="en-US" w:eastAsia="en-US" w:bidi="ar-SA"/>
      </w:rPr>
    </w:lvl>
    <w:lvl w:ilvl="8" w:tplc="415CF6F2">
      <w:numFmt w:val="bullet"/>
      <w:lvlText w:val="•"/>
      <w:lvlJc w:val="left"/>
      <w:pPr>
        <w:ind w:left="6953" w:hanging="437"/>
      </w:pPr>
      <w:rPr>
        <w:rFonts w:hint="default"/>
        <w:lang w:val="en-US" w:eastAsia="en-US" w:bidi="ar-SA"/>
      </w:rPr>
    </w:lvl>
  </w:abstractNum>
  <w:abstractNum w:abstractNumId="7" w15:restartNumberingAfterBreak="0">
    <w:nsid w:val="4026351C"/>
    <w:multiLevelType w:val="hybridMultilevel"/>
    <w:tmpl w:val="5576F1F6"/>
    <w:lvl w:ilvl="0" w:tplc="F1BC4242">
      <w:start w:val="2"/>
      <w:numFmt w:val="decimal"/>
      <w:lvlText w:val="(%1)"/>
      <w:lvlJc w:val="left"/>
      <w:pPr>
        <w:ind w:left="588" w:hanging="437"/>
        <w:jc w:val="left"/>
      </w:pPr>
      <w:rPr>
        <w:rFonts w:ascii="Times New Roman" w:eastAsia="Times New Roman" w:hAnsi="Times New Roman" w:cs="Times New Roman" w:hint="default"/>
        <w:w w:val="99"/>
        <w:sz w:val="24"/>
        <w:szCs w:val="24"/>
        <w:lang w:val="en-US" w:eastAsia="en-US" w:bidi="ar-SA"/>
      </w:rPr>
    </w:lvl>
    <w:lvl w:ilvl="1" w:tplc="3648E62A">
      <w:start w:val="1"/>
      <w:numFmt w:val="lowerLetter"/>
      <w:lvlText w:val="(%2)"/>
      <w:lvlJc w:val="left"/>
      <w:pPr>
        <w:ind w:left="2006" w:hanging="567"/>
        <w:jc w:val="left"/>
      </w:pPr>
      <w:rPr>
        <w:rFonts w:ascii="Times New Roman" w:eastAsia="Times New Roman" w:hAnsi="Times New Roman" w:cs="Times New Roman" w:hint="default"/>
        <w:spacing w:val="-2"/>
        <w:w w:val="99"/>
        <w:sz w:val="24"/>
        <w:szCs w:val="24"/>
        <w:lang w:val="en-US" w:eastAsia="en-US" w:bidi="ar-SA"/>
      </w:rPr>
    </w:lvl>
    <w:lvl w:ilvl="2" w:tplc="62CEEC4A">
      <w:numFmt w:val="bullet"/>
      <w:lvlText w:val="•"/>
      <w:lvlJc w:val="left"/>
      <w:pPr>
        <w:ind w:left="2727" w:hanging="567"/>
      </w:pPr>
      <w:rPr>
        <w:rFonts w:hint="default"/>
        <w:lang w:val="en-US" w:eastAsia="en-US" w:bidi="ar-SA"/>
      </w:rPr>
    </w:lvl>
    <w:lvl w:ilvl="3" w:tplc="5F70DC10">
      <w:numFmt w:val="bullet"/>
      <w:lvlText w:val="•"/>
      <w:lvlJc w:val="left"/>
      <w:pPr>
        <w:ind w:left="3454" w:hanging="567"/>
      </w:pPr>
      <w:rPr>
        <w:rFonts w:hint="default"/>
        <w:lang w:val="en-US" w:eastAsia="en-US" w:bidi="ar-SA"/>
      </w:rPr>
    </w:lvl>
    <w:lvl w:ilvl="4" w:tplc="DBC0F27C">
      <w:numFmt w:val="bullet"/>
      <w:lvlText w:val="•"/>
      <w:lvlJc w:val="left"/>
      <w:pPr>
        <w:ind w:left="4182" w:hanging="567"/>
      </w:pPr>
      <w:rPr>
        <w:rFonts w:hint="default"/>
        <w:lang w:val="en-US" w:eastAsia="en-US" w:bidi="ar-SA"/>
      </w:rPr>
    </w:lvl>
    <w:lvl w:ilvl="5" w:tplc="3B82347C">
      <w:numFmt w:val="bullet"/>
      <w:lvlText w:val="•"/>
      <w:lvlJc w:val="left"/>
      <w:pPr>
        <w:ind w:left="4909" w:hanging="567"/>
      </w:pPr>
      <w:rPr>
        <w:rFonts w:hint="default"/>
        <w:lang w:val="en-US" w:eastAsia="en-US" w:bidi="ar-SA"/>
      </w:rPr>
    </w:lvl>
    <w:lvl w:ilvl="6" w:tplc="FB42D5AC">
      <w:numFmt w:val="bullet"/>
      <w:lvlText w:val="•"/>
      <w:lvlJc w:val="left"/>
      <w:pPr>
        <w:ind w:left="5636" w:hanging="567"/>
      </w:pPr>
      <w:rPr>
        <w:rFonts w:hint="default"/>
        <w:lang w:val="en-US" w:eastAsia="en-US" w:bidi="ar-SA"/>
      </w:rPr>
    </w:lvl>
    <w:lvl w:ilvl="7" w:tplc="CB306A7E">
      <w:numFmt w:val="bullet"/>
      <w:lvlText w:val="•"/>
      <w:lvlJc w:val="left"/>
      <w:pPr>
        <w:ind w:left="6364" w:hanging="567"/>
      </w:pPr>
      <w:rPr>
        <w:rFonts w:hint="default"/>
        <w:lang w:val="en-US" w:eastAsia="en-US" w:bidi="ar-SA"/>
      </w:rPr>
    </w:lvl>
    <w:lvl w:ilvl="8" w:tplc="01265E68">
      <w:numFmt w:val="bullet"/>
      <w:lvlText w:val="•"/>
      <w:lvlJc w:val="left"/>
      <w:pPr>
        <w:ind w:left="7091" w:hanging="567"/>
      </w:pPr>
      <w:rPr>
        <w:rFonts w:hint="default"/>
        <w:lang w:val="en-US" w:eastAsia="en-US" w:bidi="ar-SA"/>
      </w:rPr>
    </w:lvl>
  </w:abstractNum>
  <w:abstractNum w:abstractNumId="8" w15:restartNumberingAfterBreak="0">
    <w:nsid w:val="4D410DC2"/>
    <w:multiLevelType w:val="hybridMultilevel"/>
    <w:tmpl w:val="1D0A7678"/>
    <w:lvl w:ilvl="0" w:tplc="78B67DB0">
      <w:start w:val="2"/>
      <w:numFmt w:val="decimal"/>
      <w:lvlText w:val="(%1)"/>
      <w:lvlJc w:val="left"/>
      <w:pPr>
        <w:ind w:left="305" w:hanging="437"/>
        <w:jc w:val="left"/>
      </w:pPr>
      <w:rPr>
        <w:rFonts w:ascii="Times New Roman" w:eastAsia="Times New Roman" w:hAnsi="Times New Roman" w:cs="Times New Roman" w:hint="default"/>
        <w:w w:val="99"/>
        <w:sz w:val="24"/>
        <w:szCs w:val="24"/>
        <w:lang w:val="en-US" w:eastAsia="en-US" w:bidi="ar-SA"/>
      </w:rPr>
    </w:lvl>
    <w:lvl w:ilvl="1" w:tplc="44F03F8C">
      <w:start w:val="1"/>
      <w:numFmt w:val="lowerLetter"/>
      <w:lvlText w:val="(%2)"/>
      <w:lvlJc w:val="left"/>
      <w:pPr>
        <w:ind w:left="1723" w:hanging="567"/>
        <w:jc w:val="left"/>
      </w:pPr>
      <w:rPr>
        <w:rFonts w:ascii="Times New Roman" w:eastAsia="Times New Roman" w:hAnsi="Times New Roman" w:cs="Times New Roman" w:hint="default"/>
        <w:spacing w:val="-2"/>
        <w:w w:val="99"/>
        <w:sz w:val="24"/>
        <w:szCs w:val="24"/>
        <w:lang w:val="en-US" w:eastAsia="en-US" w:bidi="ar-SA"/>
      </w:rPr>
    </w:lvl>
    <w:lvl w:ilvl="2" w:tplc="28164F42">
      <w:start w:val="1"/>
      <w:numFmt w:val="lowerRoman"/>
      <w:lvlText w:val="(%3)"/>
      <w:lvlJc w:val="left"/>
      <w:pPr>
        <w:ind w:left="2290" w:hanging="567"/>
        <w:jc w:val="left"/>
      </w:pPr>
      <w:rPr>
        <w:rFonts w:ascii="Times New Roman" w:eastAsia="Times New Roman" w:hAnsi="Times New Roman" w:cs="Times New Roman" w:hint="default"/>
        <w:w w:val="99"/>
        <w:sz w:val="24"/>
        <w:szCs w:val="24"/>
        <w:lang w:val="en-US" w:eastAsia="en-US" w:bidi="ar-SA"/>
      </w:rPr>
    </w:lvl>
    <w:lvl w:ilvl="3" w:tplc="119600E6">
      <w:numFmt w:val="bullet"/>
      <w:lvlText w:val="•"/>
      <w:lvlJc w:val="left"/>
      <w:pPr>
        <w:ind w:left="3080" w:hanging="567"/>
      </w:pPr>
      <w:rPr>
        <w:rFonts w:hint="default"/>
        <w:lang w:val="en-US" w:eastAsia="en-US" w:bidi="ar-SA"/>
      </w:rPr>
    </w:lvl>
    <w:lvl w:ilvl="4" w:tplc="C5DE8BE2">
      <w:numFmt w:val="bullet"/>
      <w:lvlText w:val="•"/>
      <w:lvlJc w:val="left"/>
      <w:pPr>
        <w:ind w:left="3861" w:hanging="567"/>
      </w:pPr>
      <w:rPr>
        <w:rFonts w:hint="default"/>
        <w:lang w:val="en-US" w:eastAsia="en-US" w:bidi="ar-SA"/>
      </w:rPr>
    </w:lvl>
    <w:lvl w:ilvl="5" w:tplc="FC5E412C">
      <w:numFmt w:val="bullet"/>
      <w:lvlText w:val="•"/>
      <w:lvlJc w:val="left"/>
      <w:pPr>
        <w:ind w:left="4642" w:hanging="567"/>
      </w:pPr>
      <w:rPr>
        <w:rFonts w:hint="default"/>
        <w:lang w:val="en-US" w:eastAsia="en-US" w:bidi="ar-SA"/>
      </w:rPr>
    </w:lvl>
    <w:lvl w:ilvl="6" w:tplc="A4F862F6">
      <w:numFmt w:val="bullet"/>
      <w:lvlText w:val="•"/>
      <w:lvlJc w:val="left"/>
      <w:pPr>
        <w:ind w:left="5423" w:hanging="567"/>
      </w:pPr>
      <w:rPr>
        <w:rFonts w:hint="default"/>
        <w:lang w:val="en-US" w:eastAsia="en-US" w:bidi="ar-SA"/>
      </w:rPr>
    </w:lvl>
    <w:lvl w:ilvl="7" w:tplc="F8043FB8">
      <w:numFmt w:val="bullet"/>
      <w:lvlText w:val="•"/>
      <w:lvlJc w:val="left"/>
      <w:pPr>
        <w:ind w:left="6204" w:hanging="567"/>
      </w:pPr>
      <w:rPr>
        <w:rFonts w:hint="default"/>
        <w:lang w:val="en-US" w:eastAsia="en-US" w:bidi="ar-SA"/>
      </w:rPr>
    </w:lvl>
    <w:lvl w:ilvl="8" w:tplc="E0469642">
      <w:numFmt w:val="bullet"/>
      <w:lvlText w:val="•"/>
      <w:lvlJc w:val="left"/>
      <w:pPr>
        <w:ind w:left="6984" w:hanging="567"/>
      </w:pPr>
      <w:rPr>
        <w:rFonts w:hint="default"/>
        <w:lang w:val="en-US" w:eastAsia="en-US" w:bidi="ar-SA"/>
      </w:rPr>
    </w:lvl>
  </w:abstractNum>
  <w:abstractNum w:abstractNumId="9" w15:restartNumberingAfterBreak="0">
    <w:nsid w:val="73473080"/>
    <w:multiLevelType w:val="hybridMultilevel"/>
    <w:tmpl w:val="A8C8ACA4"/>
    <w:lvl w:ilvl="0" w:tplc="9DAEAF82">
      <w:start w:val="1"/>
      <w:numFmt w:val="decimal"/>
      <w:lvlText w:val="%1."/>
      <w:lvlJc w:val="left"/>
      <w:pPr>
        <w:ind w:left="1025" w:hanging="437"/>
        <w:jc w:val="left"/>
      </w:pPr>
      <w:rPr>
        <w:rFonts w:ascii="Times New Roman" w:eastAsia="Times New Roman" w:hAnsi="Times New Roman" w:cs="Times New Roman" w:hint="default"/>
        <w:w w:val="100"/>
        <w:sz w:val="24"/>
        <w:szCs w:val="24"/>
        <w:lang w:val="en-US" w:eastAsia="en-US" w:bidi="ar-SA"/>
      </w:rPr>
    </w:lvl>
    <w:lvl w:ilvl="1" w:tplc="9CF02D66">
      <w:start w:val="1"/>
      <w:numFmt w:val="decimal"/>
      <w:lvlText w:val="%2."/>
      <w:lvlJc w:val="left"/>
      <w:pPr>
        <w:ind w:left="588" w:hanging="284"/>
        <w:jc w:val="right"/>
      </w:pPr>
      <w:rPr>
        <w:rFonts w:ascii="Times New Roman" w:eastAsia="Times New Roman" w:hAnsi="Times New Roman" w:cs="Times New Roman" w:hint="default"/>
        <w:w w:val="100"/>
        <w:sz w:val="24"/>
        <w:szCs w:val="24"/>
        <w:lang w:val="en-US" w:eastAsia="en-US" w:bidi="ar-SA"/>
      </w:rPr>
    </w:lvl>
    <w:lvl w:ilvl="2" w:tplc="FD1E04DC">
      <w:start w:val="1"/>
      <w:numFmt w:val="lowerLetter"/>
      <w:lvlText w:val="(%3)"/>
      <w:lvlJc w:val="left"/>
      <w:pPr>
        <w:ind w:left="1723" w:hanging="567"/>
        <w:jc w:val="left"/>
      </w:pPr>
      <w:rPr>
        <w:rFonts w:ascii="Times New Roman" w:eastAsia="Times New Roman" w:hAnsi="Times New Roman" w:cs="Times New Roman" w:hint="default"/>
        <w:spacing w:val="-2"/>
        <w:w w:val="99"/>
        <w:sz w:val="24"/>
        <w:szCs w:val="24"/>
        <w:lang w:val="en-US" w:eastAsia="en-US" w:bidi="ar-SA"/>
      </w:rPr>
    </w:lvl>
    <w:lvl w:ilvl="3" w:tplc="BE08B450">
      <w:numFmt w:val="bullet"/>
      <w:lvlText w:val="•"/>
      <w:lvlJc w:val="left"/>
      <w:pPr>
        <w:ind w:left="1740" w:hanging="567"/>
      </w:pPr>
      <w:rPr>
        <w:rFonts w:hint="default"/>
        <w:lang w:val="en-US" w:eastAsia="en-US" w:bidi="ar-SA"/>
      </w:rPr>
    </w:lvl>
    <w:lvl w:ilvl="4" w:tplc="D92E3F74">
      <w:numFmt w:val="bullet"/>
      <w:lvlText w:val="•"/>
      <w:lvlJc w:val="left"/>
      <w:pPr>
        <w:ind w:left="2712" w:hanging="567"/>
      </w:pPr>
      <w:rPr>
        <w:rFonts w:hint="default"/>
        <w:lang w:val="en-US" w:eastAsia="en-US" w:bidi="ar-SA"/>
      </w:rPr>
    </w:lvl>
    <w:lvl w:ilvl="5" w:tplc="CAB4E074">
      <w:numFmt w:val="bullet"/>
      <w:lvlText w:val="•"/>
      <w:lvlJc w:val="left"/>
      <w:pPr>
        <w:ind w:left="3684" w:hanging="567"/>
      </w:pPr>
      <w:rPr>
        <w:rFonts w:hint="default"/>
        <w:lang w:val="en-US" w:eastAsia="en-US" w:bidi="ar-SA"/>
      </w:rPr>
    </w:lvl>
    <w:lvl w:ilvl="6" w:tplc="573ACC4E">
      <w:numFmt w:val="bullet"/>
      <w:lvlText w:val="•"/>
      <w:lvlJc w:val="left"/>
      <w:pPr>
        <w:ind w:left="4657" w:hanging="567"/>
      </w:pPr>
      <w:rPr>
        <w:rFonts w:hint="default"/>
        <w:lang w:val="en-US" w:eastAsia="en-US" w:bidi="ar-SA"/>
      </w:rPr>
    </w:lvl>
    <w:lvl w:ilvl="7" w:tplc="78EA16F6">
      <w:numFmt w:val="bullet"/>
      <w:lvlText w:val="•"/>
      <w:lvlJc w:val="left"/>
      <w:pPr>
        <w:ind w:left="5629" w:hanging="567"/>
      </w:pPr>
      <w:rPr>
        <w:rFonts w:hint="default"/>
        <w:lang w:val="en-US" w:eastAsia="en-US" w:bidi="ar-SA"/>
      </w:rPr>
    </w:lvl>
    <w:lvl w:ilvl="8" w:tplc="5F222F72">
      <w:numFmt w:val="bullet"/>
      <w:lvlText w:val="•"/>
      <w:lvlJc w:val="left"/>
      <w:pPr>
        <w:ind w:left="6601" w:hanging="567"/>
      </w:pPr>
      <w:rPr>
        <w:rFonts w:hint="default"/>
        <w:lang w:val="en-US" w:eastAsia="en-US" w:bidi="ar-SA"/>
      </w:rPr>
    </w:lvl>
  </w:abstractNum>
  <w:abstractNum w:abstractNumId="10" w15:restartNumberingAfterBreak="0">
    <w:nsid w:val="755C2A11"/>
    <w:multiLevelType w:val="hybridMultilevel"/>
    <w:tmpl w:val="FFEEF5A2"/>
    <w:lvl w:ilvl="0" w:tplc="F32A55D2">
      <w:start w:val="2"/>
      <w:numFmt w:val="decimal"/>
      <w:lvlText w:val="(%1)"/>
      <w:lvlJc w:val="left"/>
      <w:pPr>
        <w:ind w:left="588" w:hanging="437"/>
        <w:jc w:val="left"/>
      </w:pPr>
      <w:rPr>
        <w:rFonts w:ascii="Times New Roman" w:eastAsia="Times New Roman" w:hAnsi="Times New Roman" w:cs="Times New Roman" w:hint="default"/>
        <w:w w:val="99"/>
        <w:sz w:val="24"/>
        <w:szCs w:val="24"/>
        <w:lang w:val="en-US" w:eastAsia="en-US" w:bidi="ar-SA"/>
      </w:rPr>
    </w:lvl>
    <w:lvl w:ilvl="1" w:tplc="F4E4637C">
      <w:numFmt w:val="bullet"/>
      <w:lvlText w:val="•"/>
      <w:lvlJc w:val="left"/>
      <w:pPr>
        <w:ind w:left="1376" w:hanging="437"/>
      </w:pPr>
      <w:rPr>
        <w:rFonts w:hint="default"/>
        <w:lang w:val="en-US" w:eastAsia="en-US" w:bidi="ar-SA"/>
      </w:rPr>
    </w:lvl>
    <w:lvl w:ilvl="2" w:tplc="2A123866">
      <w:numFmt w:val="bullet"/>
      <w:lvlText w:val="•"/>
      <w:lvlJc w:val="left"/>
      <w:pPr>
        <w:ind w:left="2173" w:hanging="437"/>
      </w:pPr>
      <w:rPr>
        <w:rFonts w:hint="default"/>
        <w:lang w:val="en-US" w:eastAsia="en-US" w:bidi="ar-SA"/>
      </w:rPr>
    </w:lvl>
    <w:lvl w:ilvl="3" w:tplc="063C7152">
      <w:numFmt w:val="bullet"/>
      <w:lvlText w:val="•"/>
      <w:lvlJc w:val="left"/>
      <w:pPr>
        <w:ind w:left="2969" w:hanging="437"/>
      </w:pPr>
      <w:rPr>
        <w:rFonts w:hint="default"/>
        <w:lang w:val="en-US" w:eastAsia="en-US" w:bidi="ar-SA"/>
      </w:rPr>
    </w:lvl>
    <w:lvl w:ilvl="4" w:tplc="C024B8C8">
      <w:numFmt w:val="bullet"/>
      <w:lvlText w:val="•"/>
      <w:lvlJc w:val="left"/>
      <w:pPr>
        <w:ind w:left="3766" w:hanging="437"/>
      </w:pPr>
      <w:rPr>
        <w:rFonts w:hint="default"/>
        <w:lang w:val="en-US" w:eastAsia="en-US" w:bidi="ar-SA"/>
      </w:rPr>
    </w:lvl>
    <w:lvl w:ilvl="5" w:tplc="58AC3758">
      <w:numFmt w:val="bullet"/>
      <w:lvlText w:val="•"/>
      <w:lvlJc w:val="left"/>
      <w:pPr>
        <w:ind w:left="4563" w:hanging="437"/>
      </w:pPr>
      <w:rPr>
        <w:rFonts w:hint="default"/>
        <w:lang w:val="en-US" w:eastAsia="en-US" w:bidi="ar-SA"/>
      </w:rPr>
    </w:lvl>
    <w:lvl w:ilvl="6" w:tplc="A80A2816">
      <w:numFmt w:val="bullet"/>
      <w:lvlText w:val="•"/>
      <w:lvlJc w:val="left"/>
      <w:pPr>
        <w:ind w:left="5359" w:hanging="437"/>
      </w:pPr>
      <w:rPr>
        <w:rFonts w:hint="default"/>
        <w:lang w:val="en-US" w:eastAsia="en-US" w:bidi="ar-SA"/>
      </w:rPr>
    </w:lvl>
    <w:lvl w:ilvl="7" w:tplc="4F70F15A">
      <w:numFmt w:val="bullet"/>
      <w:lvlText w:val="•"/>
      <w:lvlJc w:val="left"/>
      <w:pPr>
        <w:ind w:left="6156" w:hanging="437"/>
      </w:pPr>
      <w:rPr>
        <w:rFonts w:hint="default"/>
        <w:lang w:val="en-US" w:eastAsia="en-US" w:bidi="ar-SA"/>
      </w:rPr>
    </w:lvl>
    <w:lvl w:ilvl="8" w:tplc="BC56E11A">
      <w:numFmt w:val="bullet"/>
      <w:lvlText w:val="•"/>
      <w:lvlJc w:val="left"/>
      <w:pPr>
        <w:ind w:left="6953" w:hanging="437"/>
      </w:pPr>
      <w:rPr>
        <w:rFonts w:hint="default"/>
        <w:lang w:val="en-US" w:eastAsia="en-US" w:bidi="ar-SA"/>
      </w:rPr>
    </w:lvl>
  </w:abstractNum>
  <w:num w:numId="1" w16cid:durableId="612514276">
    <w:abstractNumId w:val="1"/>
  </w:num>
  <w:num w:numId="2" w16cid:durableId="1936791997">
    <w:abstractNumId w:val="8"/>
  </w:num>
  <w:num w:numId="3" w16cid:durableId="1626423370">
    <w:abstractNumId w:val="7"/>
  </w:num>
  <w:num w:numId="4" w16cid:durableId="621618349">
    <w:abstractNumId w:val="4"/>
  </w:num>
  <w:num w:numId="5" w16cid:durableId="1218008431">
    <w:abstractNumId w:val="2"/>
  </w:num>
  <w:num w:numId="6" w16cid:durableId="692387950">
    <w:abstractNumId w:val="5"/>
  </w:num>
  <w:num w:numId="7" w16cid:durableId="424962492">
    <w:abstractNumId w:val="6"/>
  </w:num>
  <w:num w:numId="8" w16cid:durableId="1803425283">
    <w:abstractNumId w:val="0"/>
  </w:num>
  <w:num w:numId="9" w16cid:durableId="1331910986">
    <w:abstractNumId w:val="3"/>
  </w:num>
  <w:num w:numId="10" w16cid:durableId="85925780">
    <w:abstractNumId w:val="10"/>
  </w:num>
  <w:num w:numId="11" w16cid:durableId="54473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5B"/>
    <w:rsid w:val="0034495B"/>
    <w:rsid w:val="00696754"/>
    <w:rsid w:val="007B0854"/>
    <w:rsid w:val="009946F9"/>
    <w:rsid w:val="00BB6D1F"/>
    <w:rsid w:val="00BC3BE2"/>
    <w:rsid w:val="00EE278A"/>
    <w:rsid w:val="00F101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4BB43"/>
  <w15:docId w15:val="{0FD5D696-92AC-44D6-BA9C-6B1BBF5F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7"/>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200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46F9"/>
    <w:pPr>
      <w:tabs>
        <w:tab w:val="center" w:pos="4680"/>
        <w:tab w:val="right" w:pos="9360"/>
      </w:tabs>
    </w:pPr>
  </w:style>
  <w:style w:type="character" w:customStyle="1" w:styleId="HeaderChar">
    <w:name w:val="Header Char"/>
    <w:basedOn w:val="DefaultParagraphFont"/>
    <w:link w:val="Header"/>
    <w:uiPriority w:val="99"/>
    <w:rsid w:val="009946F9"/>
    <w:rPr>
      <w:rFonts w:ascii="Times New Roman" w:eastAsia="Times New Roman" w:hAnsi="Times New Roman" w:cs="Times New Roman"/>
    </w:rPr>
  </w:style>
  <w:style w:type="paragraph" w:styleId="Footer">
    <w:name w:val="footer"/>
    <w:basedOn w:val="Normal"/>
    <w:link w:val="FooterChar"/>
    <w:uiPriority w:val="99"/>
    <w:unhideWhenUsed/>
    <w:rsid w:val="009946F9"/>
    <w:pPr>
      <w:tabs>
        <w:tab w:val="center" w:pos="4680"/>
        <w:tab w:val="right" w:pos="9360"/>
      </w:tabs>
    </w:pPr>
  </w:style>
  <w:style w:type="character" w:customStyle="1" w:styleId="FooterChar">
    <w:name w:val="Footer Char"/>
    <w:basedOn w:val="DefaultParagraphFont"/>
    <w:link w:val="Footer"/>
    <w:uiPriority w:val="99"/>
    <w:rsid w:val="009946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rishstatutebook.ie/1987/en/act/pub/0006/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1987/en/act/pub/0006/index.html" TargetMode="External"/><Relationship Id="rId5" Type="http://schemas.openxmlformats.org/officeDocument/2006/relationships/footnotes" Target="footnotes.xml"/><Relationship Id="rId15" Type="http://schemas.openxmlformats.org/officeDocument/2006/relationships/hyperlink" Target="mailto:publications@opw.ie" TargetMode="External"/><Relationship Id="rId10" Type="http://schemas.openxmlformats.org/officeDocument/2006/relationships/hyperlink" Target="http://www.irishstatutebook.ie/1987/en/act/pub/0006/sec0053.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ublications@op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4617</Words>
  <Characters>26321</Characters>
  <Application>Microsoft Office Word</Application>
  <DocSecurity>0</DocSecurity>
  <Lines>219</Lines>
  <Paragraphs>61</Paragraphs>
  <ScaleCrop>false</ScaleCrop>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3</cp:revision>
  <dcterms:created xsi:type="dcterms:W3CDTF">2022-11-24T13:50:00Z</dcterms:created>
  <dcterms:modified xsi:type="dcterms:W3CDTF">2022-11-24T15:01:00Z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for Microsoft 365</vt:lpwstr>
  </property>
  <property fmtid="{D5CDD505-2E9C-101B-9397-08002B2CF9AE}" pid="4" name="LastSaved">
    <vt:filetime>2022-10-26T00:00:00Z</vt:filetime>
  </property>
</Properties>
</file>