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tabs>
          <w:tab w:val="clear" w:pos="708"/>
        </w:tabs>
        <w:ind w:left="6372" w:right="0" w:hanging="0"/>
        <w:rPr/>
      </w:pPr>
      <w:r>
        <w:rPr/>
        <w:t xml:space="preserve">Version du </w:t>
      </w:r>
      <w:r>
        <w:rPr/>
        <w:t xml:space="preserve">18 novembre </w:t>
      </w:r>
      <w:r>
        <w:rPr/>
        <w:t>2020</w:t>
      </w:r>
    </w:p>
    <w:tbl>
      <w:tblPr>
        <w:tblW w:w="4054" w:type="dxa"/>
        <w:jc w:val="left"/>
        <w:tblInd w:w="114" w:type="dxa"/>
        <w:tblCellMar>
          <w:top w:w="57" w:type="dxa"/>
          <w:left w:w="57" w:type="dxa"/>
          <w:bottom w:w="57" w:type="dxa"/>
          <w:right w:w="57" w:type="dxa"/>
        </w:tblCellMar>
      </w:tblPr>
      <w:tblGrid>
        <w:gridCol w:w="1527"/>
        <w:gridCol w:w="968"/>
        <w:gridCol w:w="1559"/>
      </w:tblGrid>
      <w:tr>
        <w:trPr>
          <w:cantSplit w:val="true"/>
        </w:trPr>
        <w:tc>
          <w:tcPr>
            <w:tcW w:w="4054" w:type="dxa"/>
            <w:gridSpan w:val="3"/>
            <w:tcBorders/>
          </w:tcPr>
          <w:p>
            <w:pPr>
              <w:pStyle w:val="SNREPUBLIQUE"/>
              <w:suppressAutoHyphens w:val="true"/>
              <w:spacing w:before="0" w:after="160"/>
              <w:jc w:val="center"/>
              <w:rPr/>
            </w:pPr>
            <w:r>
              <w:rPr/>
              <w:t>REPUBLIQUE FRANCAISE</w:t>
            </w:r>
          </w:p>
        </w:tc>
      </w:tr>
      <w:tr>
        <w:trPr>
          <w:trHeight w:val="113" w:hRule="exact"/>
          <w:cantSplit w:val="true"/>
        </w:trPr>
        <w:tc>
          <w:tcPr>
            <w:tcW w:w="1527" w:type="dxa"/>
            <w:tcBorders/>
          </w:tcPr>
          <w:p>
            <w:pPr>
              <w:pStyle w:val="Normal1"/>
              <w:suppressAutoHyphens w:val="true"/>
              <w:spacing w:lineRule="auto" w:line="242" w:before="0" w:after="160"/>
              <w:rPr/>
            </w:pPr>
            <w:r>
              <w:rPr/>
              <w:t xml:space="preserve">                                                        </w:t>
            </w:r>
          </w:p>
        </w:tc>
        <w:tc>
          <w:tcPr>
            <w:tcW w:w="968" w:type="dxa"/>
            <w:tcBorders/>
          </w:tcPr>
          <w:p>
            <w:pPr>
              <w:pStyle w:val="Normal1"/>
              <w:suppressAutoHyphens w:val="true"/>
              <w:spacing w:lineRule="auto" w:line="242" w:before="0" w:after="160"/>
              <w:rPr/>
            </w:pPr>
            <w:r>
              <w:rPr/>
            </w:r>
          </w:p>
        </w:tc>
        <w:tc>
          <w:tcPr>
            <w:tcW w:w="1559" w:type="dxa"/>
            <w:tcBorders/>
          </w:tcPr>
          <w:p>
            <w:pPr>
              <w:pStyle w:val="Normal1"/>
              <w:suppressAutoHyphens w:val="true"/>
              <w:spacing w:lineRule="auto" w:line="242" w:before="0" w:after="160"/>
              <w:rPr/>
            </w:pPr>
            <w:r>
              <w:rPr/>
            </w:r>
          </w:p>
        </w:tc>
      </w:tr>
      <w:tr>
        <w:trPr>
          <w:cantSplit w:val="true"/>
        </w:trPr>
        <w:tc>
          <w:tcPr>
            <w:tcW w:w="4054" w:type="dxa"/>
            <w:gridSpan w:val="3"/>
            <w:tcBorders/>
          </w:tcPr>
          <w:p>
            <w:pPr>
              <w:pStyle w:val="SNTimbre"/>
              <w:widowControl w:val="false"/>
              <w:suppressAutoHyphens w:val="true"/>
              <w:snapToGrid w:val="false"/>
              <w:spacing w:before="120" w:after="0"/>
              <w:jc w:val="center"/>
              <w:rPr/>
            </w:pPr>
            <w:r>
              <w:rPr/>
              <w:t>Ministère de l’Économie, des Finances</w:t>
            </w:r>
          </w:p>
          <w:p>
            <w:pPr>
              <w:pStyle w:val="SNTimbre"/>
              <w:rPr/>
            </w:pPr>
            <w:r>
              <w:rPr/>
              <w:t>Et de la Relance</w:t>
            </w:r>
          </w:p>
        </w:tc>
      </w:tr>
      <w:tr>
        <w:trPr>
          <w:trHeight w:val="227" w:hRule="exact"/>
          <w:cantSplit w:val="true"/>
        </w:trPr>
        <w:tc>
          <w:tcPr>
            <w:tcW w:w="1527" w:type="dxa"/>
            <w:tcBorders/>
          </w:tcPr>
          <w:p>
            <w:pPr>
              <w:pStyle w:val="Normal1"/>
              <w:suppressAutoHyphens w:val="true"/>
              <w:spacing w:lineRule="auto" w:line="242" w:before="0" w:after="160"/>
              <w:rPr/>
            </w:pPr>
            <w:r>
              <w:rPr/>
            </w:r>
          </w:p>
        </w:tc>
        <w:tc>
          <w:tcPr>
            <w:tcW w:w="968" w:type="dxa"/>
            <w:tcBorders/>
          </w:tcPr>
          <w:p>
            <w:pPr>
              <w:pStyle w:val="Normal1"/>
              <w:suppressAutoHyphens w:val="true"/>
              <w:spacing w:lineRule="auto" w:line="242" w:before="0" w:after="160"/>
              <w:rPr/>
            </w:pPr>
            <w:r>
              <w:rPr/>
            </w:r>
          </w:p>
        </w:tc>
        <w:tc>
          <w:tcPr>
            <w:tcW w:w="1559" w:type="dxa"/>
            <w:tcBorders/>
          </w:tcPr>
          <w:p>
            <w:pPr>
              <w:pStyle w:val="Normal1"/>
              <w:suppressAutoHyphens w:val="true"/>
              <w:spacing w:lineRule="auto" w:line="242" w:before="0" w:after="160"/>
              <w:rPr/>
            </w:pPr>
            <w:r>
              <w:rPr/>
            </w:r>
          </w:p>
        </w:tc>
      </w:tr>
      <w:tr>
        <w:trPr>
          <w:trHeight w:val="227" w:hRule="exact"/>
          <w:cantSplit w:val="true"/>
        </w:trPr>
        <w:tc>
          <w:tcPr>
            <w:tcW w:w="1527" w:type="dxa"/>
            <w:tcBorders/>
          </w:tcPr>
          <w:p>
            <w:pPr>
              <w:pStyle w:val="Normal1"/>
              <w:suppressAutoHyphens w:val="true"/>
              <w:spacing w:lineRule="auto" w:line="242" w:before="0" w:after="160"/>
              <w:rPr/>
            </w:pPr>
            <w:r>
              <w:rPr/>
            </w:r>
          </w:p>
        </w:tc>
        <w:tc>
          <w:tcPr>
            <w:tcW w:w="968" w:type="dxa"/>
            <w:tcBorders/>
          </w:tcPr>
          <w:p>
            <w:pPr>
              <w:pStyle w:val="Normal1"/>
              <w:suppressAutoHyphens w:val="true"/>
              <w:spacing w:lineRule="auto" w:line="242" w:before="0" w:after="160"/>
              <w:rPr/>
            </w:pPr>
            <w:r>
              <w:rPr/>
            </w:r>
          </w:p>
        </w:tc>
        <w:tc>
          <w:tcPr>
            <w:tcW w:w="1559" w:type="dxa"/>
            <w:tcBorders/>
          </w:tcPr>
          <w:p>
            <w:pPr>
              <w:pStyle w:val="Normal1"/>
              <w:suppressAutoHyphens w:val="true"/>
              <w:spacing w:lineRule="auto" w:line="242" w:before="0" w:after="160"/>
              <w:rPr/>
            </w:pPr>
            <w:r>
              <w:rPr/>
            </w:r>
          </w:p>
        </w:tc>
      </w:tr>
    </w:tbl>
    <w:p>
      <w:pPr>
        <w:pStyle w:val="SNNature"/>
        <w:rPr/>
      </w:pPr>
      <w:r>
        <w:rPr/>
        <w:t>Décret du</w:t>
      </w:r>
      <w:r>
        <w:rPr>
          <w:rStyle w:val="Policepardfaut"/>
          <w:color w:val="000000"/>
        </w:rPr>
        <w:t xml:space="preserve"> n° 2020-… du … 2020</w:t>
      </w:r>
    </w:p>
    <w:p>
      <w:pPr>
        <w:pStyle w:val="SNtitre"/>
        <w:rPr/>
      </w:pPr>
      <w:r>
        <w:rPr/>
        <w:t>relatif aux conditions d’utilisation des termes « reconditionné » et « produit reconditionné »</w:t>
      </w:r>
    </w:p>
    <w:p>
      <w:pPr>
        <w:pStyle w:val="SNNORCentr"/>
        <w:rPr/>
      </w:pPr>
      <w:r>
        <w:rPr/>
        <w:t>NOR : […]</w:t>
      </w:r>
    </w:p>
    <w:p>
      <w:pPr>
        <w:pStyle w:val="SNAutorit"/>
        <w:rPr/>
      </w:pPr>
      <w:r>
        <w:rPr>
          <w:rStyle w:val="Policepardfaut"/>
          <w:b/>
          <w:i/>
        </w:rPr>
        <w:t>Publics concernés :</w:t>
      </w:r>
      <w:r>
        <w:rPr>
          <w:rStyle w:val="Policepardfaut"/>
          <w:i/>
        </w:rPr>
        <w:t xml:space="preserve"> Les vendeurs de produits mis sur le marché, y compris lorsqu’ils sont proposés à la vente à partir d’une interface en ligne ;</w:t>
      </w:r>
    </w:p>
    <w:p>
      <w:pPr>
        <w:pStyle w:val="SNAutorit"/>
        <w:rPr/>
      </w:pPr>
      <w:r>
        <w:rPr>
          <w:rStyle w:val="Policepardfaut"/>
          <w:b/>
          <w:i/>
        </w:rPr>
        <w:t>Objet :</w:t>
      </w:r>
      <w:r>
        <w:rPr>
          <w:rStyle w:val="Policepardfaut"/>
          <w:i/>
        </w:rPr>
        <w:t xml:space="preserve"> Condition d’utilisation des termes « reconditionné » ou « produit reconditionné » ;</w:t>
      </w:r>
    </w:p>
    <w:p>
      <w:pPr>
        <w:pStyle w:val="SNAutorit"/>
        <w:rPr/>
      </w:pPr>
      <w:r>
        <w:rPr>
          <w:rStyle w:val="Policepardfaut"/>
          <w:b/>
          <w:i/>
        </w:rPr>
        <w:t>Entrée en vigueur :</w:t>
      </w:r>
      <w:r>
        <w:rPr>
          <w:rStyle w:val="Policepardfaut"/>
          <w:i/>
        </w:rPr>
        <w:t xml:space="preserve"> </w:t>
      </w:r>
    </w:p>
    <w:p>
      <w:pPr>
        <w:pStyle w:val="SNAutorit"/>
        <w:rPr/>
      </w:pPr>
      <w:r>
        <w:rPr>
          <w:rStyle w:val="Policepardfaut"/>
          <w:b/>
          <w:i/>
        </w:rPr>
        <w:t>Notice :</w:t>
      </w:r>
      <w:r>
        <w:rPr>
          <w:rStyle w:val="Policepardfaut"/>
          <w:i/>
        </w:rPr>
        <w:t xml:space="preserve"> Le présent décret détermine les conditions d’application de l’article L. 122-21-1 du code de la consommation qui prévoit un encadrement légal pour l’utilisation des termes « reconditionné » et « produit reconditionné ». A ce titre, il réserve l’emploi de ces mentions aux produits d’occasion et précise les conditions dans lesquelles elles peuvent être utilisées, s’agissant de la réalisation de tests, voire de l’exigence d’une ou de plusieurs intervention(s) technique(s), permettant de s’assurer de la sécurité et des fonctionnalités du produit. Cette intervention ou ces interventions effectuée(s) sur le produit constitue(nt) une caractéristique essentielle de celui-ci. Par ailleurs, afin d’éviter que le consommateur ne soit induit en erreur sur les caractéristiques d’un produit reconditionné, ce décret interdit toute référence à un produit neuf et réserve l’utilisation de la mention « reconditionné en France » aux opérations de reconditionnement qui sont réalisées en totalité sur le territoire national. Ces règles s’appliquent également aux pièces détachées;</w:t>
      </w:r>
    </w:p>
    <w:p>
      <w:pPr>
        <w:pStyle w:val="SNAutorit"/>
        <w:rPr/>
      </w:pPr>
      <w:r>
        <w:rPr>
          <w:rStyle w:val="Policepardfaut"/>
          <w:b/>
          <w:i/>
        </w:rPr>
        <w:t>Référence :</w:t>
      </w:r>
      <w:r>
        <w:rPr>
          <w:rStyle w:val="Policepardfaut"/>
          <w:i/>
        </w:rPr>
        <w:t xml:space="preserve"> Le présent décret pourra être consulté sur le site Légifrance (</w:t>
      </w:r>
      <w:hyperlink r:id="rId2" w:tgtFrame="_top">
        <w:r>
          <w:rPr>
            <w:rStyle w:val="LienInternet"/>
            <w:b/>
            <w:i/>
            <w:color w:val="000000"/>
          </w:rPr>
          <w:t>http://www.legifrance.gouv.fr</w:t>
        </w:r>
      </w:hyperlink>
      <w:r>
        <w:rPr>
          <w:rStyle w:val="Policepardfaut"/>
          <w:i/>
        </w:rPr>
        <w:t>).</w:t>
      </w:r>
    </w:p>
    <w:p>
      <w:pPr>
        <w:pStyle w:val="SNAutorit"/>
        <w:rPr>
          <w:b/>
          <w:b/>
        </w:rPr>
      </w:pPr>
      <w:r>
        <w:rPr>
          <w:b/>
        </w:rPr>
        <w:t>Le Premier ministre,</w:t>
      </w:r>
    </w:p>
    <w:p>
      <w:pPr>
        <w:pStyle w:val="SNRapport"/>
        <w:rPr/>
      </w:pPr>
      <w:r>
        <w:rPr/>
        <w:t>Sur le rapport du ministre de l’économie, des finances et de la relance,</w:t>
      </w:r>
    </w:p>
    <w:p>
      <w:pPr>
        <w:pStyle w:val="SNVisa"/>
        <w:ind w:left="0" w:right="0" w:firstLine="708"/>
        <w:rPr/>
      </w:pPr>
      <w:r>
        <w:rPr/>
        <w:t>Vu le règlement (UE) n° 2016/679 du Parlement européen et du Conseil du 27 avril 2016 relatif à la protection des personnes physiques à l'égard du traitement des données à caractère personnel et à la libre circulation de ces données et abrogeant la directive 95/46/CE (règlement général sur la protection des données),</w:t>
      </w:r>
    </w:p>
    <w:p>
      <w:pPr>
        <w:pStyle w:val="Normal"/>
        <w:ind w:left="0" w:right="0" w:firstLine="708"/>
        <w:rPr>
          <w:rFonts w:ascii="Calibri" w:hAnsi="Calibri" w:eastAsia="Calibri" w:cs="Calibri"/>
          <w:sz w:val="22"/>
          <w:szCs w:val="22"/>
          <w:lang w:eastAsia="en-US"/>
        </w:rPr>
      </w:pPr>
      <w:r>
        <w:rPr>
          <w:rFonts w:eastAsia="Calibri" w:cs="Calibri" w:ascii="Calibri" w:hAnsi="Calibri"/>
          <w:sz w:val="22"/>
          <w:szCs w:val="22"/>
          <w:lang w:eastAsia="en-US"/>
        </w:rPr>
        <w:t>VU la directive (UE) 2015/1535 du Parlement européen et du Conseil du 9 septembre 2015, prévoyant une procédure d’information dans le domaine des réglementations techniques et des règles relatives aux services de la société de l’information (texte codifié), et notamment la notification n° année/XXX/F»</w:t>
      </w:r>
    </w:p>
    <w:p>
      <w:pPr>
        <w:pStyle w:val="Normal"/>
        <w:ind w:left="0" w:right="0" w:firstLine="708"/>
        <w:rPr>
          <w:rFonts w:ascii="Calibri" w:hAnsi="Calibri" w:eastAsia="Calibri" w:cs="Calibri"/>
          <w:sz w:val="22"/>
          <w:szCs w:val="22"/>
          <w:lang w:eastAsia="en-US"/>
        </w:rPr>
      </w:pPr>
      <w:r>
        <w:rPr>
          <w:rFonts w:eastAsia="Calibri" w:cs="Calibri" w:ascii="Calibri" w:hAnsi="Calibri"/>
          <w:sz w:val="22"/>
          <w:szCs w:val="22"/>
          <w:lang w:eastAsia="en-US"/>
        </w:rPr>
      </w:r>
    </w:p>
    <w:p>
      <w:pPr>
        <w:pStyle w:val="SNVisa"/>
        <w:tabs>
          <w:tab w:val="clear" w:pos="708"/>
        </w:tabs>
        <w:ind w:left="708" w:right="0" w:hanging="0"/>
        <w:rPr/>
      </w:pPr>
      <w:r>
        <w:rPr/>
        <w:t>Vu le code de commerce, notamment son article L. 321-1,</w:t>
      </w:r>
    </w:p>
    <w:p>
      <w:pPr>
        <w:pStyle w:val="SNVisa"/>
        <w:ind w:left="0" w:right="0" w:firstLine="708"/>
        <w:rPr/>
      </w:pPr>
      <w:r>
        <w:rPr/>
        <w:t xml:space="preserve">Vu le code de la consommation, notamment son article L. 122-21-1, dans sa rédaction </w:t>
      </w:r>
      <w:r>
        <w:rPr/>
        <w:t>issue de  l’article 37</w:t>
      </w:r>
      <w:r>
        <w:rPr/>
        <w:t xml:space="preserve"> de la loi n° 2020-105 du 10 février 2020 relative à la lutte contre le gaspillage et à l’économie circulaire,</w:t>
      </w:r>
    </w:p>
    <w:p>
      <w:pPr>
        <w:pStyle w:val="Normal1"/>
        <w:tabs>
          <w:tab w:val="clear" w:pos="708"/>
        </w:tabs>
        <w:spacing w:before="100" w:after="100"/>
        <w:ind w:left="708" w:right="0" w:hanging="0"/>
        <w:jc w:val="both"/>
        <w:rPr/>
      </w:pPr>
      <w:r>
        <w:rPr/>
        <w:t>Vu la loi n° 78-17 du 6 janvier 1978 modifiée relative à l'informatique, aux fichiers et aux libertés</w:t>
      </w:r>
    </w:p>
    <w:p>
      <w:pPr>
        <w:pStyle w:val="SNVisa"/>
        <w:ind w:left="0" w:right="0" w:firstLine="708"/>
        <w:rPr/>
      </w:pPr>
      <w:r>
        <w:rPr/>
        <w:t>Le Conseil d’État (section des finances) entendu,</w:t>
      </w:r>
    </w:p>
    <w:p>
      <w:pPr>
        <w:pStyle w:val="SNActe"/>
        <w:rPr/>
      </w:pPr>
      <w:r>
        <w:rPr/>
        <w:t>Décrète :</w:t>
      </w:r>
    </w:p>
    <w:p>
      <w:pPr>
        <w:pStyle w:val="SNArticle"/>
        <w:rPr/>
      </w:pPr>
      <w:r>
        <w:rPr/>
        <w:t>Article 1er</w:t>
      </w:r>
    </w:p>
    <w:p>
      <w:pPr>
        <w:pStyle w:val="Corpsdetexte"/>
        <w:rPr/>
      </w:pPr>
      <w:r>
        <w:rPr/>
        <w:t>Le chapitre II du titre II du livre Ier du code de la consommation est modifié comme suit :</w:t>
      </w:r>
    </w:p>
    <w:p>
      <w:pPr>
        <w:pStyle w:val="Corpsdetexte"/>
        <w:rPr/>
      </w:pPr>
      <w:r>
        <w:rPr/>
        <w:t>1° La Section unique devient la Section 1;</w:t>
      </w:r>
    </w:p>
    <w:p>
      <w:pPr>
        <w:pStyle w:val="Corpsdetexte"/>
        <w:rPr/>
      </w:pPr>
      <w:r>
        <w:rPr/>
        <w:t>2° Il est complété par une section 2 ainsi rédigée :</w:t>
      </w:r>
    </w:p>
    <w:p>
      <w:pPr>
        <w:pStyle w:val="Corpsdetexte"/>
        <w:jc w:val="center"/>
        <w:rPr/>
      </w:pPr>
      <w:r>
        <w:rPr/>
        <w:t>« Section 2</w:t>
      </w:r>
    </w:p>
    <w:p>
      <w:pPr>
        <w:pStyle w:val="Corpsdetexte"/>
        <w:jc w:val="center"/>
        <w:rPr/>
      </w:pPr>
      <w:r>
        <w:rPr/>
        <w:t>« Utilisation des termes « reconditionné » et « produit reconditionné »</w:t>
      </w:r>
    </w:p>
    <w:p>
      <w:pPr>
        <w:pStyle w:val="Corpsdetexte"/>
        <w:spacing w:before="100" w:after="100"/>
        <w:rPr/>
      </w:pPr>
      <w:r>
        <w:rPr/>
        <w:t>« </w:t>
      </w:r>
      <w:r>
        <w:rPr>
          <w:rStyle w:val="Policepardfaut"/>
          <w:i/>
        </w:rPr>
        <w:t>Art. R. 122-4.</w:t>
      </w:r>
      <w:r>
        <w:rPr/>
        <w:t xml:space="preserve"> - Un produit ou une pièce détachée peut être qualifié de « produit reconditionné » ou être accompagné du terme « reconditionné », dès lors que toutes les conditions suivantes sont réunies :</w:t>
      </w:r>
    </w:p>
    <w:p>
      <w:pPr>
        <w:pStyle w:val="Corpsdetexte"/>
        <w:spacing w:before="100" w:after="100"/>
        <w:rPr/>
      </w:pPr>
      <w:r>
        <w:rPr/>
        <w:t>« 1° Il doit s’agir d’un produit ou d’une pièce détachée d’occasion, au sens de l’article L. 321-1 du code de commerce, ayant subi des tests portant sur toutes ses fonctionnalités afin d’établir qu’il ou elle répond aux obligations légales de sécurité et à l’usage auquel le consommateur peut légitimement s’attendre, ainsi que, s’il y a lieu, une ou plusieurs interventions afin de lui restituer ses fonctionnalités ;</w:t>
      </w:r>
    </w:p>
    <w:p>
      <w:pPr>
        <w:pStyle w:val="Normal1"/>
        <w:spacing w:before="100" w:after="100"/>
        <w:jc w:val="both"/>
        <w:rPr/>
      </w:pPr>
      <w:r>
        <w:rPr/>
        <w:t xml:space="preserve"> </w:t>
      </w:r>
      <w:r>
        <w:rPr/>
        <w:t>« 2° A chaque fois que nécessaire, l’intervention ou les interventions précisées à l’alinéa précédent inclu(en)t la suppression de toutes les données à caractère personnel enregistrées ou conservées en lien avec un précédent usage ou un précédent utilisateur dans le respect des dispositions du règlement (UE) n° 2016/679 du Parlement européen et du Conseil du 27 avril 2016 relatif à la protection des personnes physiques à l'égard du traitement des données à caractère personnel et à la libre circulation de ces données et de la loi n° 78-17 du 6 janvier 1978 relative à l'informatique, aux fichiers et aux libertés, en particulier, en ce qui concerne le droit à la récupération et à la portabilité des données à caractère personnel ;</w:t>
      </w:r>
    </w:p>
    <w:p>
      <w:pPr>
        <w:pStyle w:val="Normal1"/>
        <w:spacing w:before="100" w:after="100"/>
        <w:jc w:val="both"/>
        <w:rPr/>
      </w:pPr>
      <w:r>
        <w:rPr/>
        <w:t>Il appartient au professionnel proposant la vente d’un produit ou d’une pièce détachée qualifié de « produit reconditionné » ou accompagné du terme « reconditionné », de prouver que les opérations prévues aux alinéas précédents ont été réalisées.</w:t>
      </w:r>
    </w:p>
    <w:p>
      <w:pPr>
        <w:pStyle w:val="Corpsdetexte"/>
        <w:spacing w:before="100" w:after="100"/>
        <w:rPr/>
      </w:pPr>
      <w:r>
        <w:rPr>
          <w:rStyle w:val="Policepardfaut"/>
          <w:i/>
        </w:rPr>
        <w:t xml:space="preserve">« Art. R. 122-5. - </w:t>
      </w:r>
      <w:r>
        <w:rPr/>
        <w:t>L’intervention ou les interventions effectuée(s) sur le produit ou la pièce détachée justifiant l’emploi des termes « produit reconditionné » ou « reconditionné » ou « reconditionné en France » constitue(nt) une caractéristique essentielle de celui ou de celle-ci ».</w:t>
      </w:r>
    </w:p>
    <w:p>
      <w:pPr>
        <w:pStyle w:val="Corpsdetexte"/>
        <w:spacing w:before="100" w:after="100"/>
        <w:rPr/>
      </w:pPr>
      <w:r>
        <w:rPr>
          <w:rStyle w:val="Policepardfaut"/>
          <w:i/>
        </w:rPr>
        <w:t>« Art. R. 122-6.</w:t>
      </w:r>
      <w:r>
        <w:rPr/>
        <w:t xml:space="preserve"> - Les expressions « état neuf », « comme neuf », « à neuf » ou toute mention équivalente, ne peuvent être utilisées pour un produit ou une pièce détachée qualifié de « produit reconditionné » ou accompagné de la mention « reconditionné ».</w:t>
      </w:r>
    </w:p>
    <w:p>
      <w:pPr>
        <w:pStyle w:val="Corpsdetexte"/>
        <w:spacing w:before="100" w:after="100"/>
        <w:rPr/>
      </w:pPr>
      <w:r>
        <w:rPr>
          <w:rStyle w:val="Policepardfaut"/>
          <w:i/>
        </w:rPr>
        <w:t>« Art. R. 122-7.</w:t>
      </w:r>
      <w:r>
        <w:rPr/>
        <w:t xml:space="preserve"> – L’utilisation de la mention « reconditionné en France » est réservée aux opérations mentionnées à l’article R. 122-4 qui sont réalisées en totalité sur le territoire national.</w:t>
      </w:r>
    </w:p>
    <w:p>
      <w:pPr>
        <w:pStyle w:val="Corpsdetexte"/>
        <w:spacing w:lineRule="auto" w:line="244" w:before="100" w:after="100"/>
        <w:jc w:val="center"/>
        <w:rPr>
          <w:b/>
          <w:b/>
        </w:rPr>
      </w:pPr>
      <w:r>
        <w:rPr>
          <w:b/>
        </w:rPr>
        <w:t>Article 2</w:t>
      </w:r>
    </w:p>
    <w:p>
      <w:pPr>
        <w:pStyle w:val="Corpsdetexte"/>
        <w:spacing w:lineRule="auto" w:line="244" w:before="100" w:after="100"/>
        <w:rPr/>
      </w:pPr>
      <w:r>
        <w:rPr/>
        <w:t>Le présent décret entre en vigueur le 1</w:t>
      </w:r>
      <w:r>
        <w:rPr>
          <w:rStyle w:val="Policepardfaut"/>
          <w:position w:val="6"/>
          <w:sz w:val="14"/>
        </w:rPr>
        <w:t>er</w:t>
      </w:r>
      <w:r>
        <w:rPr/>
        <w:t xml:space="preserve"> </w:t>
      </w:r>
      <w:r>
        <w:rPr/>
        <w:t>avril</w:t>
      </w:r>
      <w:r>
        <w:rPr/>
        <w:t xml:space="preserve"> 2021.</w:t>
      </w:r>
    </w:p>
    <w:p>
      <w:pPr>
        <w:pStyle w:val="Corpsdetexte"/>
        <w:spacing w:lineRule="auto" w:line="244" w:before="100" w:after="100"/>
        <w:jc w:val="center"/>
        <w:rPr>
          <w:b/>
          <w:b/>
        </w:rPr>
      </w:pPr>
      <w:r>
        <w:rPr>
          <w:b/>
        </w:rPr>
        <w:t>Article 3</w:t>
      </w:r>
    </w:p>
    <w:p>
      <w:pPr>
        <w:pStyle w:val="Corpsdetexte"/>
        <w:rPr/>
      </w:pPr>
      <w:r>
        <w:rPr/>
        <w:t>La ministre de la transition écologique et le ministre de l'économie, des finances et de la relance sont chargés, chacun en ce qui le concerne, de l'exécution du présent décret, qui sera publié au Journal officiel de la République française.</w:t>
      </w:r>
    </w:p>
    <w:p>
      <w:pPr>
        <w:pStyle w:val="Corpsdetexte"/>
        <w:rPr/>
      </w:pPr>
      <w:r>
        <w:rPr/>
      </w:r>
    </w:p>
    <w:p>
      <w:pPr>
        <w:pStyle w:val="Corpsdetexte"/>
        <w:rPr/>
      </w:pPr>
      <w:r>
        <w:rPr/>
      </w:r>
    </w:p>
    <w:p>
      <w:pPr>
        <w:pStyle w:val="SNContreseing"/>
        <w:rPr/>
      </w:pPr>
      <w:r>
        <w:rPr/>
        <w:t>Fait, le :</w:t>
      </w:r>
    </w:p>
    <w:p>
      <w:pPr>
        <w:pStyle w:val="SNContreseing"/>
        <w:rPr/>
      </w:pPr>
      <w:r>
        <w:rPr/>
        <w:t>Par le Premier ministre,</w:t>
      </w:r>
    </w:p>
    <w:p>
      <w:pPr>
        <w:pStyle w:val="Normal1"/>
        <w:spacing w:lineRule="auto" w:line="240" w:before="100" w:after="100"/>
        <w:rPr>
          <w:rFonts w:eastAsia="Times New Roman"/>
          <w:lang w:eastAsia="fr-FR"/>
        </w:rPr>
      </w:pPr>
      <w:r>
        <w:rPr>
          <w:rFonts w:eastAsia="Times New Roman"/>
          <w:lang w:eastAsia="fr-FR"/>
        </w:rPr>
      </w:r>
    </w:p>
    <w:p>
      <w:pPr>
        <w:pStyle w:val="Normal1"/>
        <w:spacing w:lineRule="auto" w:line="240" w:before="100" w:after="100"/>
        <w:rPr>
          <w:rFonts w:eastAsia="Times New Roman"/>
          <w:lang w:eastAsia="fr-FR"/>
        </w:rPr>
      </w:pPr>
      <w:r>
        <w:rPr>
          <w:rFonts w:eastAsia="Times New Roman"/>
          <w:lang w:eastAsia="fr-FR"/>
        </w:rPr>
        <w:t>La ministre de la transition écologique</w:t>
      </w:r>
    </w:p>
    <w:p>
      <w:pPr>
        <w:pStyle w:val="Normal1"/>
        <w:spacing w:lineRule="auto" w:line="240" w:before="0" w:after="0"/>
        <w:rPr>
          <w:rFonts w:eastAsia="Times New Roman"/>
          <w:lang w:eastAsia="fr-FR"/>
        </w:rPr>
      </w:pPr>
      <w:r>
        <w:rPr>
          <w:rFonts w:eastAsia="Times New Roman"/>
          <w:lang w:eastAsia="fr-FR"/>
        </w:rPr>
        <w:t>Barbara POMPILI</w:t>
      </w:r>
    </w:p>
    <w:p>
      <w:pPr>
        <w:pStyle w:val="Normal1"/>
        <w:tabs>
          <w:tab w:val="clear" w:pos="708"/>
        </w:tabs>
        <w:spacing w:lineRule="auto" w:line="240" w:before="100" w:after="100"/>
        <w:ind w:left="5040" w:right="0" w:hanging="0"/>
        <w:rPr>
          <w:rFonts w:eastAsia="Times New Roman"/>
          <w:lang w:eastAsia="fr-FR"/>
        </w:rPr>
      </w:pPr>
      <w:r>
        <w:rPr>
          <w:rFonts w:eastAsia="Times New Roman"/>
          <w:lang w:eastAsia="fr-FR"/>
        </w:rPr>
        <w:t>Le ministre de l’économie,  des finances et de la relance</w:t>
      </w:r>
    </w:p>
    <w:p>
      <w:pPr>
        <w:pStyle w:val="Normal1"/>
        <w:tabs>
          <w:tab w:val="clear" w:pos="708"/>
        </w:tabs>
        <w:spacing w:lineRule="auto" w:line="240" w:before="100" w:after="100"/>
        <w:ind w:left="5040" w:right="0" w:hanging="0"/>
        <w:rPr>
          <w:rFonts w:eastAsia="Times New Roman"/>
          <w:lang w:eastAsia="fr-FR"/>
        </w:rPr>
      </w:pPr>
      <w:r>
        <w:rPr>
          <w:rFonts w:eastAsia="Times New Roman"/>
          <w:lang w:eastAsia="fr-FR"/>
        </w:rPr>
        <w:t>Bruno LE MAIRE</w:t>
      </w:r>
    </w:p>
    <w:p>
      <w:pPr>
        <w:pStyle w:val="SNSignatureGauche"/>
        <w:spacing w:before="120" w:after="1680"/>
        <w:ind w:left="0" w:right="0" w:hanging="0"/>
        <w:rPr/>
      </w:pPr>
      <w:r>
        <w:rPr/>
      </w:r>
    </w:p>
    <w:sectPr>
      <w:type w:val="nextPage"/>
      <w:pgSz w:w="11906" w:h="16838"/>
      <w:pgMar w:left="1134" w:right="1418" w:header="0" w:top="1134" w:footer="0" w:bottom="1418" w:gutter="0"/>
      <w:pgNumType w:fmt="decimal"/>
      <w:formProt w:val="false"/>
      <w:textDirection w:val="lrTb"/>
      <w:docGrid w:type="default" w:linePitch="600" w:charSpace="4096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Liberation Sans">
    <w:altName w:val="Arial"/>
    <w:charset w:val="00"/>
    <w:family w:val="swiss"/>
    <w:pitch w:val="variable"/>
  </w:font>
  <w:font w:name="Tahoma">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re1"/>
      <w:numFmt w:val="none"/>
      <w:suff w:val="nothing"/>
      <w:lvlText w:val=""/>
      <w:lvlJc w:val="left"/>
      <w:pPr>
        <w:tabs>
          <w:tab w:val="num" w:pos="0"/>
        </w:tabs>
        <w:ind w:left="0" w:hanging="0"/>
      </w:pPr>
    </w:lvl>
    <w:lvl w:ilvl="1">
      <w:start w:val="1"/>
      <w:pStyle w:val="Titre2"/>
      <w:numFmt w:val="none"/>
      <w:suff w:val="nothing"/>
      <w:lvlText w:val=""/>
      <w:lvlJc w:val="left"/>
      <w:pPr>
        <w:tabs>
          <w:tab w:val="num" w:pos="0"/>
        </w:tabs>
        <w:ind w:left="0" w:hanging="0"/>
      </w:pPr>
    </w:lvl>
    <w:lvl w:ilvl="2">
      <w:start w:val="1"/>
      <w:pStyle w:val="Titre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fr-FR" w:bidi="ar-SA"/>
      </w:rPr>
    </w:rPrDefault>
    <w:pPrDefault>
      <w:pPr>
        <w:widowControl/>
        <w:suppressAutoHyphens w:val="false"/>
        <w:textAlignment w:val="baseline"/>
      </w:pPr>
    </w:pPrDefault>
  </w:docDefaults>
  <w:style w:type="paragraph" w:styleId="Normal">
    <w:name w:val="Normal"/>
    <w:qFormat/>
    <w:pPr>
      <w:keepNext w:val="false"/>
      <w:keepLines w:val="false"/>
      <w:pageBreakBefore w:val="false"/>
      <w:widowControl/>
      <w:pBdr/>
      <w:shd w:fill="auto" w:val="clear"/>
      <w:suppressAutoHyphens w:val="false"/>
      <w:kinsoku w:val="true"/>
      <w:overflowPunct w:val="true"/>
      <w:autoSpaceDE w:val="true"/>
      <w:bidi w:val="0"/>
      <w:snapToGrid w:val="true"/>
      <w:spacing w:lineRule="auto" w:line="240"/>
      <w:jc w:val="left"/>
      <w:textAlignment w:val="baseline"/>
    </w:pPr>
    <w:rPr>
      <w:rFonts w:ascii="Times New Roman" w:hAnsi="Times New Roman" w:eastAsia="Times New Roman" w:cs="Times New Roman"/>
      <w:b w:val="false"/>
      <w:bCs w:val="false"/>
      <w:i w:val="false"/>
      <w:iCs w:val="false"/>
      <w:caps w:val="false"/>
      <w:smallCaps w:val="false"/>
      <w:strike w:val="false"/>
      <w:dstrike w:val="false"/>
      <w:outline w:val="false"/>
      <w:emboss w:val="false"/>
      <w:imprint w:val="false"/>
      <w:color w:val="auto"/>
      <w:spacing w:val="0"/>
      <w:w w:val="100"/>
      <w:kern w:val="0"/>
      <w:position w:val="0"/>
      <w:sz w:val="20"/>
      <w:sz w:val="20"/>
      <w:szCs w:val="20"/>
      <w:u w:val="none"/>
      <w:vertAlign w:val="baseline"/>
      <w:em w:val="none"/>
      <w:lang w:val="fr-FR" w:eastAsia="fr-FR" w:bidi="ar-SA"/>
    </w:rPr>
  </w:style>
  <w:style w:type="paragraph" w:styleId="Titre1">
    <w:name w:val="Heading 1"/>
    <w:basedOn w:val="Normal1"/>
    <w:next w:val="Normal1"/>
    <w:autoRedefine/>
    <w:qFormat/>
    <w:pPr>
      <w:keepNext w:val="true"/>
      <w:numPr>
        <w:ilvl w:val="0"/>
        <w:numId w:val="1"/>
      </w:numPr>
      <w:suppressAutoHyphens w:val="true"/>
      <w:spacing w:before="240" w:after="0"/>
      <w:jc w:val="center"/>
      <w:outlineLvl w:val="0"/>
    </w:pPr>
    <w:rPr>
      <w:rFonts w:cs="Arial"/>
      <w:bCs/>
      <w:caps/>
      <w:kern w:val="2"/>
    </w:rPr>
  </w:style>
  <w:style w:type="paragraph" w:styleId="Titre2">
    <w:name w:val="Heading 2"/>
    <w:basedOn w:val="Normal1"/>
    <w:next w:val="Normal1"/>
    <w:autoRedefine/>
    <w:qFormat/>
    <w:pPr>
      <w:keepNext w:val="true"/>
      <w:numPr>
        <w:ilvl w:val="1"/>
        <w:numId w:val="1"/>
      </w:numPr>
      <w:suppressAutoHyphens w:val="true"/>
      <w:spacing w:before="240" w:after="0"/>
      <w:jc w:val="center"/>
      <w:outlineLvl w:val="1"/>
    </w:pPr>
    <w:rPr>
      <w:bCs/>
      <w:iCs/>
      <w:smallCaps/>
    </w:rPr>
  </w:style>
  <w:style w:type="paragraph" w:styleId="Titre3">
    <w:name w:val="Heading 3"/>
    <w:basedOn w:val="Normal1"/>
    <w:next w:val="Normal1"/>
    <w:autoRedefine/>
    <w:qFormat/>
    <w:pPr>
      <w:keepNext w:val="true"/>
      <w:numPr>
        <w:ilvl w:val="2"/>
        <w:numId w:val="1"/>
      </w:numPr>
      <w:suppressAutoHyphens w:val="true"/>
      <w:spacing w:before="120" w:after="0"/>
      <w:jc w:val="center"/>
      <w:outlineLvl w:val="2"/>
    </w:pPr>
    <w:rPr>
      <w:rFonts w:cs="Arial"/>
      <w:bCs/>
      <w:szCs w:val="26"/>
    </w:rPr>
  </w:style>
  <w:style w:type="character" w:styleId="Policepardfaut">
    <w:name w:val="Police par défaut"/>
    <w:qFormat/>
    <w:rPr/>
  </w:style>
  <w:style w:type="character" w:styleId="SNTimbreCar">
    <w:name w:val="SNTimbre Car"/>
    <w:basedOn w:val="Policepardfaut"/>
    <w:qFormat/>
    <w:rPr>
      <w:rFonts w:eastAsia="Lucida Sans Unicode"/>
      <w:sz w:val="24"/>
      <w:szCs w:val="24"/>
      <w:lang w:val="fr-FR" w:bidi="ar-SA"/>
    </w:rPr>
  </w:style>
  <w:style w:type="character" w:styleId="SNDateCar">
    <w:name w:val="SNDate Car"/>
    <w:basedOn w:val="Policepardfaut"/>
    <w:qFormat/>
    <w:rPr>
      <w:sz w:val="24"/>
      <w:szCs w:val="24"/>
      <w:lang w:val="fr-FR" w:eastAsia="fr-FR" w:bidi="ar-SA"/>
    </w:rPr>
  </w:style>
  <w:style w:type="character" w:styleId="SNArticleCar">
    <w:name w:val="SNArticle Car"/>
    <w:basedOn w:val="Policepardfaut"/>
    <w:qFormat/>
    <w:rPr>
      <w:b/>
      <w:sz w:val="24"/>
      <w:szCs w:val="24"/>
      <w:lang w:val="fr-FR" w:eastAsia="fr-FR" w:bidi="ar-SA"/>
    </w:rPr>
  </w:style>
  <w:style w:type="character" w:styleId="EntteCar">
    <w:name w:val="En-tête Car"/>
    <w:basedOn w:val="Policepardfaut"/>
    <w:qFormat/>
    <w:rPr/>
  </w:style>
  <w:style w:type="character" w:styleId="Marquedecommentaire">
    <w:name w:val="Marque de commentaire"/>
    <w:basedOn w:val="Policepardfaut"/>
    <w:qFormat/>
    <w:rPr>
      <w:rFonts w:cs="Times New Roman"/>
      <w:sz w:val="16"/>
    </w:rPr>
  </w:style>
  <w:style w:type="character" w:styleId="CommentaireCar">
    <w:name w:val="Commentaire Car"/>
    <w:basedOn w:val="Policepardfaut"/>
    <w:qFormat/>
    <w:rPr/>
  </w:style>
  <w:style w:type="character" w:styleId="ObjetducommentaireCar">
    <w:name w:val="Objet du commentaire Car"/>
    <w:basedOn w:val="CommentaireCar"/>
    <w:qFormat/>
    <w:rPr>
      <w:b/>
      <w:bCs/>
    </w:rPr>
  </w:style>
  <w:style w:type="character" w:styleId="CitationintenseCar">
    <w:name w:val="Citation intense Car"/>
    <w:basedOn w:val="Policepardfaut"/>
    <w:qFormat/>
    <w:rPr>
      <w:rFonts w:ascii="Calibri" w:hAnsi="Calibri" w:eastAsia="Calibri" w:cs="Calibri"/>
      <w:i/>
      <w:iCs/>
      <w:color w:val="5B9BD5"/>
      <w:sz w:val="22"/>
      <w:szCs w:val="22"/>
      <w:lang w:eastAsia="en-US"/>
    </w:rPr>
  </w:style>
  <w:style w:type="character" w:styleId="CorpsdetexteCar">
    <w:name w:val="Corps de texte Car"/>
    <w:basedOn w:val="Policepardfaut"/>
    <w:qFormat/>
    <w:rPr>
      <w:sz w:val="24"/>
      <w:szCs w:val="24"/>
    </w:rPr>
  </w:style>
  <w:style w:type="character" w:styleId="LienInternet">
    <w:name w:val="Lien Internet"/>
    <w:rPr>
      <w:color w:val="0000FF"/>
      <w:u w:val="single"/>
    </w:rPr>
  </w:style>
  <w:style w:type="character" w:styleId="DefaultParagraphFont">
    <w:name w:val="Default Paragraph Font"/>
    <w:qFormat/>
    <w:rPr/>
  </w:style>
  <w:style w:type="paragraph" w:styleId="Titre">
    <w:name w:val="Titre"/>
    <w:basedOn w:val="Normal"/>
    <w:next w:val="Corpsdetexte"/>
    <w:qFormat/>
    <w:pPr>
      <w:keepNext w:val="true"/>
      <w:suppressAutoHyphens w:val="false"/>
      <w:spacing w:before="240" w:after="120"/>
    </w:pPr>
    <w:rPr>
      <w:rFonts w:ascii="Liberation Sans" w:hAnsi="Liberation Sans" w:eastAsia="MS Gothic" w:cs="Tahoma"/>
      <w:sz w:val="28"/>
      <w:szCs w:val="28"/>
    </w:rPr>
  </w:style>
  <w:style w:type="paragraph" w:styleId="Corpsdetexte">
    <w:name w:val="Body Text"/>
    <w:basedOn w:val="Normal1"/>
    <w:pPr>
      <w:suppressAutoHyphens w:val="true"/>
      <w:spacing w:before="0" w:after="120"/>
      <w:jc w:val="both"/>
    </w:pPr>
    <w:rPr/>
  </w:style>
  <w:style w:type="paragraph" w:styleId="Normal1">
    <w:name w:val="LO-Normal"/>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2" w:before="0" w:after="160"/>
      <w:jc w:val="left"/>
      <w:textAlignment w:val="baseline"/>
    </w:pPr>
    <w:rPr>
      <w:rFonts w:ascii="Calibri" w:hAnsi="Calibri" w:eastAsia="Calibri" w:cs="Calibri"/>
      <w:b w:val="false"/>
      <w:bCs w:val="false"/>
      <w:i w:val="false"/>
      <w:iCs w:val="false"/>
      <w:caps w:val="false"/>
      <w:smallCaps w:val="false"/>
      <w:strike w:val="false"/>
      <w:dstrike w:val="false"/>
      <w:outline w:val="false"/>
      <w:emboss w:val="false"/>
      <w:imprint w:val="false"/>
      <w:color w:val="auto"/>
      <w:spacing w:val="0"/>
      <w:w w:val="100"/>
      <w:kern w:val="0"/>
      <w:position w:val="0"/>
      <w:sz w:val="22"/>
      <w:sz w:val="22"/>
      <w:szCs w:val="22"/>
      <w:u w:val="none"/>
      <w:vertAlign w:val="baseline"/>
      <w:em w:val="none"/>
      <w:lang w:eastAsia="en-US" w:val="fr-FR" w:bidi="ar-SA"/>
    </w:rPr>
  </w:style>
  <w:style w:type="paragraph" w:styleId="SNREPUBLIQUE">
    <w:name w:val="SNREPUBLIQUE"/>
    <w:basedOn w:val="Normal1"/>
    <w:qFormat/>
    <w:pPr>
      <w:suppressAutoHyphens w:val="true"/>
      <w:jc w:val="center"/>
    </w:pPr>
    <w:rPr>
      <w:b/>
      <w:bCs/>
      <w:szCs w:val="20"/>
    </w:rPr>
  </w:style>
  <w:style w:type="paragraph" w:styleId="Puce1">
    <w:name w:val="puce1"/>
    <w:basedOn w:val="Normal1"/>
    <w:qFormat/>
    <w:pPr>
      <w:widowControl w:val="false"/>
      <w:tabs>
        <w:tab w:val="clear" w:pos="708"/>
        <w:tab w:val="left" w:pos="0" w:leader="none"/>
      </w:tabs>
      <w:suppressAutoHyphens w:val="true"/>
      <w:spacing w:before="240" w:after="0"/>
      <w:ind w:left="1429" w:right="0" w:hanging="360"/>
    </w:pPr>
    <w:rPr>
      <w:rFonts w:eastAsia="Lucida Sans Unicode"/>
    </w:rPr>
  </w:style>
  <w:style w:type="paragraph" w:styleId="Puce2">
    <w:name w:val="puce2"/>
    <w:basedOn w:val="Normal1"/>
    <w:qFormat/>
    <w:pPr>
      <w:widowControl w:val="false"/>
      <w:tabs>
        <w:tab w:val="clear" w:pos="708"/>
        <w:tab w:val="left" w:pos="0" w:leader="none"/>
      </w:tabs>
      <w:suppressAutoHyphens w:val="true"/>
      <w:spacing w:before="240" w:after="0"/>
      <w:ind w:left="2149" w:right="0" w:hanging="360"/>
    </w:pPr>
    <w:rPr>
      <w:rFonts w:eastAsia="Lucida Sans Unicode"/>
    </w:rPr>
  </w:style>
  <w:style w:type="paragraph" w:styleId="Puce3">
    <w:name w:val="puce3"/>
    <w:basedOn w:val="Normal1"/>
    <w:qFormat/>
    <w:pPr>
      <w:widowControl w:val="false"/>
      <w:tabs>
        <w:tab w:val="clear" w:pos="708"/>
        <w:tab w:val="left" w:pos="0" w:leader="none"/>
      </w:tabs>
      <w:suppressAutoHyphens w:val="true"/>
      <w:spacing w:before="240" w:after="0"/>
      <w:ind w:left="2869" w:right="0" w:hanging="360"/>
    </w:pPr>
    <w:rPr>
      <w:rFonts w:eastAsia="Lucida Sans Unicode"/>
    </w:rPr>
  </w:style>
  <w:style w:type="paragraph" w:styleId="Num1">
    <w:name w:val="num1"/>
    <w:basedOn w:val="Normal1"/>
    <w:qFormat/>
    <w:pPr>
      <w:widowControl w:val="false"/>
      <w:tabs>
        <w:tab w:val="clear" w:pos="708"/>
        <w:tab w:val="left" w:pos="0" w:leader="none"/>
      </w:tabs>
      <w:suppressAutoHyphens w:val="true"/>
      <w:spacing w:before="240" w:after="0"/>
      <w:ind w:left="1429" w:right="0" w:hanging="360"/>
    </w:pPr>
    <w:rPr>
      <w:rFonts w:eastAsia="Lucida Sans Unicode"/>
    </w:rPr>
  </w:style>
  <w:style w:type="paragraph" w:styleId="Num2">
    <w:name w:val="num2"/>
    <w:basedOn w:val="Normal1"/>
    <w:qFormat/>
    <w:pPr>
      <w:widowControl w:val="false"/>
      <w:tabs>
        <w:tab w:val="clear" w:pos="708"/>
        <w:tab w:val="left" w:pos="0" w:leader="none"/>
      </w:tabs>
      <w:suppressAutoHyphens w:val="true"/>
      <w:spacing w:before="240" w:after="0"/>
      <w:ind w:left="2149" w:right="0" w:hanging="360"/>
    </w:pPr>
    <w:rPr>
      <w:rFonts w:eastAsia="Lucida Sans Unicode"/>
    </w:rPr>
  </w:style>
  <w:style w:type="paragraph" w:styleId="Num3">
    <w:name w:val="num3"/>
    <w:basedOn w:val="Normal1"/>
    <w:qFormat/>
    <w:pPr>
      <w:widowControl w:val="false"/>
      <w:tabs>
        <w:tab w:val="clear" w:pos="708"/>
        <w:tab w:val="left" w:pos="0" w:leader="none"/>
      </w:tabs>
      <w:suppressAutoHyphens w:val="true"/>
      <w:spacing w:before="240" w:after="0"/>
      <w:ind w:left="2869" w:right="0" w:hanging="180"/>
    </w:pPr>
    <w:rPr>
      <w:rFonts w:eastAsia="Lucida Sans Unicode"/>
    </w:rPr>
  </w:style>
  <w:style w:type="paragraph" w:styleId="SNConsultation">
    <w:name w:val="SNConsultation"/>
    <w:basedOn w:val="Normal1"/>
    <w:autoRedefine/>
    <w:qFormat/>
    <w:pPr>
      <w:widowControl w:val="false"/>
      <w:suppressAutoHyphens w:val="true"/>
      <w:spacing w:before="120" w:after="120"/>
      <w:ind w:left="0" w:right="0" w:firstLine="709"/>
      <w:jc w:val="both"/>
    </w:pPr>
    <w:rPr>
      <w:rFonts w:eastAsia="Lucida Sans Unicode"/>
    </w:rPr>
  </w:style>
  <w:style w:type="paragraph" w:styleId="SNNature">
    <w:name w:val="SNNature"/>
    <w:basedOn w:val="Normal1"/>
    <w:next w:val="SNtitre"/>
    <w:autoRedefine/>
    <w:qFormat/>
    <w:pPr>
      <w:widowControl w:val="false"/>
      <w:suppressLineNumbers/>
      <w:suppressAutoHyphens w:val="true"/>
      <w:spacing w:before="720" w:after="120"/>
      <w:jc w:val="center"/>
    </w:pPr>
    <w:rPr>
      <w:rFonts w:eastAsia="Lucida Sans Unicode"/>
      <w:b/>
      <w:bCs/>
    </w:rPr>
  </w:style>
  <w:style w:type="paragraph" w:styleId="SNtitre">
    <w:name w:val="SNtitre"/>
    <w:basedOn w:val="Normal1"/>
    <w:next w:val="SNNORCentr"/>
    <w:autoRedefine/>
    <w:qFormat/>
    <w:pPr>
      <w:widowControl w:val="false"/>
      <w:suppressLineNumbers/>
      <w:suppressAutoHyphens w:val="true"/>
      <w:spacing w:before="0" w:after="360"/>
      <w:jc w:val="center"/>
    </w:pPr>
    <w:rPr>
      <w:rFonts w:eastAsia="Lucida Sans Unicode"/>
      <w:b/>
    </w:rPr>
  </w:style>
  <w:style w:type="paragraph" w:styleId="SNNORCentr">
    <w:name w:val="SNNOR+Centré"/>
    <w:next w:val="SNAutorit"/>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jc w:val="center"/>
      <w:textAlignment w:val="baseline"/>
    </w:pPr>
    <w:rPr>
      <w:rFonts w:ascii="Times New Roman" w:hAnsi="Times New Roman" w:eastAsia="Times New Roman" w:cs="Times New Roman"/>
      <w:b w:val="false"/>
      <w:bCs/>
      <w:i w:val="false"/>
      <w:iCs w:val="false"/>
      <w:caps w:val="false"/>
      <w:smallCaps w:val="false"/>
      <w:strike w:val="false"/>
      <w:dstrike w:val="false"/>
      <w:outline w:val="false"/>
      <w:emboss w:val="false"/>
      <w:imprint w:val="false"/>
      <w:color w:val="auto"/>
      <w:spacing w:val="0"/>
      <w:w w:val="100"/>
      <w:kern w:val="0"/>
      <w:position w:val="0"/>
      <w:sz w:val="24"/>
      <w:sz w:val="24"/>
      <w:szCs w:val="20"/>
      <w:u w:val="none"/>
      <w:vertAlign w:val="baseline"/>
      <w:em w:val="none"/>
      <w:lang w:val="fr-FR" w:eastAsia="fr-FR" w:bidi="ar-SA"/>
    </w:rPr>
  </w:style>
  <w:style w:type="paragraph" w:styleId="SNAutorit">
    <w:name w:val="SNAutorité"/>
    <w:basedOn w:val="Normal1"/>
    <w:autoRedefine/>
    <w:qFormat/>
    <w:pPr>
      <w:suppressAutoHyphens w:val="true"/>
      <w:spacing w:before="100" w:after="100"/>
      <w:ind w:left="0" w:right="0" w:firstLine="720"/>
      <w:jc w:val="both"/>
    </w:pPr>
    <w:rPr/>
  </w:style>
  <w:style w:type="paragraph" w:styleId="SNSignatureprnomnomDroite">
    <w:name w:val="SNSignature prénom+nom Droite"/>
    <w:basedOn w:val="SNSignatureDroite"/>
    <w:next w:val="SNSignatureGauche"/>
    <w:qFormat/>
    <w:pPr>
      <w:suppressAutoHyphens w:val="true"/>
      <w:spacing w:before="0" w:after="120"/>
      <w:ind w:left="5041" w:right="0" w:hanging="0"/>
    </w:pPr>
    <w:rPr/>
  </w:style>
  <w:style w:type="paragraph" w:styleId="SNSignatureDroite">
    <w:name w:val="SNSignatureDroite"/>
    <w:basedOn w:val="Normal1"/>
    <w:next w:val="SNSignatureprnomnomDroite"/>
    <w:autoRedefine/>
    <w:qFormat/>
    <w:pPr>
      <w:tabs>
        <w:tab w:val="clear" w:pos="708"/>
      </w:tabs>
      <w:suppressAutoHyphens w:val="true"/>
      <w:spacing w:before="120" w:after="1680"/>
      <w:ind w:left="5040" w:right="0" w:hanging="0"/>
      <w:jc w:val="right"/>
    </w:pPr>
    <w:rPr>
      <w:color w:val="000000"/>
    </w:rPr>
  </w:style>
  <w:style w:type="paragraph" w:styleId="SNSignatureGauche">
    <w:name w:val="SNSignatureGauche"/>
    <w:basedOn w:val="Normal1"/>
    <w:next w:val="SNSignatureprnomnomGauche"/>
    <w:autoRedefine/>
    <w:qFormat/>
    <w:pPr>
      <w:tabs>
        <w:tab w:val="clear" w:pos="708"/>
      </w:tabs>
      <w:suppressAutoHyphens w:val="true"/>
      <w:spacing w:before="120" w:after="1680"/>
      <w:ind w:left="720" w:right="4494" w:hanging="0"/>
    </w:pPr>
    <w:rPr/>
  </w:style>
  <w:style w:type="paragraph" w:styleId="SNSignatureprnomnomGauche">
    <w:name w:val="SNSignature prénom+nom Gauche"/>
    <w:basedOn w:val="SNSignatureGauche"/>
    <w:next w:val="SNSignatureDroite"/>
    <w:qFormat/>
    <w:pPr>
      <w:suppressAutoHyphens w:val="true"/>
      <w:spacing w:before="0" w:after="120"/>
    </w:pPr>
    <w:rPr>
      <w:color w:val="000000"/>
    </w:rPr>
  </w:style>
  <w:style w:type="paragraph" w:styleId="SNTimbre">
    <w:name w:val="SNTimbre"/>
    <w:basedOn w:val="Normal1"/>
    <w:autoRedefine/>
    <w:qFormat/>
    <w:pPr>
      <w:widowControl w:val="false"/>
      <w:suppressAutoHyphens w:val="true"/>
      <w:snapToGrid w:val="false"/>
      <w:spacing w:before="120" w:after="0"/>
      <w:jc w:val="center"/>
    </w:pPr>
    <w:rPr>
      <w:rFonts w:eastAsia="Lucida Sans Unicode"/>
    </w:rPr>
  </w:style>
  <w:style w:type="paragraph" w:styleId="SNRapport">
    <w:name w:val="SNRapport"/>
    <w:basedOn w:val="Normal1"/>
    <w:autoRedefine/>
    <w:qFormat/>
    <w:pPr>
      <w:suppressAutoHyphens w:val="true"/>
      <w:spacing w:before="240" w:after="120"/>
      <w:ind w:left="0" w:right="0" w:firstLine="720"/>
    </w:pPr>
    <w:rPr/>
  </w:style>
  <w:style w:type="paragraph" w:styleId="SNVisa">
    <w:name w:val="SNVisa"/>
    <w:basedOn w:val="Normal1"/>
    <w:autoRedefine/>
    <w:qFormat/>
    <w:pPr>
      <w:suppressAutoHyphens w:val="true"/>
      <w:spacing w:before="120" w:after="120"/>
      <w:ind w:left="0" w:right="0" w:firstLine="720"/>
      <w:jc w:val="both"/>
    </w:pPr>
    <w:rPr/>
  </w:style>
  <w:style w:type="paragraph" w:styleId="SNDate">
    <w:name w:val="SNDate"/>
    <w:basedOn w:val="Normal1"/>
    <w:next w:val="SNContreseing"/>
    <w:autoRedefine/>
    <w:qFormat/>
    <w:pPr>
      <w:suppressAutoHyphens w:val="true"/>
      <w:spacing w:before="480" w:after="2760"/>
      <w:ind w:left="0" w:right="0" w:firstLine="720"/>
    </w:pPr>
    <w:rPr/>
  </w:style>
  <w:style w:type="paragraph" w:styleId="SNContreseing">
    <w:name w:val="SNContreseing"/>
    <w:basedOn w:val="Normal1"/>
    <w:next w:val="SNSignatureGauche"/>
    <w:autoRedefine/>
    <w:qFormat/>
    <w:pPr>
      <w:suppressAutoHyphens w:val="true"/>
      <w:spacing w:before="480" w:after="0"/>
      <w:ind w:left="0" w:right="0" w:firstLine="720"/>
    </w:pPr>
    <w:rPr/>
  </w:style>
  <w:style w:type="paragraph" w:styleId="SNActe">
    <w:name w:val="SNActe"/>
    <w:basedOn w:val="Normal1"/>
    <w:autoRedefine/>
    <w:qFormat/>
    <w:pPr>
      <w:suppressAutoHyphens w:val="true"/>
      <w:spacing w:before="480" w:after="360"/>
      <w:jc w:val="center"/>
    </w:pPr>
    <w:rPr>
      <w:b/>
    </w:rPr>
  </w:style>
  <w:style w:type="paragraph" w:styleId="SNArticle">
    <w:name w:val="SNArticle"/>
    <w:basedOn w:val="Normal1"/>
    <w:next w:val="Corpsdetexte"/>
    <w:autoRedefine/>
    <w:qFormat/>
    <w:pPr>
      <w:suppressAutoHyphens w:val="true"/>
      <w:spacing w:before="240" w:after="240"/>
      <w:jc w:val="center"/>
    </w:pPr>
    <w:rPr>
      <w:b/>
    </w:rPr>
  </w:style>
  <w:style w:type="paragraph" w:styleId="SNConsidrant">
    <w:name w:val="SNConsidérant"/>
    <w:basedOn w:val="Normal1"/>
    <w:autoRedefine/>
    <w:qFormat/>
    <w:pPr>
      <w:suppressAutoHyphens w:val="true"/>
      <w:ind w:left="0" w:right="0" w:firstLine="720"/>
    </w:pPr>
    <w:rPr/>
  </w:style>
  <w:style w:type="paragraph" w:styleId="SNConsultationCE">
    <w:name w:val="SNConsultationCE"/>
    <w:basedOn w:val="SNConsultation"/>
    <w:autoRedefine/>
    <w:qFormat/>
    <w:pPr>
      <w:suppressAutoHyphens w:val="true"/>
    </w:pPr>
    <w:rPr/>
  </w:style>
  <w:style w:type="paragraph" w:styleId="SNConsultationCM">
    <w:name w:val="SNConsultationCM"/>
    <w:basedOn w:val="SNConsultation"/>
    <w:autoRedefine/>
    <w:qFormat/>
    <w:pPr>
      <w:suppressAutoHyphens w:val="true"/>
    </w:pPr>
    <w:rPr/>
  </w:style>
  <w:style w:type="paragraph" w:styleId="SNDirection">
    <w:name w:val="SNDirection"/>
    <w:basedOn w:val="Normal1"/>
    <w:autoRedefine/>
    <w:qFormat/>
    <w:pPr>
      <w:suppressAutoHyphens w:val="true"/>
      <w:spacing w:before="720" w:after="0"/>
      <w:jc w:val="center"/>
    </w:pPr>
    <w:rPr>
      <w:b/>
    </w:rPr>
  </w:style>
  <w:style w:type="paragraph" w:styleId="SNIntitul">
    <w:name w:val="SNIntitulé"/>
    <w:basedOn w:val="Normal1"/>
    <w:autoRedefine/>
    <w:qFormat/>
    <w:pPr>
      <w:suppressAutoHyphens w:val="true"/>
      <w:jc w:val="center"/>
    </w:pPr>
    <w:rPr/>
  </w:style>
  <w:style w:type="paragraph" w:styleId="SNTitreRapport">
    <w:name w:val="SNTitreRapport"/>
    <w:basedOn w:val="SNActe"/>
    <w:autoRedefine/>
    <w:qFormat/>
    <w:pPr>
      <w:suppressAutoHyphens w:val="true"/>
    </w:pPr>
    <w:rPr/>
  </w:style>
  <w:style w:type="paragraph" w:styleId="SNRfrence">
    <w:name w:val="SNRéférence"/>
    <w:basedOn w:val="Normal1"/>
    <w:autoRedefine/>
    <w:qFormat/>
    <w:pPr>
      <w:suppressAutoHyphens w:val="true"/>
    </w:pPr>
    <w:rPr/>
  </w:style>
  <w:style w:type="paragraph" w:styleId="Textedebulles">
    <w:name w:val="Texte de bulles"/>
    <w:basedOn w:val="Normal1"/>
    <w:qFormat/>
    <w:pPr>
      <w:suppressAutoHyphens w:val="true"/>
    </w:pPr>
    <w:rPr>
      <w:rFonts w:ascii="Tahoma" w:hAnsi="Tahoma" w:eastAsia="Tahoma" w:cs="Tahoma"/>
      <w:sz w:val="16"/>
      <w:szCs w:val="16"/>
    </w:rPr>
  </w:style>
  <w:style w:type="paragraph" w:styleId="TITRE1OBJET">
    <w:name w:val="TITRE 1 OBJET"/>
    <w:basedOn w:val="Titre1"/>
    <w:next w:val="Normal1"/>
    <w:qFormat/>
    <w:pPr>
      <w:numPr>
        <w:ilvl w:val="0"/>
        <w:numId w:val="0"/>
      </w:numPr>
      <w:suppressAutoHyphens w:val="true"/>
      <w:spacing w:before="0" w:after="120"/>
      <w:outlineLvl w:val="0"/>
    </w:pPr>
    <w:rPr>
      <w:b/>
    </w:rPr>
  </w:style>
  <w:style w:type="paragraph" w:styleId="Titre2objet">
    <w:name w:val="Titre 2 objet"/>
    <w:basedOn w:val="Titre2"/>
    <w:next w:val="Normal1"/>
    <w:qFormat/>
    <w:pPr>
      <w:numPr>
        <w:ilvl w:val="0"/>
        <w:numId w:val="0"/>
      </w:numPr>
      <w:suppressAutoHyphens w:val="true"/>
      <w:spacing w:before="0" w:after="120"/>
      <w:outlineLvl w:val="1"/>
    </w:pPr>
    <w:rPr>
      <w:b/>
    </w:rPr>
  </w:style>
  <w:style w:type="paragraph" w:styleId="Titre3objet">
    <w:name w:val="titre 3 objet"/>
    <w:basedOn w:val="Titre3"/>
    <w:next w:val="Normal1"/>
    <w:qFormat/>
    <w:pPr>
      <w:numPr>
        <w:ilvl w:val="0"/>
        <w:numId w:val="0"/>
      </w:numPr>
      <w:suppressAutoHyphens w:val="true"/>
      <w:spacing w:before="0" w:after="0"/>
      <w:outlineLvl w:val="2"/>
    </w:pPr>
    <w:rPr>
      <w:b/>
      <w:szCs w:val="24"/>
    </w:rPr>
  </w:style>
  <w:style w:type="paragraph" w:styleId="Entteetpieddepage">
    <w:name w:val="En-tête et pied de page"/>
    <w:basedOn w:val="Normal"/>
    <w:qFormat/>
    <w:pPr>
      <w:suppressLineNumbers/>
      <w:tabs>
        <w:tab w:val="clear" w:pos="708"/>
        <w:tab w:val="center" w:pos="4819" w:leader="none"/>
        <w:tab w:val="right" w:pos="9638" w:leader="none"/>
      </w:tabs>
    </w:pPr>
    <w:rPr/>
  </w:style>
  <w:style w:type="paragraph" w:styleId="Entte">
    <w:name w:val="Header"/>
    <w:basedOn w:val="Normal1"/>
    <w:pPr>
      <w:tabs>
        <w:tab w:val="clear" w:pos="708"/>
        <w:tab w:val="center" w:pos="4536" w:leader="none"/>
        <w:tab w:val="right" w:pos="9072" w:leader="none"/>
      </w:tabs>
      <w:suppressAutoHyphens w:val="true"/>
    </w:pPr>
    <w:rPr>
      <w:sz w:val="20"/>
      <w:szCs w:val="20"/>
    </w:rPr>
  </w:style>
  <w:style w:type="paragraph" w:styleId="Corpsdetexte1">
    <w:name w:val="corps de texte"/>
    <w:basedOn w:val="Normal1"/>
    <w:qFormat/>
    <w:pPr>
      <w:suppressAutoHyphens w:val="true"/>
      <w:spacing w:before="0" w:after="240"/>
      <w:ind w:left="0" w:right="0" w:firstLine="709"/>
      <w:jc w:val="both"/>
    </w:pPr>
    <w:rPr/>
  </w:style>
  <w:style w:type="paragraph" w:styleId="Commentaire">
    <w:name w:val="Commentaire"/>
    <w:basedOn w:val="Normal1"/>
    <w:qFormat/>
    <w:pPr>
      <w:suppressAutoHyphens w:val="true"/>
    </w:pPr>
    <w:rPr>
      <w:sz w:val="20"/>
      <w:szCs w:val="20"/>
    </w:rPr>
  </w:style>
  <w:style w:type="paragraph" w:styleId="Paragraphedeliste">
    <w:name w:val="Paragraphe de liste"/>
    <w:basedOn w:val="Normal1"/>
    <w:qFormat/>
    <w:pPr>
      <w:tabs>
        <w:tab w:val="clear" w:pos="708"/>
      </w:tabs>
      <w:suppressAutoHyphens w:val="true"/>
      <w:ind w:left="720" w:right="0" w:hanging="0"/>
    </w:pPr>
    <w:rPr/>
  </w:style>
  <w:style w:type="paragraph" w:styleId="Objetducommentaire">
    <w:name w:val="Objet du commentaire"/>
    <w:basedOn w:val="Commentaire"/>
    <w:next w:val="Commentaire"/>
    <w:qFormat/>
    <w:pPr>
      <w:suppressAutoHyphens w:val="true"/>
    </w:pPr>
    <w:rPr>
      <w:b/>
      <w:bCs/>
    </w:rPr>
  </w:style>
  <w:style w:type="paragraph" w:styleId="Citationintense">
    <w:name w:val="Citation intense"/>
    <w:basedOn w:val="Normal1"/>
    <w:next w:val="Normal1"/>
    <w:qFormat/>
    <w:pPr>
      <w:pBdr>
        <w:top w:val="single" w:sz="4" w:space="10" w:color="5B9BD5"/>
        <w:bottom w:val="single" w:sz="4" w:space="10" w:color="5B9BD5"/>
      </w:pBdr>
      <w:tabs>
        <w:tab w:val="clear" w:pos="708"/>
      </w:tabs>
      <w:suppressAutoHyphens w:val="true"/>
      <w:spacing w:before="360" w:after="360"/>
      <w:ind w:left="864" w:right="864" w:hanging="0"/>
      <w:jc w:val="center"/>
    </w:pPr>
    <w:rPr>
      <w:i/>
      <w:iCs/>
      <w:color w:val="5B9BD5"/>
    </w:rPr>
  </w:style>
  <w:style w:type="paragraph" w:styleId="Rvision">
    <w:name w:val="Révision"/>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jc w:val="left"/>
      <w:textAlignment w:val="baseline"/>
    </w:pPr>
    <w:rPr>
      <w:rFonts w:ascii="Times New Roman" w:hAnsi="Times New Roman" w:eastAsia="Times New Roman" w:cs="Times New Roman"/>
      <w:b w:val="false"/>
      <w:bCs w:val="false"/>
      <w:i w:val="false"/>
      <w:iCs w:val="false"/>
      <w:caps w:val="false"/>
      <w:smallCaps w:val="false"/>
      <w:strike w:val="false"/>
      <w:dstrike w:val="false"/>
      <w:outline w:val="false"/>
      <w:emboss w:val="false"/>
      <w:imprint w:val="false"/>
      <w:color w:val="auto"/>
      <w:spacing w:val="0"/>
      <w:w w:val="100"/>
      <w:kern w:val="0"/>
      <w:position w:val="0"/>
      <w:sz w:val="24"/>
      <w:sz w:val="24"/>
      <w:szCs w:val="24"/>
      <w:u w:val="none"/>
      <w:vertAlign w:val="baseline"/>
      <w:em w:val="none"/>
      <w:lang w:val="fr-FR" w:eastAsia="fr-FR" w:bidi="ar-SA"/>
    </w:rPr>
  </w:style>
  <w:style w:type="paragraph" w:styleId="Contenudetableau">
    <w:name w:val="Contenu de tableau"/>
    <w:basedOn w:val="Normal"/>
    <w:qFormat/>
    <w:pPr>
      <w:suppressLineNumbers/>
      <w:suppressAutoHyphens w:val="false"/>
    </w:pPr>
    <w:rPr/>
  </w:style>
  <w:style w:type="paragraph" w:styleId="DocumentMap">
    <w:name w:val="DocumentMap"/>
    <w:qFormat/>
    <w:pPr>
      <w:keepNext w:val="false"/>
      <w:keepLines w:val="false"/>
      <w:pageBreakBefore w:val="false"/>
      <w:widowControl/>
      <w:pBdr/>
      <w:shd w:fill="auto" w:val="clear"/>
      <w:kinsoku w:val="true"/>
      <w:overflowPunct w:val="true"/>
      <w:autoSpaceDE w:val="true"/>
      <w:bidi w:val="0"/>
      <w:snapToGrid w:val="true"/>
      <w:spacing w:lineRule="auto" w:line="240"/>
      <w:jc w:val="left"/>
      <w:textAlignment w:val="auto"/>
    </w:pPr>
    <w:rPr>
      <w:rFonts w:ascii="Times New Roman" w:hAnsi="Times New Roman" w:eastAsia="Times New Roman" w:cs="Times New Roman"/>
      <w:b w:val="false"/>
      <w:bCs w:val="false"/>
      <w:i w:val="false"/>
      <w:iCs w:val="false"/>
      <w:caps w:val="false"/>
      <w:smallCaps w:val="false"/>
      <w:strike w:val="false"/>
      <w:dstrike w:val="false"/>
      <w:outline w:val="false"/>
      <w:emboss w:val="false"/>
      <w:imprint w:val="false"/>
      <w:color w:val="auto"/>
      <w:spacing w:val="0"/>
      <w:w w:val="100"/>
      <w:kern w:val="0"/>
      <w:position w:val="0"/>
      <w:sz w:val="20"/>
      <w:sz w:val="20"/>
      <w:szCs w:val="20"/>
      <w:u w:val="none"/>
      <w:vertAlign w:val="baseline"/>
      <w:em w:val="none"/>
      <w:lang w:val="fr-FR" w:eastAsia="fr-FR"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legifrance.gouv.fr/"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19</TotalTime>
  <Application>LibreOffice/6.4.5.2$Windows_x86 LibreOffice_project/a726b36747cf2001e06b58ad5db1aa3a9a1872d6</Application>
  <Pages>3</Pages>
  <Words>966</Words>
  <Characters>4980</Characters>
  <CharactersWithSpaces>5963</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2020-10-28T14:37:00Z</dcterms:created>
  <dc:creator>CHAUVELOT-RATTIER Raphaël (3A)</dc:creator>
  <dc:description/>
  <dc:language>fr-FR</dc:language>
  <cp:lastModifiedBy/>
  <cp:lastPrinted>2011-01-06T11:21:00Z</cp:lastPrinted>
  <dcterms:modified xsi:type="dcterms:W3CDTF">2021-01-21T16:21:02Z</dcterms:modified>
  <cp:revision>6</cp:revision>
  <dc:subject/>
  <dc:title>REPUBLIQUE FRANCAISE</dc:title>
</cp:coreProperties>
</file>