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575" w:rsidRPr="000C77D5" w:rsidRDefault="00617575" w:rsidP="00617575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1. ------IND- 2021 0030 F-- PL- ------ 20210129 --- --- PROJET</w:t>
      </w:r>
    </w:p>
    <w:p w:rsidR="006D1B38" w:rsidRDefault="00BE4644" w:rsidP="00E75A3E">
      <w:pPr>
        <w:pStyle w:val="LO-Normal"/>
        <w:ind w:left="6372" w:hanging="843"/>
        <w:jc w:val="right"/>
      </w:pPr>
      <w:r>
        <w:t>Wer</w:t>
      </w:r>
      <w:bookmarkStart w:id="0" w:name="_GoBack"/>
      <w:bookmarkEnd w:id="0"/>
      <w:r>
        <w:t>sja z dnia 18 listopada 2020 r.</w:t>
      </w:r>
    </w:p>
    <w:tbl>
      <w:tblPr>
        <w:tblW w:w="4054" w:type="dxa"/>
        <w:tblInd w:w="11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559"/>
      </w:tblGrid>
      <w:tr w:rsidR="006D1B38">
        <w:trPr>
          <w:cantSplit/>
        </w:trPr>
        <w:tc>
          <w:tcPr>
            <w:tcW w:w="4054" w:type="dxa"/>
            <w:gridSpan w:val="3"/>
          </w:tcPr>
          <w:p w:rsidR="006D1B38" w:rsidRDefault="00BE4644" w:rsidP="00532188">
            <w:pPr>
              <w:pStyle w:val="SNREPUBLIQUE"/>
            </w:pPr>
            <w:r>
              <w:t>REPUBLIKA FRANCUSKA</w:t>
            </w:r>
          </w:p>
        </w:tc>
      </w:tr>
      <w:tr w:rsidR="006D1B38" w:rsidTr="002A4914">
        <w:trPr>
          <w:cantSplit/>
          <w:trHeight w:hRule="exact" w:val="113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  <w:tr w:rsidR="006D1B38">
        <w:trPr>
          <w:cantSplit/>
        </w:trPr>
        <w:tc>
          <w:tcPr>
            <w:tcW w:w="4054" w:type="dxa"/>
            <w:gridSpan w:val="3"/>
          </w:tcPr>
          <w:p w:rsidR="006D1B38" w:rsidRDefault="00BE4644" w:rsidP="00532188">
            <w:pPr>
              <w:pStyle w:val="SNTimbre"/>
              <w:widowControl/>
            </w:pPr>
            <w:r>
              <w:t>Ministerstwo Gospodarki, Finansów i Odbudowy</w:t>
            </w:r>
          </w:p>
        </w:tc>
      </w:tr>
      <w:tr w:rsidR="006D1B38" w:rsidTr="002A4914">
        <w:trPr>
          <w:cantSplit/>
          <w:trHeight w:hRule="exact" w:val="227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  <w:tr w:rsidR="006D1B38">
        <w:trPr>
          <w:cantSplit/>
          <w:trHeight w:hRule="exact" w:val="227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</w:tbl>
    <w:p w:rsidR="006D1B38" w:rsidRDefault="00BE4644" w:rsidP="00532188">
      <w:pPr>
        <w:pStyle w:val="SNNature"/>
        <w:widowControl/>
      </w:pPr>
      <w:r>
        <w:t>Dekret nr 2020-… z dnia … 2020 r.</w:t>
      </w:r>
    </w:p>
    <w:p w:rsidR="006D1B38" w:rsidRDefault="00BE4644" w:rsidP="00532188">
      <w:pPr>
        <w:pStyle w:val="SNtitre"/>
        <w:widowControl/>
      </w:pPr>
      <w:r>
        <w:t>w sprawie warunków używania terminów „odtworzony” i „produkt odtworzony”</w:t>
      </w:r>
    </w:p>
    <w:p w:rsidR="006D1B38" w:rsidRDefault="00BE4644" w:rsidP="00532188">
      <w:pPr>
        <w:pStyle w:val="SNNORCentr"/>
      </w:pPr>
      <w:r>
        <w:t>NR REF: […]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Grupy docelowe:</w:t>
      </w:r>
      <w:r>
        <w:rPr>
          <w:rStyle w:val="Policepardfaut"/>
          <w:i/>
        </w:rPr>
        <w:t xml:space="preserve"> sprzedawcy produktów wprowadzonych do obrotu, w tym towarów oferowanych do sprzedaży z interfejsu online.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Przedmiot:</w:t>
      </w:r>
      <w:r>
        <w:rPr>
          <w:rStyle w:val="Policepardfaut"/>
          <w:i/>
        </w:rPr>
        <w:t xml:space="preserve"> warunki stosowania terminów „odtworzony” i „produkt odtworzony”.</w:t>
      </w:r>
    </w:p>
    <w:p w:rsidR="006D1B38" w:rsidRDefault="00BE4644" w:rsidP="00C85968">
      <w:pPr>
        <w:pStyle w:val="SNAutorit"/>
      </w:pPr>
      <w:r>
        <w:rPr>
          <w:rStyle w:val="Policepardfaut"/>
          <w:b/>
          <w:bCs/>
          <w:i/>
        </w:rPr>
        <w:t>Wejście w życie</w:t>
      </w:r>
      <w:r>
        <w:rPr>
          <w:rStyle w:val="Policepardfaut"/>
          <w:b/>
          <w:i/>
        </w:rPr>
        <w:t>:</w:t>
      </w:r>
      <w:r>
        <w:rPr>
          <w:rStyle w:val="Policepardfaut"/>
          <w:i/>
        </w:rPr>
        <w:t xml:space="preserve"> </w:t>
      </w:r>
    </w:p>
    <w:p w:rsidR="006D1B38" w:rsidRDefault="00BE4644" w:rsidP="00C85968">
      <w:pPr>
        <w:pStyle w:val="SNAutorit"/>
      </w:pPr>
      <w:r>
        <w:rPr>
          <w:rStyle w:val="Policepardfaut"/>
          <w:b/>
          <w:bCs/>
          <w:i/>
        </w:rPr>
        <w:t>Uwaga</w:t>
      </w:r>
      <w:r>
        <w:rPr>
          <w:rStyle w:val="Policepardfaut"/>
          <w:b/>
          <w:i/>
        </w:rPr>
        <w:t>:</w:t>
      </w:r>
      <w:r>
        <w:rPr>
          <w:rStyle w:val="Policepardfaut"/>
          <w:i/>
        </w:rPr>
        <w:t xml:space="preserve"> w niniejszym dekrecie określa się warunki stosowania art. L. 122-21-1 kodeksu konsumentów, który przewiduje uregulowanie prawne używania terminów „odtworzony” i „produkt odtworzony”. W dekrecie zastrzega się stosowanie tych określeń do produktów używanych i uściśla warunki ich stosowania, w odniesieniu do przeprowadzania testów, a nawet wymóg co najmniej jednej interwencji technicznej umożliwiającej zagwarantowanie bezpieczeństwa i funkcjonalności produktu. Interwencja lub interwencje przeprowadzone na produkcie stanowią jego istotną cechę. Ponadto, aby uniknąć wprowadzenia w błąd konsumenta co do cech produktu odtworzonego, w dekrecie wprowadza się zakaz stosowania odniesień do produktu nowego oraz zastrzega stosowanie określenia „odtworzony we Francji” do czynności odtworzenia, które są przeprowadzone w całości na terytorium krajowym. Zasady te mają zastosowanie również do części zamiennych;</w:t>
      </w:r>
    </w:p>
    <w:p w:rsidR="006D1B38" w:rsidRPr="003114B3" w:rsidRDefault="00BE4644" w:rsidP="00C85968">
      <w:pPr>
        <w:pStyle w:val="SNAutorit"/>
        <w:rPr>
          <w:rStyle w:val="Policepardfaut"/>
          <w:i/>
        </w:rPr>
      </w:pPr>
      <w:r>
        <w:rPr>
          <w:rStyle w:val="Policepardfaut"/>
          <w:b/>
          <w:i/>
        </w:rPr>
        <w:t>Teksty podstawowe:</w:t>
      </w:r>
      <w:r>
        <w:rPr>
          <w:rStyle w:val="Policepardfaut"/>
          <w:i/>
        </w:rPr>
        <w:t xml:space="preserve"> niniejszy dekret jest dostępny w serwisie internetowym Légifrance (</w:t>
      </w:r>
      <w:hyperlink r:id="rId7" w:tgtFrame="_top">
        <w:r>
          <w:rPr>
            <w:rStyle w:val="Policepardfaut"/>
            <w:b/>
            <w:i/>
          </w:rPr>
          <w:t>http://www.legifrance.gouv.fr</w:t>
        </w:r>
      </w:hyperlink>
      <w:r>
        <w:rPr>
          <w:rStyle w:val="Policepardfaut"/>
          <w:i/>
        </w:rPr>
        <w:t>).</w:t>
      </w:r>
    </w:p>
    <w:p w:rsidR="003114B3" w:rsidRDefault="003114B3" w:rsidP="00C85968">
      <w:pPr>
        <w:pStyle w:val="SNAutorit"/>
        <w:rPr>
          <w:b/>
        </w:rPr>
      </w:pPr>
    </w:p>
    <w:p w:rsidR="006D1B38" w:rsidRDefault="00BE4644" w:rsidP="00C85968">
      <w:pPr>
        <w:pStyle w:val="SNAutorit"/>
        <w:rPr>
          <w:b/>
        </w:rPr>
      </w:pPr>
      <w:r>
        <w:rPr>
          <w:b/>
        </w:rPr>
        <w:t>Premier,</w:t>
      </w:r>
    </w:p>
    <w:p w:rsidR="006D1B38" w:rsidRDefault="00BE4644" w:rsidP="00C85968">
      <w:pPr>
        <w:pStyle w:val="SNRapport"/>
      </w:pPr>
      <w:r>
        <w:t>na podstawie raportu Ministra Gospodarki, Finansów i Odbudowy,</w:t>
      </w:r>
    </w:p>
    <w:p w:rsidR="006D1B38" w:rsidRDefault="00BE4644" w:rsidP="00C85968">
      <w:pPr>
        <w:pStyle w:val="SNVisa"/>
      </w:pPr>
      <w:r>
        <w:t>uwzględniając rozporządzenie Parlamentu Europejskiego i Rady (UE) 2016/679 z dnia 27 kwietnia 2016 r. w sprawie ochrony osób fizycznych w związku z przetwarzaniem danych osobowych i w sprawie swobodnego przepływu takich danych oraz uchylenia dyrektywy 95/46/WE (rozporządzenie ogólne w sprawie ochrony danych),</w:t>
      </w:r>
    </w:p>
    <w:p w:rsidR="006D1B38" w:rsidRDefault="00BE4644" w:rsidP="00C85968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uwzględniając dyrektywę (UE) 2015/1535 Parlamentu Europejskiego i Rady z dnia 9 września 2015 r. ustanawiającą procedurę udzielania informacji w dziedzinie przepisów technicznych oraz zasad dotyczących usług społeczeństwa informacyjnego (tekst skonsolidowany), w szczególności powiadomienie nr rok/XXX/F,</w:t>
      </w:r>
    </w:p>
    <w:p w:rsidR="006D1B38" w:rsidRDefault="00BE4644" w:rsidP="00C85968">
      <w:pPr>
        <w:pStyle w:val="SNVisa"/>
      </w:pPr>
      <w:r>
        <w:t>uwzględniając kodeks handlowy, w szczególności jego art. L. 321-1,</w:t>
      </w:r>
    </w:p>
    <w:p w:rsidR="006D1B38" w:rsidRDefault="00BE4644" w:rsidP="00C85968">
      <w:pPr>
        <w:pStyle w:val="SNVisa"/>
      </w:pPr>
      <w:r>
        <w:lastRenderedPageBreak/>
        <w:t>uwzględniając kodeks konsumentów, w szczególności jego art. L. 122-21-1 w brzmieniu wynikającym z art. 37 ustawy nr 2020-105 z dnia 10 lutego 2020 r. o zwalczaniu marnotrawstwa i gospodarce o obiegu zamkniętym,</w:t>
      </w:r>
    </w:p>
    <w:p w:rsidR="006D1B38" w:rsidRDefault="00BE4644" w:rsidP="00C85968">
      <w:pPr>
        <w:pStyle w:val="LO-Normal"/>
        <w:spacing w:before="100" w:after="100"/>
        <w:ind w:firstLine="720"/>
        <w:jc w:val="both"/>
      </w:pPr>
      <w:r>
        <w:t>uwzględniając ustawę nr 78-17 z dnia 6 stycznia 1978 r. o informatyce, plikach i swobodach, ze zmianami,</w:t>
      </w:r>
    </w:p>
    <w:p w:rsidR="006D1B38" w:rsidRDefault="00BE4644" w:rsidP="00C85968">
      <w:pPr>
        <w:pStyle w:val="SNVisa"/>
      </w:pPr>
      <w:r>
        <w:t>po wysłuchaniu Rady Stanu (Sekcja Finansów),</w:t>
      </w:r>
    </w:p>
    <w:p w:rsidR="006D1B38" w:rsidRDefault="00BE4644" w:rsidP="00532188">
      <w:pPr>
        <w:pStyle w:val="SNActe"/>
      </w:pPr>
      <w:r>
        <w:t>Przyjmuje następujący dekret:</w:t>
      </w:r>
    </w:p>
    <w:p w:rsidR="006D1B38" w:rsidRDefault="00BE4644" w:rsidP="00532188">
      <w:pPr>
        <w:pStyle w:val="SNArticle"/>
        <w:keepNext/>
        <w:keepLines/>
      </w:pPr>
      <w:r>
        <w:t>Artykuł 1</w:t>
      </w:r>
    </w:p>
    <w:p w:rsidR="006D1B38" w:rsidRDefault="00BE4644" w:rsidP="00532188">
      <w:pPr>
        <w:pStyle w:val="BodyText"/>
      </w:pPr>
      <w:r>
        <w:t>W księdze I tytuł II rozdział II kodeksu konsumentów wprowadza się następujące zmiany:</w:t>
      </w:r>
    </w:p>
    <w:p w:rsidR="006D1B38" w:rsidRDefault="00BE4644" w:rsidP="00532188">
      <w:pPr>
        <w:pStyle w:val="BodyText"/>
      </w:pPr>
      <w:r>
        <w:t>1° sekcja otrzymuje oznaczenie „sekcja 1”;</w:t>
      </w:r>
    </w:p>
    <w:p w:rsidR="006D1B38" w:rsidRDefault="00BE4644" w:rsidP="00532188">
      <w:pPr>
        <w:pStyle w:val="BodyText"/>
      </w:pPr>
      <w:r>
        <w:t>2° dodaje się sekcję 2 w brzmieniu:</w:t>
      </w:r>
    </w:p>
    <w:p w:rsidR="006D1B38" w:rsidRDefault="00BE4644" w:rsidP="00532188">
      <w:pPr>
        <w:pStyle w:val="BodyText"/>
        <w:keepNext/>
        <w:keepLines/>
        <w:jc w:val="center"/>
      </w:pPr>
      <w:r>
        <w:t>„Sekcja 2</w:t>
      </w:r>
    </w:p>
    <w:p w:rsidR="006D1B38" w:rsidRDefault="00BE4644" w:rsidP="00532188">
      <w:pPr>
        <w:pStyle w:val="BodyText"/>
        <w:keepNext/>
        <w:keepLines/>
        <w:jc w:val="center"/>
      </w:pPr>
      <w:r>
        <w:t>Stosowanie terminów »odtworzony« i »produkt odtworzony«</w:t>
      </w:r>
    </w:p>
    <w:p w:rsidR="006D1B38" w:rsidRDefault="00BE4644" w:rsidP="00532188">
      <w:pPr>
        <w:pStyle w:val="BodyText"/>
        <w:spacing w:before="100" w:after="100"/>
      </w:pPr>
      <w:r>
        <w:rPr>
          <w:i/>
        </w:rPr>
        <w:t>Artykuł R. 122-4.</w:t>
      </w:r>
      <w:r>
        <w:t xml:space="preserve"> Produkt lub część zamienna mogą być zakwalifikowane jako »produkt odtworzony« lub określone jako »odtworzone«, jeżeli spełnione zostaną wszystkie następujące warunki:</w:t>
      </w:r>
    </w:p>
    <w:p w:rsidR="006D1B38" w:rsidRDefault="00BE4644" w:rsidP="00532188">
      <w:pPr>
        <w:pStyle w:val="BodyText"/>
        <w:spacing w:before="100" w:after="100"/>
      </w:pPr>
      <w:r>
        <w:t>1° produkt lub część zamienna muszą być wcześniej używane w rozumieniu art. L. 321-1 kodeksu handlowego, zostać poddane testom w odniesieniu do wszystkich funkcji w celu ustalenia, czy spełniają obowiązki prawne dotyczące bezpieczeństwa i nadają się do użycia, którego można od nich zasadnie oczekiwać, a także, w stosownym przypadku, poddane co najmniej jednej interwencji mającej na celu przywrócenie ich funkcjonalności;</w:t>
      </w:r>
    </w:p>
    <w:p w:rsidR="006D1B38" w:rsidRDefault="00BE4644" w:rsidP="00532188">
      <w:pPr>
        <w:pStyle w:val="LO-Normal"/>
        <w:spacing w:before="100" w:after="100"/>
        <w:jc w:val="both"/>
      </w:pPr>
      <w:r>
        <w:t>2° za każdym razem, gdy jest to konieczne, interwencja lub interwencje, o których mowa w poprzednim akapicie, obejmują usunięcie wszelkich danych osobowych zarejestrowanych lub przechowywanych w związku z poprzednim używaniem lub poprzednim użytkownikiem zgodnie z przepisami rozporządzenia Parlamentu Europejskiego i Rady (UE) 2016/679 z dnia 27 kwietnia 2016 r. w sprawie ochrony osób fizycznych w związku z przetwarzaniem danych osobowych i w sprawie swobodnego przepływu takich danych oraz ustawą nr 78-17 z dnia 6 stycznia 1978 r. o informatyce, plikach i swobodach, w szczególności pod względem prawa do dostępu do danych i przenoszenia danych osobowych;</w:t>
      </w:r>
    </w:p>
    <w:p w:rsidR="006D1B38" w:rsidRDefault="00BE4644" w:rsidP="00532188">
      <w:pPr>
        <w:pStyle w:val="LO-Normal"/>
        <w:spacing w:before="100" w:after="100"/>
        <w:jc w:val="both"/>
      </w:pPr>
      <w:r>
        <w:t>Podmiot oferujący sprzedaż produktu lub części zamiennej zakwalifikowanych jako »produkt odtworzony« lub określonych jako »odtworzone« ma obowiązek potwierdzić, że czynności przewidziane w poprzednich akapitach zostały wykonane.</w:t>
      </w:r>
    </w:p>
    <w:p w:rsidR="006D1B38" w:rsidRDefault="00BE4644" w:rsidP="00532188">
      <w:pPr>
        <w:pStyle w:val="BodyText"/>
        <w:spacing w:before="100" w:after="100"/>
      </w:pPr>
      <w:r>
        <w:rPr>
          <w:i/>
        </w:rPr>
        <w:t>Artykuł R. 122-5.</w:t>
      </w:r>
      <w:r>
        <w:t xml:space="preserve"> Interwencja lub interwencje przeprowadzone na produkcie lub części zamiennej, które uzasadniają zastosowanie terminów »produkt odtworzony«, »odtworzony« lub »odtworzony we Francji«, stanowią istotną cechę takiego produktu lub takiej części zamiennej.</w:t>
      </w:r>
    </w:p>
    <w:p w:rsidR="006D1B38" w:rsidRDefault="00BE4644" w:rsidP="00532188">
      <w:pPr>
        <w:pStyle w:val="BodyText"/>
        <w:spacing w:before="100" w:after="100"/>
      </w:pPr>
      <w:r>
        <w:rPr>
          <w:rStyle w:val="Policepardfaut"/>
          <w:i/>
        </w:rPr>
        <w:t>Artykuł R. 122-6.</w:t>
      </w:r>
      <w:r>
        <w:t xml:space="preserve"> Wyrażenia »w stanie nowym«, »jak nowy«, »do stanu nowego« lub wszelkie równoważne określenia nie mogą być stosowane w odniesieniu do produktu lub części zamiennej zakwalifikowanych jako »produkt odtworzony« lub określanych jako »odtworzone«.</w:t>
      </w:r>
    </w:p>
    <w:p w:rsidR="006D1B38" w:rsidRDefault="00BE4644" w:rsidP="00532188">
      <w:pPr>
        <w:pStyle w:val="BodyText"/>
        <w:spacing w:before="100" w:after="100"/>
      </w:pPr>
      <w:r>
        <w:rPr>
          <w:rStyle w:val="Policepardfaut"/>
          <w:i/>
        </w:rPr>
        <w:t>Artykuł R. 122-7.</w:t>
      </w:r>
      <w:r>
        <w:t xml:space="preserve"> Użycie określenia »odtworzony we Francji« jest zastrzeżone do czynności, o których mowa w art. R. 122-4, które są w całości przeprowadzane na terytorium krajowym.</w:t>
      </w:r>
    </w:p>
    <w:p w:rsidR="006D1B38" w:rsidRDefault="00BE4644" w:rsidP="00532188">
      <w:pPr>
        <w:pStyle w:val="BodyText"/>
        <w:keepNext/>
        <w:keepLines/>
        <w:spacing w:before="100" w:after="100" w:line="244" w:lineRule="auto"/>
        <w:jc w:val="center"/>
        <w:rPr>
          <w:b/>
        </w:rPr>
      </w:pPr>
      <w:r>
        <w:rPr>
          <w:b/>
        </w:rPr>
        <w:t>Artykuł 2</w:t>
      </w:r>
    </w:p>
    <w:p w:rsidR="006D1B38" w:rsidRDefault="00BE4644" w:rsidP="00532188">
      <w:pPr>
        <w:pStyle w:val="BodyText"/>
        <w:spacing w:before="100" w:after="100" w:line="244" w:lineRule="auto"/>
      </w:pPr>
      <w:r>
        <w:t>Niniejszy dekret wchodzi w życie z dniem 1 kwietnia 2021 r.</w:t>
      </w:r>
    </w:p>
    <w:p w:rsidR="006D1B38" w:rsidRDefault="00BE4644" w:rsidP="00532188">
      <w:pPr>
        <w:pStyle w:val="BodyText"/>
        <w:keepNext/>
        <w:keepLines/>
        <w:spacing w:before="100" w:after="100" w:line="244" w:lineRule="auto"/>
        <w:jc w:val="center"/>
        <w:rPr>
          <w:b/>
        </w:rPr>
      </w:pPr>
      <w:r>
        <w:rPr>
          <w:b/>
        </w:rPr>
        <w:lastRenderedPageBreak/>
        <w:t>Artykuł 3</w:t>
      </w:r>
    </w:p>
    <w:p w:rsidR="006D1B38" w:rsidRDefault="00BE4644" w:rsidP="00532188">
      <w:pPr>
        <w:pStyle w:val="BodyText"/>
      </w:pPr>
      <w:r>
        <w:t>Za wykonanie niniejszego dekretu, który zostanie opublikowany w Dzienniku Urzędowym Republiki Francuskiej, odpowiadają, każdy w zakresie swoich właściwości, Minister Transformacji Ekologicznej oraz Minister Gospodarki, Finansów i Odbudowy.</w:t>
      </w:r>
    </w:p>
    <w:p w:rsidR="006D1B38" w:rsidRDefault="006D1B38" w:rsidP="00532188">
      <w:pPr>
        <w:pStyle w:val="BodyText"/>
      </w:pPr>
    </w:p>
    <w:p w:rsidR="006D1B38" w:rsidRDefault="006D1B38" w:rsidP="00532188">
      <w:pPr>
        <w:pStyle w:val="BodyText"/>
      </w:pPr>
    </w:p>
    <w:p w:rsidR="006D1B38" w:rsidRDefault="00BE4644" w:rsidP="00532188">
      <w:pPr>
        <w:pStyle w:val="SNContreseing"/>
      </w:pPr>
      <w:r>
        <w:t>Dnia:</w:t>
      </w:r>
    </w:p>
    <w:p w:rsidR="006D1B38" w:rsidRDefault="00BE4644" w:rsidP="00532188">
      <w:pPr>
        <w:pStyle w:val="SNContreseing"/>
      </w:pPr>
      <w:r>
        <w:t>W imieniu Premiera</w:t>
      </w:r>
    </w:p>
    <w:p w:rsidR="006D1B38" w:rsidRDefault="006D1B38" w:rsidP="00532188">
      <w:pPr>
        <w:pStyle w:val="LO-Normal"/>
        <w:spacing w:before="100" w:after="100" w:line="240" w:lineRule="auto"/>
        <w:rPr>
          <w:rFonts w:eastAsia="Times New Roman"/>
          <w:lang w:eastAsia="fr-FR"/>
        </w:rPr>
      </w:pPr>
    </w:p>
    <w:p w:rsidR="006D1B38" w:rsidRDefault="00BE4644" w:rsidP="00532188">
      <w:pPr>
        <w:pStyle w:val="LO-Normal"/>
        <w:keepNext/>
        <w:keepLines/>
        <w:spacing w:before="100" w:after="100" w:line="240" w:lineRule="auto"/>
        <w:rPr>
          <w:rFonts w:eastAsia="Times New Roman"/>
        </w:rPr>
      </w:pPr>
      <w:r>
        <w:t>Minister Transformacji Ekologicznej</w:t>
      </w:r>
    </w:p>
    <w:p w:rsidR="006D1B38" w:rsidRDefault="00BE4644" w:rsidP="00532188">
      <w:pPr>
        <w:pStyle w:val="LO-Normal"/>
        <w:spacing w:after="0" w:line="240" w:lineRule="auto"/>
        <w:rPr>
          <w:rFonts w:eastAsia="Times New Roman"/>
        </w:rPr>
      </w:pPr>
      <w:r>
        <w:t>Barbara POMPILI</w:t>
      </w:r>
    </w:p>
    <w:p w:rsidR="006D1B38" w:rsidRDefault="00BE4644" w:rsidP="00532188">
      <w:pPr>
        <w:pStyle w:val="LO-Normal"/>
        <w:keepNext/>
        <w:keepLines/>
        <w:spacing w:before="100" w:after="100" w:line="240" w:lineRule="auto"/>
        <w:ind w:left="5040"/>
        <w:rPr>
          <w:rFonts w:eastAsia="Times New Roman"/>
        </w:rPr>
      </w:pPr>
      <w:r>
        <w:t>Minister Gospodarki, Finansów i Odbudowy</w:t>
      </w:r>
    </w:p>
    <w:p w:rsidR="006D1B38" w:rsidRDefault="00BE4644" w:rsidP="00532188">
      <w:pPr>
        <w:pStyle w:val="LO-Normal"/>
        <w:spacing w:before="100" w:after="100" w:line="240" w:lineRule="auto"/>
        <w:ind w:left="5040"/>
        <w:rPr>
          <w:rFonts w:eastAsia="Times New Roman"/>
        </w:rPr>
      </w:pPr>
      <w:r>
        <w:t>Bruno LE MAIRE</w:t>
      </w:r>
    </w:p>
    <w:sectPr w:rsidR="006D1B38">
      <w:pgSz w:w="11906" w:h="16838"/>
      <w:pgMar w:top="1134" w:right="1418" w:bottom="1418" w:left="1134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40B" w:rsidRDefault="0079340B" w:rsidP="00451EFE">
      <w:r>
        <w:separator/>
      </w:r>
    </w:p>
  </w:endnote>
  <w:endnote w:type="continuationSeparator" w:id="0">
    <w:p w:rsidR="0079340B" w:rsidRDefault="0079340B" w:rsidP="0045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40B" w:rsidRDefault="0079340B" w:rsidP="00451EFE">
      <w:r>
        <w:separator/>
      </w:r>
    </w:p>
  </w:footnote>
  <w:footnote w:type="continuationSeparator" w:id="0">
    <w:p w:rsidR="0079340B" w:rsidRDefault="0079340B" w:rsidP="0045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4719C"/>
    <w:multiLevelType w:val="multilevel"/>
    <w:tmpl w:val="80ACE59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B38"/>
    <w:rsid w:val="002A4914"/>
    <w:rsid w:val="003114B3"/>
    <w:rsid w:val="00451EFE"/>
    <w:rsid w:val="00532188"/>
    <w:rsid w:val="00617575"/>
    <w:rsid w:val="0063400E"/>
    <w:rsid w:val="006D1B38"/>
    <w:rsid w:val="0079340B"/>
    <w:rsid w:val="00BE4644"/>
    <w:rsid w:val="00C85968"/>
    <w:rsid w:val="00E75A3E"/>
    <w:rsid w:val="00F9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A5017A-2E1A-4E48-AAA5-5DD331F6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uiPriority w:val="9"/>
    <w:qFormat/>
    <w:pPr>
      <w:keepNext/>
      <w:numPr>
        <w:numId w:val="1"/>
      </w:numPr>
      <w:spacing w:before="240" w:after="0"/>
      <w:jc w:val="center"/>
      <w:outlineLvl w:val="0"/>
    </w:pPr>
    <w:rPr>
      <w:rFonts w:cs="Arial"/>
      <w:bCs/>
      <w:caps/>
      <w:kern w:val="2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numPr>
        <w:ilvl w:val="1"/>
        <w:numId w:val="1"/>
      </w:numPr>
      <w:spacing w:before="240" w:after="0"/>
      <w:jc w:val="center"/>
      <w:outlineLvl w:val="1"/>
    </w:pPr>
    <w:rPr>
      <w:bCs/>
      <w:iCs/>
      <w:smallCaps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numPr>
        <w:ilvl w:val="2"/>
        <w:numId w:val="1"/>
      </w:numPr>
      <w:spacing w:before="120" w:after="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">
    <w:name w:val="Police par défaut"/>
    <w:qFormat/>
  </w:style>
  <w:style w:type="character" w:customStyle="1" w:styleId="SNTimbreCar">
    <w:name w:val="SNTimbre Car"/>
    <w:basedOn w:val="Policepardfaut"/>
    <w:qFormat/>
    <w:rPr>
      <w:rFonts w:eastAsia="Lucida Sans Unicode"/>
      <w:sz w:val="24"/>
      <w:szCs w:val="24"/>
      <w:lang w:val="pl-PL" w:bidi="ar-SA"/>
    </w:rPr>
  </w:style>
  <w:style w:type="character" w:customStyle="1" w:styleId="SNDateCar">
    <w:name w:val="SNDate Car"/>
    <w:basedOn w:val="Policepardfaut"/>
    <w:qFormat/>
    <w:rPr>
      <w:sz w:val="24"/>
      <w:szCs w:val="24"/>
      <w:lang w:val="pl-PL" w:eastAsia="fr-FR" w:bidi="ar-SA"/>
    </w:rPr>
  </w:style>
  <w:style w:type="character" w:customStyle="1" w:styleId="SNArticleCar">
    <w:name w:val="SNArticle Car"/>
    <w:basedOn w:val="Policepardfaut"/>
    <w:qFormat/>
    <w:rPr>
      <w:b/>
      <w:sz w:val="24"/>
      <w:szCs w:val="24"/>
      <w:lang w:val="pl-PL" w:eastAsia="fr-FR" w:bidi="ar-SA"/>
    </w:rPr>
  </w:style>
  <w:style w:type="character" w:customStyle="1" w:styleId="En-tteCar">
    <w:name w:val="En-tête Car"/>
    <w:basedOn w:val="Policepardfaut"/>
    <w:qFormat/>
  </w:style>
  <w:style w:type="character" w:customStyle="1" w:styleId="Marquedecommentaire">
    <w:name w:val="Marque de commentaire"/>
    <w:basedOn w:val="Policepardfaut"/>
    <w:qFormat/>
    <w:rPr>
      <w:rFonts w:cs="Times New Roman"/>
      <w:sz w:val="16"/>
    </w:rPr>
  </w:style>
  <w:style w:type="character" w:customStyle="1" w:styleId="CommentaireCar">
    <w:name w:val="Commentaire Car"/>
    <w:basedOn w:val="Policepardfaut"/>
    <w:qFormat/>
  </w:style>
  <w:style w:type="character" w:customStyle="1" w:styleId="ObjetducommentaireCar">
    <w:name w:val="Objet du commentaire Car"/>
    <w:basedOn w:val="CommentaireCar"/>
    <w:qFormat/>
    <w:rPr>
      <w:b/>
      <w:bCs/>
    </w:rPr>
  </w:style>
  <w:style w:type="character" w:customStyle="1" w:styleId="CitationintenseCar">
    <w:name w:val="Citation intense Car"/>
    <w:basedOn w:val="Policepardfaut"/>
    <w:qFormat/>
    <w:rPr>
      <w:rFonts w:ascii="Calibri" w:eastAsia="Calibri" w:hAnsi="Calibri" w:cs="Calibri"/>
      <w:i/>
      <w:iCs/>
      <w:color w:val="5B9BD5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qFormat/>
    <w:rPr>
      <w:sz w:val="24"/>
      <w:szCs w:val="24"/>
    </w:rPr>
  </w:style>
  <w:style w:type="character" w:customStyle="1" w:styleId="LienInternet">
    <w:name w:val="Lien Internet"/>
    <w:rPr>
      <w:color w:val="0000FF"/>
      <w:u w:val="single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BodyText">
    <w:name w:val="Body Text"/>
    <w:basedOn w:val="LO-Normal"/>
    <w:pPr>
      <w:spacing w:after="120"/>
      <w:jc w:val="both"/>
    </w:pPr>
  </w:style>
  <w:style w:type="paragraph" w:customStyle="1" w:styleId="LO-Normal">
    <w:name w:val="LO-Normal"/>
    <w:qFormat/>
    <w:pPr>
      <w:suppressAutoHyphens/>
      <w:spacing w:after="160" w:line="242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NREPUBLIQUE">
    <w:name w:val="SNREPUBLIQUE"/>
    <w:basedOn w:val="LO-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LO-Normal"/>
    <w:qFormat/>
    <w:pPr>
      <w:widowControl w:val="0"/>
      <w:tabs>
        <w:tab w:val="left" w:pos="0"/>
      </w:tabs>
      <w:spacing w:before="240" w:after="0"/>
      <w:ind w:left="1429" w:hanging="360"/>
    </w:pPr>
    <w:rPr>
      <w:rFonts w:eastAsia="Lucida Sans Unicode"/>
    </w:rPr>
  </w:style>
  <w:style w:type="paragraph" w:customStyle="1" w:styleId="puce2">
    <w:name w:val="puce2"/>
    <w:basedOn w:val="LO-Normal"/>
    <w:qFormat/>
    <w:pPr>
      <w:widowControl w:val="0"/>
      <w:tabs>
        <w:tab w:val="left" w:pos="0"/>
      </w:tabs>
      <w:spacing w:before="240" w:after="0"/>
      <w:ind w:left="2149" w:hanging="360"/>
    </w:pPr>
    <w:rPr>
      <w:rFonts w:eastAsia="Lucida Sans Unicode"/>
    </w:rPr>
  </w:style>
  <w:style w:type="paragraph" w:customStyle="1" w:styleId="puce3">
    <w:name w:val="puce3"/>
    <w:basedOn w:val="LO-Normal"/>
    <w:qFormat/>
    <w:pPr>
      <w:widowControl w:val="0"/>
      <w:tabs>
        <w:tab w:val="left" w:pos="0"/>
      </w:tabs>
      <w:spacing w:before="240" w:after="0"/>
      <w:ind w:left="2869" w:hanging="360"/>
    </w:pPr>
    <w:rPr>
      <w:rFonts w:eastAsia="Lucida Sans Unicode"/>
    </w:rPr>
  </w:style>
  <w:style w:type="paragraph" w:customStyle="1" w:styleId="num1">
    <w:name w:val="num1"/>
    <w:basedOn w:val="LO-Normal"/>
    <w:qFormat/>
    <w:pPr>
      <w:widowControl w:val="0"/>
      <w:tabs>
        <w:tab w:val="left" w:pos="0"/>
      </w:tabs>
      <w:spacing w:before="240" w:after="0"/>
      <w:ind w:left="1429" w:hanging="360"/>
    </w:pPr>
    <w:rPr>
      <w:rFonts w:eastAsia="Lucida Sans Unicode"/>
    </w:rPr>
  </w:style>
  <w:style w:type="paragraph" w:customStyle="1" w:styleId="num2">
    <w:name w:val="num2"/>
    <w:basedOn w:val="LO-Normal"/>
    <w:qFormat/>
    <w:pPr>
      <w:widowControl w:val="0"/>
      <w:tabs>
        <w:tab w:val="left" w:pos="0"/>
      </w:tabs>
      <w:spacing w:before="240" w:after="0"/>
      <w:ind w:left="2149" w:hanging="360"/>
    </w:pPr>
    <w:rPr>
      <w:rFonts w:eastAsia="Lucida Sans Unicode"/>
    </w:rPr>
  </w:style>
  <w:style w:type="paragraph" w:customStyle="1" w:styleId="num3">
    <w:name w:val="num3"/>
    <w:basedOn w:val="LO-Normal"/>
    <w:qFormat/>
    <w:pPr>
      <w:widowControl w:val="0"/>
      <w:tabs>
        <w:tab w:val="left" w:pos="0"/>
      </w:tabs>
      <w:spacing w:before="240" w:after="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LO-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LO-Normal"/>
    <w:next w:val="SNtitre"/>
    <w:autoRedefine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LO-Normal"/>
    <w:next w:val="SNNORCentr"/>
    <w:autoRedefine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pPr>
      <w:suppressAutoHyphens/>
      <w:jc w:val="center"/>
    </w:pPr>
    <w:rPr>
      <w:bCs/>
      <w:sz w:val="24"/>
    </w:rPr>
  </w:style>
  <w:style w:type="paragraph" w:customStyle="1" w:styleId="SNAutorit">
    <w:name w:val="SNAutorité"/>
    <w:basedOn w:val="LO-Normal"/>
    <w:autoRedefine/>
    <w:qFormat/>
    <w:pPr>
      <w:spacing w:before="100" w:after="100"/>
      <w:ind w:firstLine="720"/>
      <w:jc w:val="both"/>
    </w:pPr>
  </w:style>
  <w:style w:type="paragraph" w:customStyle="1" w:styleId="SNSignatureprnomnomDroite">
    <w:name w:val="SNSignature prénom+nom Droite"/>
    <w:basedOn w:val="SNSignatureDroite"/>
    <w:next w:val="SNSignatureGauche"/>
    <w:qFormat/>
    <w:pPr>
      <w:spacing w:before="0" w:after="120"/>
      <w:ind w:left="5041"/>
    </w:pPr>
  </w:style>
  <w:style w:type="paragraph" w:customStyle="1" w:styleId="SNSignatureDroite">
    <w:name w:val="SNSignatureDroite"/>
    <w:basedOn w:val="LO-Normal"/>
    <w:next w:val="SNSignatureprnomnomDroite"/>
    <w:autoRedefine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Gauche">
    <w:name w:val="SNSignatureGauche"/>
    <w:basedOn w:val="LO-Normal"/>
    <w:next w:val="SNSignatureprnomnomGauche"/>
    <w:autoRedefine/>
    <w:qFormat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before="0" w:after="120"/>
    </w:pPr>
    <w:rPr>
      <w:color w:val="000000"/>
    </w:rPr>
  </w:style>
  <w:style w:type="paragraph" w:customStyle="1" w:styleId="SNTimbre">
    <w:name w:val="SNTimbre"/>
    <w:basedOn w:val="LO-Normal"/>
    <w:autoRedefine/>
    <w:qFormat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SNRapport">
    <w:name w:val="SNRapport"/>
    <w:basedOn w:val="LO-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LO-Normal"/>
    <w:autoRedefine/>
    <w:qFormat/>
    <w:pPr>
      <w:spacing w:before="120" w:after="120"/>
      <w:ind w:firstLine="720"/>
      <w:jc w:val="both"/>
    </w:pPr>
  </w:style>
  <w:style w:type="paragraph" w:customStyle="1" w:styleId="SNDate">
    <w:name w:val="SNDate"/>
    <w:basedOn w:val="LO-Normal"/>
    <w:next w:val="SNContreseing"/>
    <w:autoRedefine/>
    <w:qFormat/>
    <w:pPr>
      <w:spacing w:before="480" w:after="2760"/>
      <w:ind w:firstLine="720"/>
    </w:pPr>
  </w:style>
  <w:style w:type="paragraph" w:customStyle="1" w:styleId="SNContreseing">
    <w:name w:val="SNContreseing"/>
    <w:basedOn w:val="LO-Normal"/>
    <w:next w:val="SNSignatureGauche"/>
    <w:autoRedefine/>
    <w:qFormat/>
    <w:pPr>
      <w:spacing w:before="480" w:after="0"/>
      <w:ind w:firstLine="720"/>
    </w:pPr>
  </w:style>
  <w:style w:type="paragraph" w:customStyle="1" w:styleId="SNActe">
    <w:name w:val="SNActe"/>
    <w:basedOn w:val="LO-Normal"/>
    <w:autoRedefine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LO-Normal"/>
    <w:next w:val="BodyText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LO-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LO-Normal"/>
    <w:autoRedefine/>
    <w:qFormat/>
    <w:pPr>
      <w:spacing w:before="720" w:after="0"/>
      <w:jc w:val="center"/>
    </w:pPr>
    <w:rPr>
      <w:b/>
    </w:rPr>
  </w:style>
  <w:style w:type="paragraph" w:customStyle="1" w:styleId="SNIntitul">
    <w:name w:val="SNIntitulé"/>
    <w:basedOn w:val="LO-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Rfrence">
    <w:name w:val="SNRéférence"/>
    <w:basedOn w:val="LO-Normal"/>
    <w:autoRedefine/>
    <w:qFormat/>
  </w:style>
  <w:style w:type="paragraph" w:customStyle="1" w:styleId="Textedebulles">
    <w:name w:val="Texte de bulles"/>
    <w:basedOn w:val="LO-Normal"/>
    <w:qFormat/>
    <w:rPr>
      <w:rFonts w:ascii="Tahoma" w:eastAsia="Tahoma" w:hAnsi="Tahoma" w:cs="Tahoma"/>
      <w:sz w:val="16"/>
      <w:szCs w:val="16"/>
    </w:rPr>
  </w:style>
  <w:style w:type="paragraph" w:customStyle="1" w:styleId="TITRE1OBJET">
    <w:name w:val="TITRE 1 OBJET"/>
    <w:basedOn w:val="Heading1"/>
    <w:next w:val="LO-Normal"/>
    <w:qFormat/>
    <w:pPr>
      <w:numPr>
        <w:numId w:val="0"/>
      </w:numPr>
      <w:spacing w:before="0" w:after="120"/>
    </w:pPr>
    <w:rPr>
      <w:b/>
    </w:rPr>
  </w:style>
  <w:style w:type="paragraph" w:customStyle="1" w:styleId="Titre2objet">
    <w:name w:val="Titre 2 objet"/>
    <w:basedOn w:val="Heading2"/>
    <w:next w:val="LO-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titre3objet">
    <w:name w:val="titre 3 objet"/>
    <w:basedOn w:val="Heading3"/>
    <w:next w:val="LO-Normal"/>
    <w:qFormat/>
    <w:pPr>
      <w:numPr>
        <w:ilvl w:val="0"/>
        <w:numId w:val="0"/>
      </w:numPr>
      <w:spacing w:before="0"/>
    </w:pPr>
    <w:rPr>
      <w:b/>
      <w:szCs w:val="24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rpsdetexte">
    <w:name w:val="corps de texte"/>
    <w:basedOn w:val="LO-Normal"/>
    <w:qFormat/>
    <w:pPr>
      <w:spacing w:after="240"/>
      <w:ind w:firstLine="709"/>
      <w:jc w:val="both"/>
    </w:pPr>
  </w:style>
  <w:style w:type="paragraph" w:customStyle="1" w:styleId="Commentaire">
    <w:name w:val="Commentaire"/>
    <w:basedOn w:val="LO-Normal"/>
    <w:qFormat/>
    <w:rPr>
      <w:sz w:val="20"/>
      <w:szCs w:val="20"/>
    </w:rPr>
  </w:style>
  <w:style w:type="paragraph" w:customStyle="1" w:styleId="Paragraphedeliste">
    <w:name w:val="Paragraphe de liste"/>
    <w:basedOn w:val="LO-Normal"/>
    <w:qFormat/>
    <w:pPr>
      <w:ind w:left="720"/>
    </w:pPr>
  </w:style>
  <w:style w:type="paragraph" w:customStyle="1" w:styleId="Objetducommentaire">
    <w:name w:val="Objet du commentaire"/>
    <w:basedOn w:val="Commentaire"/>
    <w:next w:val="Commentaire"/>
    <w:qFormat/>
    <w:rPr>
      <w:b/>
      <w:bCs/>
    </w:rPr>
  </w:style>
  <w:style w:type="paragraph" w:customStyle="1" w:styleId="Citationintense">
    <w:name w:val="Citation intense"/>
    <w:basedOn w:val="LO-Normal"/>
    <w:next w:val="LO-Normal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paragraph" w:customStyle="1" w:styleId="Rvision">
    <w:name w:val="Révision"/>
    <w:qFormat/>
    <w:pPr>
      <w:suppressAutoHyphens/>
    </w:pPr>
    <w:rPr>
      <w:sz w:val="24"/>
      <w:szCs w:val="24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DocumentMap">
    <w:name w:val="DocumentMap"/>
    <w:qFormat/>
    <w:pPr>
      <w:textAlignment w:val="auto"/>
    </w:pPr>
  </w:style>
  <w:style w:type="paragraph" w:styleId="Footer">
    <w:name w:val="footer"/>
    <w:basedOn w:val="Normal"/>
    <w:link w:val="FooterChar"/>
    <w:uiPriority w:val="99"/>
    <w:unhideWhenUsed/>
    <w:rsid w:val="00451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france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CHAUVELOT-RATTIER Raphaël (3A)</dc:creator>
  <dc:description/>
  <cp:lastModifiedBy>Liu, Lei</cp:lastModifiedBy>
  <cp:revision>5</cp:revision>
  <cp:lastPrinted>2011-01-06T11:21:00Z</cp:lastPrinted>
  <dcterms:created xsi:type="dcterms:W3CDTF">2020-10-28T14:37:00Z</dcterms:created>
  <dcterms:modified xsi:type="dcterms:W3CDTF">2021-01-29T11:56:00Z</dcterms:modified>
  <dc:language>fr-FR</dc:language>
</cp:coreProperties>
</file>