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Pr:</w:t>
      </w:r>
      <w:r>
        <w:rPr>
          <w:sz w:val="16"/>
          <w:rFonts w:ascii="Verdana" w:hAnsi="Verdana"/>
        </w:rPr>
        <w:t xml:space="preserve"> </w:t>
      </w:r>
      <w:r>
        <w:rPr>
          <w:sz w:val="16"/>
          <w:rFonts w:ascii="Verdana" w:hAnsi="Verdana"/>
        </w:rPr>
        <w:t xml:space="preserve">15. marts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Vedtægt for mediemedier i henhold til § 96 i traktaten om statsmedier</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(MI-vedtægten)</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for...</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På grundlag af § 96, første punktum i State Media Treaty (MStV) fra den 14. til den 28. april 2020 (... reference), fastsætter [navnet på forbundsstatens mediemyndighed] efter aftale med de andre statslige mediemyndigheder følgende vedtægt: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Sektion 1:</w:t>
      </w:r>
      <w:r>
        <w:rPr>
          <w:b/>
          <w:sz w:val="22"/>
          <w:rFonts w:ascii="Calibri" w:hAnsi="Calibri"/>
        </w:rPr>
        <w:t xml:space="preserve"> </w:t>
      </w:r>
      <w:r>
        <w:rPr>
          <w:b/>
          <w:sz w:val="22"/>
          <w:rFonts w:ascii="Calibri" w:hAnsi="Calibri"/>
        </w:rPr>
        <w:t xml:space="preserve">Almindelige bestemmelser</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Formål og mål</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Stk. 1. I henhold til § 96 MStV regulerer denne vedtægt nærmere bestemmelser om de materielle og proceduremæssige specifikationer af lovbestemmelserne om regulering af medieformidlere og udbydere af medieformidling (§ 91-95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Stk. 2. Denne vedtægt tjener til at sikre mangfoldigheden af holdninger (diversitet af udbud og udbyder).</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Stk. 3. Der skal ved anvendelsen af denne vedtægt tages hensyn til medieformidlernes ledende rolle for de respektive brugergrupper.</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Anvendelsesområde</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Stk. 1. </w:t>
      </w:r>
      <w:r>
        <w:rPr>
          <w:sz w:val="22"/>
          <w:vertAlign w:val="superscript"/>
          <w:rFonts w:ascii="Calibri" w:hAnsi="Calibri"/>
        </w:rPr>
        <w:t xml:space="preserve">1</w:t>
      </w:r>
      <w:r>
        <w:rPr>
          <w:sz w:val="22"/>
          <w:rFonts w:ascii="Calibri" w:hAnsi="Calibri"/>
        </w:rPr>
        <w:t xml:space="preserve">Vedtægtens anvendelsesområde omfatter medieformidlere, integrerede medieformidlere og deres udbydere.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Begrebet "integreret medieformidler" i henhold til § 91, stk. 1, MStV omfatter enhver integration af en mellemfunktion i udbuddet af tredjeparter, som gør det muligt for brugere af tredjepartsudbud at anvende formidlingsfunktionen.</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Stk. 2. Antallet af brugere i henhold til § 91, stk. 2, afsnit 1 i MStV er summen af de månedlige unikke brugere.</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Stk. 3. Hvis udbyderen af medieformidling henviser til forordningen i § 91, stk. 2, afsnit 1, MStV, skal den på anmodning af den kompetente statslige mediemyndighed fremlægge og dokumentere antallet af brugere inden for en måned og indsende de dokumenter og oplysninger, der er nødvendige for undersøgelsen.</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Stk. 4. Hvis formidlingsfunktionen endnu ikke er blevet tilbudt eller er blevet tilbudt i mindre end seks måneder, skal udbyderen af medieformidlingen på anmodning af den kompetente statslige mediemyndighed udarbejde en prognose over udviklingen af brugernumre som omhandlet i § 91, stk. 2, afsnit 1 MStV, og fremlægge troværdig dokumentation og også fremlægge de dokumenter og oplysninger, der er nødvendige for undersøgelsen.</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Bemyndiget repræsentant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Stk. 1. En bemyndiget repræsentant kan være en fysisk eller juridisk person.</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Stk. 2. </w:t>
      </w:r>
      <w:r>
        <w:rPr>
          <w:sz w:val="22"/>
          <w:vertAlign w:val="superscript"/>
          <w:vertAlign w:val="superscript"/>
          <w:rFonts w:ascii="Calibri" w:hAnsi="Calibri"/>
        </w:rPr>
        <w:t xml:space="preserve">1</w:t>
      </w:r>
      <w:r>
        <w:rPr>
          <w:sz w:val="22"/>
          <w:rFonts w:ascii="Calibri" w:hAnsi="Calibri"/>
        </w:rPr>
        <w:t xml:space="preserve">Fysiske personer skal have bopæl eller sædvanligt opholdssted, juridiske personer skal have registreret kontor på deres hovedforretningssted i Forbundsrepublikken Tyskland.</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tilkaldelig adresse skal angives.</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Stk. 3. Kravene i henhold til § 92, første punktum, anden halvdel i MStV, er normalt opfyldt, hvis den bemyndigede repræsentant er udpeget inden for rammerne af de oplysninger, der kræves i henhold til § 5, stk. 1, i tysk Telemedia Act (TMG) og § 18, stk. 1, i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Sektion 2:</w:t>
      </w:r>
      <w:r>
        <w:rPr>
          <w:b/>
          <w:sz w:val="22"/>
          <w:rFonts w:ascii="Calibri" w:hAnsi="Calibri"/>
        </w:rPr>
        <w:t xml:space="preserve"> </w:t>
      </w:r>
      <w:r>
        <w:rPr>
          <w:b/>
          <w:sz w:val="22"/>
          <w:rFonts w:ascii="Calibri" w:hAnsi="Calibri"/>
        </w:rPr>
        <w:t xml:space="preserve">Gennemsigtighed</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Formål og mål</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Bestemmelserne i dette afsnit skal sikre, at der skabes tilstrækkelig gennemsigtighed for brugere af medieformidling med hensyn til de oplysninger, der er anført i § 93, stk. 1, i MStV og § 6 (oplysninger, der skal gøres gennemsigtige).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Dette bør navnlig muliggøre informeret brug af medieformidlingen med hensyn til samling, udvælgelse og præsentation af journalistisk-redaktionelt arbejde.</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De henvender sig også til udbyderne af journalistisk-redaktionelt indhold.</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Formelle krav</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Stk. 1. Oplysninger i henhold til § 93, stk. 1, i MStV, ændringer i henhold til § 93, stk. 3, i MStV og oplysninger i henhold til § 6 skal gøres gennemsigtige på tysk.</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Stk. 2. </w:t>
      </w:r>
      <w:r>
        <w:rPr>
          <w:sz w:val="22"/>
          <w:vertAlign w:val="superscript"/>
          <w:rFonts w:ascii="Calibri" w:hAnsi="Calibri"/>
        </w:rPr>
        <w:t xml:space="preserve">1</w:t>
      </w:r>
      <w:r>
        <w:rPr>
          <w:sz w:val="22"/>
          <w:rFonts w:ascii="Calibri" w:hAnsi="Calibri"/>
        </w:rPr>
        <w:t xml:space="preserve">Oplysninger, der skal gøres gennemsigtige, er let synlige i henhold til § 93 i MStV, hvis de placeres i en klart synlig position for en gennemsnitlig bruger under hensyntagen til medieformidlerens typiske brugssituation.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Dette er normalt tilfældet, hvis de oplysninger, der skal gøres gennemsigtige, tydeligt kan skelnes fra resten af indholdet, og de er direkte relateret til input- eller navigationsmuligheder, der er afgørende for anvendelsen af medieformidling.</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Når du bruger et link, der henviser til de oplysninger, der skal gøres gennemsigtige, gælder ovenstående krav i overensstemmelse hermed.</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Stk. 3</w:t>
      </w:r>
      <w:r>
        <w:rPr>
          <w:sz w:val="22"/>
          <w:vertAlign w:val="superscript"/>
          <w:rFonts w:ascii="Calibri" w:hAnsi="Calibri"/>
        </w:rPr>
        <w:t xml:space="preserve">1</w:t>
      </w:r>
      <w:r>
        <w:rPr>
          <w:sz w:val="22"/>
          <w:rFonts w:ascii="Calibri" w:hAnsi="Calibri"/>
        </w:rPr>
        <w:t xml:space="preserve">. Oplysninger, der skal gøres gennemsigtige, er umiddelbart tilgængelige i henhold til § 93 i MStV, hvis de er synlige for brugeren uden væsentlige mellemliggende trin.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Dette er især ikke tilfældet, hvis oplysningerne er tilgængelige med mere end to weblinks, og/eller søgningen af oplysningerne gøres afhængig af forudgående registrering eller et log-in.</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Stk. 4. Oplysninger, der skal gøres gennemsigtige, er altid tilgængelige i henhold til § 93 i MStV, hvis brugeren til enhver tid har adgang til dem.</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Stk. 5. Oplysninger, der skal gøres gennemsigtige, gives på et forståeligt sprog som omtalt i § 93 i MStV, hvis de kan give den gennemsnitlige bruger den grundlæggende forståelse af de omstændigheder, der er omtalt i § 93, stk. 1, i MStV, der kræves for informeret brug af medieformidlingen.</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Stk. 6. Hvis anvendelsen af medieformidlingen overvejende er taledrevet, bør de oplysninger, der skal gøres gennemsigtige, også gengives akustisk på brugerens anmodning, hvorved en akustisk angivelse af, hvor de oplysninger, der skal gøres gennemsigtige, er tilstrækkelige.</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Oplysningsforpligtelser</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1. </w:t>
      </w:r>
      <w:r>
        <w:rPr>
          <w:sz w:val="22"/>
          <w:vertAlign w:val="superscript"/>
          <w:rFonts w:ascii="Calibri" w:hAnsi="Calibri"/>
        </w:rPr>
        <w:t xml:space="preserve">1</w:t>
      </w:r>
      <w:r>
        <w:rPr>
          <w:sz w:val="22"/>
          <w:rFonts w:ascii="Calibri" w:hAnsi="Calibri"/>
        </w:rPr>
        <w:t xml:space="preserve">Udbyderen af medieformidling er forpligtet til at gøre de kriterier, der bestemmer adgangen til indhold til en medieformidler og dets bevarelse, gennemsigtige (§ 93, stk. 1, afsnit 1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Med henblik herpå skal udbyderen af medieformidling særligt give følgende oplysninger:</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En beskrivelse af de tekniske, økonomiske, udbyderrelaterede, brugerrelaterede og indholdsrelaterede betingelser, der afgør, om indholdet gøres synligt gennem en medieformidling,</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hvis et bestemt indhold filtreres eller nedgraderes eller opgraderes med hensyn til synlighed, når den tilgås og forbliver hos medieformidleren, herunder navnlig ved brug af automatiske systemer, skal den pågældende indholdskategori og de mål, der forfølges med filtreringen eller klassificeringen, angives, og</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oplysninger om, hvorvidt og i givet fald hvordan adgangen til og bevarelsen af indhold hos medieformidleren er påvirket eller kan påvirkes af betalinger eller andre direkte eller indirekte fordele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2. </w:t>
      </w:r>
      <w:r>
        <w:rPr>
          <w:sz w:val="22"/>
          <w:vertAlign w:val="superscript"/>
          <w:rFonts w:ascii="Calibri" w:hAnsi="Calibri"/>
        </w:rPr>
        <w:t xml:space="preserve">1</w:t>
      </w:r>
      <w:r>
        <w:rPr>
          <w:sz w:val="22"/>
          <w:rFonts w:ascii="Calibri" w:hAnsi="Calibri"/>
        </w:rPr>
        <w:t xml:space="preserve">Udbyderen af medieformidling er i henhold til § 93, stk. 1, afsnit 2, i MStV forpligtet til at gøre de centrale kriterier for sammenlægning, udvælgelse og præsentation af indholdet og deres vægtning gennemsigtige, herunder oplysninger om, hvordan de anvendte algoritmer fungerer.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Med henblik herpå skal udbyderen af medieformidling særligt give følgende oplysninger:</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en beskrivelse af de centrale kriterier for sammenlægning, udvælgelse og præsentation, som udbyderen af medieformidling anvender</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en beskrivelse af den relative vægtning af de centrale kriterier i forhold til hinanden og i forhold til ikke-centrale kriterier uden at gøre sidstnævnte gennemsigtige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en beskrivelse af de optimeringsmål, der forfølges med de centrale kriterier</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oplysninger om, hvorvidt og i bekræftende fald hvordan muligheden for at finde frem til indhold via medieformidleren er eller kan påvirkes af betaling af gebyrer eller andre direkte eller indirekte vederlagshensyn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en beskrivelse af de grundlæggende procestrin, der ligger til grund for samlingen, udvælgelsen og præsentationen af indholdet, herunder hvilke personoplysninger og andre data der indgår i sammenlægningen, udvælgelsen og præsentationen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oplysninger om typen og omfanget af den anvendte personalisering og om, hvorvidt og i givet fald hvordan indholdet vurderes relevant for den pågældende bruger</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oplysninger om, hvorvidt og i bekræftende fald på hvilken måde brugeradfærden hos medieformidleren kan påvirke samlingen, udvælgelsen og præsentationen af indholdet, herunder angivelse af de muligheder for indflydelse, som brugeren har til rådighed gennem indstillinger og delfunktioner og</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oplysninger om, hvorvidt og i givet fald hvordan udbyderen af medieformidling behandler sit eget indhold, indhold fra en tilknyttet virksomhed (§ 15 i loven om aktieselskaber (AktG)) eller samarbejdspartneres indhold på en særlig måde under samling, udvælgelse og/eller præsentation.</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3. </w:t>
      </w:r>
      <w:r>
        <w:rPr>
          <w:sz w:val="22"/>
          <w:vertAlign w:val="superscript"/>
          <w:rFonts w:ascii="Calibri" w:hAnsi="Calibri"/>
        </w:rPr>
        <w:t xml:space="preserve">1</w:t>
      </w:r>
      <w:r>
        <w:rPr>
          <w:sz w:val="22"/>
          <w:rFonts w:ascii="Calibri" w:hAnsi="Calibri"/>
        </w:rPr>
        <w:t xml:space="preserve">Vigtige ændringer af de kriterier, der skal gøres gennemsigtige i henhold til § 93, stk. 1, i MStV, skal gøres umiddelbart mærkbare.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Med henblik herpå skal udbyderen af medieformidling holde et overblik over de væsentlige ændringer, der er sket over tid.</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Alle andre ændringer af de kriterier, der skal gøres gennemsigtige i henhold til § 93, stk. 1, skal offentliggøres mindst hver fjerde måned efter denne vedtægts ikrafttræden.</w:t>
      </w:r>
      <w:r>
        <w:rPr>
          <w:sz w:val="22"/>
          <w:rFonts w:ascii="Calibri" w:hAnsi="Calibri"/>
        </w:rPr>
        <w:t xml:space="preserve"> </w:t>
      </w:r>
      <w:r>
        <w:rPr>
          <w:sz w:val="22"/>
          <w:rFonts w:ascii="Calibri" w:hAnsi="Calibri"/>
        </w:rPr>
        <w:t xml:space="preserve">§ 5 finder tilsvarende anvendelse.</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Sektion 3:</w:t>
      </w:r>
      <w:r>
        <w:rPr>
          <w:b/>
          <w:sz w:val="22"/>
          <w:rFonts w:ascii="Calibri" w:hAnsi="Calibri"/>
        </w:rPr>
        <w:t xml:space="preserve"> </w:t>
      </w:r>
      <w:r>
        <w:rPr>
          <w:b/>
          <w:sz w:val="22"/>
          <w:rFonts w:ascii="Calibri" w:hAnsi="Calibri"/>
        </w:rPr>
        <w:t xml:space="preserve">Ligebehandling</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 7 Almindelige bestemmelser</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1. En medieformidlers forpligtelse i henhold til § 94, stk. 1, i MStV omfatter også definerbare dele og bidrag fra et journalistisk-redaktionelt udbud.</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2. </w:t>
      </w:r>
      <w:r>
        <w:rPr>
          <w:sz w:val="22"/>
          <w:vertAlign w:val="superscript"/>
          <w:rFonts w:ascii="Calibri" w:hAnsi="Calibri"/>
        </w:rPr>
        <w:t xml:space="preserve">1</w:t>
      </w:r>
      <w:r>
        <w:rPr>
          <w:sz w:val="22"/>
          <w:rFonts w:ascii="Calibri" w:hAnsi="Calibri"/>
        </w:rPr>
        <w:t xml:space="preserve">Med hensyn til bestemmelsen af en særlig stor indflydelse som omtalt i § 94, stk. 1 i MStV, er medieformidlerens indflydelse på opfattelsen af journalistisk-redaktionelt indhold i meningsdannende proces afgørende.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Vurderingen kan navnlig tage hensyn til</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medieformidlerens stilling på de respektive relevante markeder</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et samlet overblik over brugen, f.eks. på grundlag af det tilgængelige anvendelsesområde, brugernumre, brugeres varighed og aktivitet eller antal visninger pr. bruger.</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8 Systematisk afvigelse i henhold til § 94, stk. 2, første alternative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1. Afgørende for vurderingen af, om en overtrædelse af § 94, stk. 2, første alternativ, i MStV finder anvendelse</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er kriterierne og oplysningerne om vægtningen af de kriterier, som udbyderen af medieformidling offentliggør for at opfylde sin forpligtelse i henhold til § 93, stk. 1, i MStV, eller</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kriterierne og oplysningerne om vægtningen af de kriterier, som udbyderen af medieformidling skal offentliggøre for at opfylde sin forpligtelse i henhold til § 93, stk. 1, i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2. En afvigelse som omhandlet i § 94, stk. 2, første alternativ, i MStV anses for at foreligge, især hvis udbyderen af medieformidling</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ikke anvender de offentliggjorte kriterier eller kriterier ud over dem, der skal offentliggøres i henhold til § 93, stk. 1, afsnit 1 og 2, i MStV, eller</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afviger fra den offentliggjorte vægtning af de centrale kriterier for samling, udvælgelse og præsentation af indhold.</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3. </w:t>
      </w:r>
      <w:r>
        <w:rPr>
          <w:sz w:val="22"/>
          <w:vertAlign w:val="superscript"/>
          <w:rFonts w:ascii="Calibri" w:hAnsi="Calibri"/>
        </w:rPr>
        <w:t xml:space="preserve">1</w:t>
      </w:r>
      <w:r>
        <w:rPr>
          <w:sz w:val="22"/>
          <w:rFonts w:ascii="Calibri" w:hAnsi="Calibri"/>
        </w:rPr>
        <w:t xml:space="preserve">Om en afvigelse som omhandlet i § 94, stk. 2, er systematisk, afgøres på grundlag af et samlet overblik over alle omstændigheder.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Der skal især tages hensyn til varigheden, regelmæssigheden, gentagelsen og tidsplanen for afvigelsen.</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4. En afvigelse er berettiget, hvis dette skyldes en objektivt begrundet begrundelse.</w:t>
      </w:r>
      <w:r>
        <w:rPr>
          <w:sz w:val="22"/>
          <w:rFonts w:ascii="Calibri" w:hAnsi="Calibri"/>
        </w:rPr>
        <w:t xml:space="preserve"> </w:t>
      </w:r>
      <w:r>
        <w:rPr>
          <w:sz w:val="22"/>
          <w:rFonts w:ascii="Calibri" w:hAnsi="Calibri"/>
        </w:rPr>
        <w:t xml:space="preserve">Grundene hertil kan navnlig være</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juridiske forbud eller juridiske forpligtelser</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tekniske forhold i præsentationen for brugeren</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krav til beskyttelse af tjenestens integritet.</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Stk. 5. Hvorvidt der foreligger en objektivt begrundet årsag, vurderes efter at have afvejet de involverede parters interesser under hensyntagen til MStVs målsætning om at sikre diversitet i meningerne.</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Urimelig hindring i henhold til § 94, stk. 2, andet alternativ, i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1. En hindring i henhold til § 94, stk. 2, andet alternativ, i MStV er direkte eller indirekte forringelse af adgangen til eller findeligheden af et journalistisk-redaktionelt udbud.</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2. § 8, stk. 1, finder tilsvarende anvendelse.</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3. </w:t>
      </w:r>
      <w:r>
        <w:rPr>
          <w:sz w:val="22"/>
          <w:vertAlign w:val="superscript"/>
          <w:rFonts w:ascii="Calibri" w:hAnsi="Calibri"/>
        </w:rPr>
        <w:t xml:space="preserve">1</w:t>
      </w:r>
      <w:r>
        <w:rPr>
          <w:sz w:val="22"/>
          <w:rFonts w:ascii="Calibri" w:hAnsi="Calibri"/>
        </w:rPr>
        <w:t xml:space="preserve">Om en hindring som omhandlet i § 94, stk. 2, er systematisk, skal afgøres på grundlag af et samlet overblik over alle omstændigheder.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Varigheden, regelmæssigheden, gentagelsen og regelmæssighed af hindringen skal tages i betragtning.</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4.</w:t>
      </w:r>
      <w:r>
        <w:rPr>
          <w:sz w:val="22"/>
          <w:vertAlign w:val="superscript"/>
          <w:rFonts w:ascii="Calibri" w:hAnsi="Calibri"/>
        </w:rPr>
        <w:t xml:space="preserve"> 1</w:t>
      </w:r>
      <w:r>
        <w:rPr>
          <w:sz w:val="22"/>
          <w:rFonts w:ascii="Calibri" w:hAnsi="Calibri"/>
        </w:rPr>
        <w:t xml:space="preserve">Den urimelige karakter af en hindring skal vurderes på grundlag af en balance mellem parternes interesser, idet der tages hensyn til målsætningen for MStV om at sikre mangfoldigheden i meningerne.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Den urimelige karakter af en hindring kan skyldes individuelle kriterier eller det kumulative samspil mellem flere kriterier.</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Sektion 4:</w:t>
      </w:r>
      <w:r>
        <w:rPr>
          <w:b/>
          <w:sz w:val="22"/>
          <w:rFonts w:ascii="Calibri" w:hAnsi="Calibri"/>
        </w:rPr>
        <w:t xml:space="preserve"> </w:t>
      </w:r>
      <w:r>
        <w:rPr>
          <w:b/>
          <w:sz w:val="22"/>
          <w:rFonts w:ascii="Calibri" w:hAnsi="Calibri"/>
        </w:rPr>
        <w:t xml:space="preserve">Procedure og undersøgelse</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ZAKs kompetence</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1. Med henblik på de opgaver, der skal udføres inden for rammerne af denne vedtægt, fungerer Kommissionen for tilladelser og tilsyn (ZAK) under den kompetente statslige mediemyndighed som et egnet organ (§ 104, stk. 2, første punktum nr. 1, § 105, stk. 1, første punktum nr. 10, i MStV i forbindelse med ZAKs forretningsorden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2. </w:t>
      </w:r>
      <w:r>
        <w:rPr>
          <w:sz w:val="22"/>
          <w:vertAlign w:val="superscript"/>
          <w:rFonts w:ascii="Calibri" w:hAnsi="Calibri"/>
        </w:rPr>
        <w:t xml:space="preserve">1</w:t>
      </w:r>
      <w:r>
        <w:rPr>
          <w:sz w:val="22"/>
          <w:rFonts w:ascii="Calibri" w:hAnsi="Calibri"/>
        </w:rPr>
        <w:t xml:space="preserve">Den kompetente statslige mediemyndighed fremsender straks klager til ZAK via det fælles kontor i henhold til § 11 og underretter det om ex officio undersøgelser.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ZAK fører sagen, indtil afgørelsen er klar.</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Ligebehandlingsprocedure</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1. Den kompetente statslige mediemyndighed undersøger via ZAK på grundlag af en klage eller i åbenlyse tilfælde på eget initiativ, om udbyderen af medieformidling overtræder bestemmelserne i § 94, stk. 1 og 2, i MStV eller § 8 og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2. Ret til klage som omtalt i § 94, stk. 3, første punktum, er MStV bevilliget til</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udbydere af journalistisk-redaktionelt indhold og</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udbydere af medieplatforme og brugergrænseflader, for så vidt de klager over forskelsbehandling af de pakker af journalistisk-redaktionelt indhold, de tilbyder.</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3. </w:t>
      </w:r>
      <w:r>
        <w:rPr>
          <w:sz w:val="22"/>
          <w:vertAlign w:val="superscript"/>
          <w:rFonts w:ascii="Calibri" w:hAnsi="Calibri"/>
        </w:rPr>
        <w:t xml:space="preserve">1</w:t>
      </w:r>
      <w:r>
        <w:rPr>
          <w:sz w:val="22"/>
          <w:rFonts w:ascii="Calibri" w:hAnsi="Calibri"/>
        </w:rPr>
        <w:t xml:space="preserve">Klageren skal begrunde sin klage.</w:t>
      </w:r>
      <w:r>
        <w:rPr>
          <w:sz w:val="22"/>
          <w:rFonts w:ascii="Calibri" w:hAnsi="Calibri"/>
        </w:rPr>
        <w:t xml:space="preserve"> </w:t>
      </w:r>
      <w:r>
        <w:rPr>
          <w:sz w:val="22"/>
          <w:rFonts w:ascii="Calibri" w:hAnsi="Calibri"/>
        </w:rPr>
        <w:t xml:space="preserve">Med henblik herpå skal der fremlægges passende beviser for, at der foreligger tilstrækkelige beviser for den påståede forskelsbehandling af dets journalistisk-redaktionelle indhold som omhandlet i § 94, stk. 2, i MStV eller § 8 og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Der kan især fremlægges følgende:</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evalueringer af findeligheden af eget journalistisk-redaktionelt indhold i medieformidleren og</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undersøgelser, der er egnede.</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Klageren skal desuden, når det er muligt, fremlægge passende beviser, hvoraf der foreligger tilstrækkelige beviser for medieformidlerens særligt store indflydelse på opfattelsen af journalistisk-redaktionelt indhold som omhandlet i § 94, stk. 1, i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4. Der foreligger en åbenbar sag i henhold til § 94, stk. 3, andet punktum, i MStV og stk. 1, hvis de forhold, der ligger til grund for overtrædelsen af forbuddet mod forskelsbehandling, klart kan identificeres for tredjeparter.</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Berigtigelse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Hvis den kompetente statslige mediemyndighed gennem ZAK fastslår, at udbyderen af medieformidling overtræder §§ 92-94 i MStV eller bestemmelserne i denne vedtægt, skal udbyderen af medieformidling straks rette medieformidleren.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Udbyderen af medieformidling er forpligtet til at fremlægge bevis for berigtigelsen til den kompetente statslige mediemyndighed på en passende og forståelig måde.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Oplysninger og forelæggelse af dokumenter</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1. </w:t>
      </w:r>
      <w:r>
        <w:rPr>
          <w:sz w:val="22"/>
          <w:vertAlign w:val="superscript"/>
          <w:rFonts w:ascii="Calibri" w:hAnsi="Calibri"/>
        </w:rPr>
        <w:t xml:space="preserve">1</w:t>
      </w:r>
      <w:r>
        <w:rPr>
          <w:sz w:val="22"/>
          <w:rFonts w:ascii="Calibri" w:hAnsi="Calibri"/>
        </w:rPr>
        <w:t xml:space="preserve">For at kontrollere en eventuel overtrædelse er udbyderen af medieformidling forpligtet til at give alle nødvendige oplysninger, stille oplysninger til rådighed og fremlægge dokumenter.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Den kompetente statslige mediemyndighed kan især</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kræve, at al dokumentation, der dokumenterer kriterierne i § 93, stk. 1, afsnit 1, i MStV, eller de centrale kriterier og deres vægtningssand også fungerer, hvad angår de algoritmer, der anvendes i henhold til § 93, stk. 1, afsnit 2, i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som vidner afhøre ansatte hos udbyderen af medieformidling, der er involveret i definitionen, den tekniske gennemførelse og ændring af kriterierne som omhandlet i § 93, stk. 1, afsnit 1, i MStV, eller centrale kriterier og deres vægtning samt de algoritmer, der anvendes i henhold til § 93, stk. 1, afsnit 2, i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kræve en erklæring fra udbyderen af medieformidling om, hvilke oplysninger der skal gøres gennemsigtige i henhold til § 93, stk. 1, i MStV og §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kræve, at der fremlægges kontraktlige aftaler, forpligtelser eller andre forpligtelser, der er objektivt forbundet med adgang til og bevarelse af indhold for medieformidleren, især for så vidt de vedrører medtagelse, præsentation og bevarelse af journalistisk-redaktionelt indhold.</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Stk. 2. </w:t>
      </w:r>
      <w:r>
        <w:rPr>
          <w:sz w:val="22"/>
          <w:vertAlign w:val="superscript"/>
          <w:rFonts w:ascii="Calibri" w:hAnsi="Calibri"/>
        </w:rPr>
        <w:t xml:space="preserve">1</w:t>
      </w:r>
      <w:r>
        <w:rPr>
          <w:sz w:val="22"/>
          <w:rFonts w:ascii="Calibri" w:hAnsi="Calibri"/>
        </w:rPr>
        <w:t xml:space="preserve">Når udbyderen af medieformidling indsender de i stk. 1 omhandlede dokumenter, skal denne markere de dele af dokumenterne, der indeholder forretningshemmeligheder eller forretningshemmeligheder.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 dette tilfælde skal han/hun desuden indsende en version, som ud fra deres synspunkt, kan ses af tredjeparter uden at afsløre forretningshemmeligheder eller forretningshemmeligheder.</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Hvis dette ikke sker, kan forbundsstatens mediemyndighed gå med til inspektion, medmindre den er bekendt med særlige omstændigheder, der ikke berettiger en sådan formodning.</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Hvis forbundsstatens mediemyndighed anser mærkningen af dokumenterne som forretningshemmeligheder for at være uberettigede, skal den give udbyderen mulighed for at fremsætte bemærkninger, før den beslutter, om der skal gives adgang til tredjeparter.</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Sektion 5:</w:t>
      </w:r>
      <w:r>
        <w:rPr>
          <w:b/>
          <w:sz w:val="22"/>
          <w:rFonts w:ascii="Calibri" w:hAnsi="Calibri"/>
        </w:rPr>
        <w:t xml:space="preserve"> </w:t>
      </w:r>
      <w:r>
        <w:rPr>
          <w:b/>
          <w:sz w:val="22"/>
          <w:rFonts w:ascii="Calibri" w:hAnsi="Calibri"/>
        </w:rPr>
        <w:t xml:space="preserve">Afsluttende bestemmelser</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Evaluering</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ZAK reviderer denne vedtægt mindst hvert tredje år under særlig hensyntagen til</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 erfaringer, der er opnået i forbindelse med den praktiske anvendelse af denne vedtægt</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den tekniske og økonomiske udvikling på lovgivningsområdet</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 enkelte medieformidleres betydning for dannelsen af den offentlige mening</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medregulerende udviklinger som f.eks. forpligtelser i hele branchen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udvikling af forskning i gennemsigtighed og forskelsbehandling</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udvikling af forskning og videnskab inden for dataanalyse, kunstig intelligens og maskinlæring.</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Ikrafttrædelsesdato</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Denne lov træder i kraft den 1. september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Hvis der senest den 31. august 2021 ikke er vedtaget og offentliggjort tilsvarende vedtægter af alle føderale statslige mediemyndigheder, bliver denne vedtægt forældet.</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Formanden for bestyrelsen for Forbundsstatens mediemyndigheder (DLM) offentliggør på internettet under paraplymærket "die medienanstalten", om alle statslige mediemyndigheder har vedtaget og offentliggjort tilsvarende vedtægter inden for den frist, der er fastsat i sætning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Meddelt i overensstemmelse med Europa-Parlamentets og Rådets direktiv (EU) 2015/1535 af 9. september 2015 om en informationsprocedure med hensyn til tekniske forskrifter samt forskrifter for informationssamfundets tjenester (EUT L 241 af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da-DK"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