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REPUBLIKEN FRANKRIKE</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Ministeriet för ekologisk omställning</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Dekret nr. 2022-...</w:t>
      </w:r>
      <w:r>
        <w:t xml:space="preserve">                         </w:t>
      </w:r>
      <w:r>
        <w:t xml:space="preserve">av den...</w:t>
      </w:r>
    </w:p>
    <w:p w14:paraId="735C2865" w14:textId="77777777" w:rsidR="00FB6E53" w:rsidRDefault="00902234" w:rsidP="00FB6E53">
      <w:pPr>
        <w:pStyle w:val="SNtitre"/>
      </w:pPr>
      <w:r>
        <w:t xml:space="preserve">Om koldioxidkompensation och påståenden om koldioxidneutralitet i reklam</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Målgrupp:</w:t>
      </w:r>
      <w:r>
        <w:rPr>
          <w:i/>
          <w:b w:val="0"/>
        </w:rPr>
        <w:t xml:space="preserve"> </w:t>
      </w:r>
      <w:r>
        <w:rPr>
          <w:i/>
          <w:b w:val="0"/>
        </w:rPr>
        <w:t xml:space="preserve">Annonsörer</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Ärende: </w:t>
      </w:r>
      <w:r>
        <w:rPr>
          <w:i/>
          <w:b w:val="0"/>
        </w:rPr>
        <w:t xml:space="preserve">tillämpning av artikel 12 i lag nr 2021–1104 av den 22 augusti 2021 om bekämpning av klimatförändringar och förstärkning av motståndskraften mot dess effekter.</w:t>
      </w:r>
    </w:p>
    <w:p w14:paraId="24250E11" w14:textId="77777777" w:rsidR="00FB6E53" w:rsidRPr="00AC1942" w:rsidRDefault="00FB6E53" w:rsidP="00FB6E53">
      <w:pPr>
        <w:pStyle w:val="SNAutorit"/>
        <w:spacing w:before="120"/>
        <w:jc w:val="both"/>
        <w:rPr>
          <w:i/>
        </w:rPr>
      </w:pPr>
      <w:r>
        <w:rPr>
          <w:i/>
        </w:rPr>
        <w:t xml:space="preserve">Ikraftträdande: </w:t>
      </w:r>
      <w:r>
        <w:rPr>
          <w:i/>
          <w:b w:val="0"/>
        </w:rPr>
        <w:t xml:space="preserve">texten träder i kraft dagen efter offentliggörandet, med undantag för artiklarna 2 och 3 som träder i kraft den 1 januari 2023.</w:t>
      </w:r>
    </w:p>
    <w:p w14:paraId="3C996B02" w14:textId="77777777" w:rsidR="00FB6E53" w:rsidRPr="009F1E9F" w:rsidRDefault="009F1E9F" w:rsidP="009F1E9F">
      <w:pPr>
        <w:pStyle w:val="SNAutorit"/>
        <w:spacing w:before="120"/>
        <w:jc w:val="both"/>
        <w:rPr>
          <w:b w:val="0"/>
          <w:i/>
        </w:rPr>
      </w:pPr>
      <w:r>
        <w:rPr>
          <w:i/>
        </w:rPr>
        <w:t xml:space="preserve">Anmärkning:</w:t>
      </w:r>
      <w:r>
        <w:rPr>
          <w:i/>
        </w:rPr>
        <w:t xml:space="preserve"> </w:t>
      </w:r>
      <w:r>
        <w:rPr>
          <w:i/>
          <w:b w:val="0"/>
        </w:rPr>
        <w:t xml:space="preserve">I detta dekret fastställs formerna för hur annonsörernas överföring av den information som föreskrivs i artikel 12 i ovannämnda lag nr. 2021–1104 ska genomföras.</w:t>
      </w:r>
      <w:r>
        <w:rPr>
          <w:i/>
          <w:b w:val="0"/>
        </w:rPr>
        <w:t xml:space="preserve"> </w:t>
      </w:r>
      <w:r>
        <w:rPr>
          <w:i/>
          <w:b w:val="0"/>
        </w:rPr>
        <w:t xml:space="preserve">Det gäller alla annonser som sänds efter det att texten har trätt i kraft.</w:t>
      </w:r>
      <w:r>
        <w:rPr>
          <w:i/>
        </w:rPr>
        <w:t xml:space="preserve"> </w:t>
      </w:r>
    </w:p>
    <w:p w14:paraId="64AAF47B" w14:textId="77777777" w:rsidR="00FB6E53" w:rsidRDefault="00FB6E53" w:rsidP="00FB6E53">
      <w:pPr>
        <w:pStyle w:val="SNAutorit"/>
        <w:spacing w:before="120"/>
        <w:jc w:val="both"/>
      </w:pPr>
      <w:r>
        <w:rPr>
          <w:i/>
        </w:rPr>
        <w:t xml:space="preserve">Referenser: </w:t>
      </w:r>
      <w:r>
        <w:rPr>
          <w:i/>
          <w:b w:val="0"/>
        </w:rPr>
        <w:t xml:space="preserve">Bestämmelserna i dekretet antas för tillämpningen av artikel 12 i lag nr 2021–1104 av den 22 augusti 2021 om bekämpning av klimatförändringar och förstärkning av motståndskraften mot dess effekter.</w:t>
      </w:r>
      <w:r>
        <w:rPr>
          <w:i/>
          <w:b w:val="0"/>
        </w:rPr>
        <w:t xml:space="preserve"> </w:t>
      </w:r>
      <w:r>
        <w:rPr>
          <w:i/>
          <w:b w:val="0"/>
        </w:rPr>
        <w:t xml:space="preserve">Denna lag och detta dekret finns på Légifrances webbplats (http://www.legifrance.gouv.fr).</w:t>
      </w:r>
    </w:p>
    <w:p w14:paraId="0D71FAD6" w14:textId="77777777" w:rsidR="00FB6E53" w:rsidRDefault="00FB6E53" w:rsidP="00FB6E53">
      <w:pPr>
        <w:pStyle w:val="SNAutorit"/>
      </w:pPr>
      <w:r>
        <w:t xml:space="preserve">Premiärministern har antagit detta dekret,</w:t>
      </w:r>
    </w:p>
    <w:p w14:paraId="68B0A9A6" w14:textId="77777777" w:rsidR="00FB6E53" w:rsidRDefault="00FB6E53" w:rsidP="00FB6E53">
      <w:pPr>
        <w:pStyle w:val="SNRapport"/>
      </w:pPr>
      <w:r>
        <w:t xml:space="preserve">På grundval av rapporten från ministern för ekologisk omställning,</w:t>
      </w:r>
    </w:p>
    <w:p w14:paraId="5C693133" w14:textId="77777777" w:rsidR="0099494E" w:rsidRPr="0099494E" w:rsidRDefault="0099494E" w:rsidP="001E3BBD">
      <w:pPr>
        <w:pStyle w:val="SNRapport"/>
        <w:ind w:left="708" w:firstLine="12"/>
      </w:pPr>
      <w:r>
        <w:t xml:space="preserve">Med beaktande av direktiv (EU) 2015/1535 från Europaparlamentet och Rådet av den 9 september 2015 om ett informationsförfarande beträffande tekniska föreskrifter och föreskrifter för informationssamhällets tjänster (kodifierad text), och särskilt anmälan nr....,</w:t>
      </w:r>
    </w:p>
    <w:p w14:paraId="4A9160F2" w14:textId="77777777" w:rsidR="008C2EFB" w:rsidRDefault="008C2EFB" w:rsidP="00FB6E53">
      <w:pPr>
        <w:pStyle w:val="SNRapport"/>
      </w:pPr>
      <w:r>
        <w:t xml:space="preserve">Med beaktande av miljöbalken;</w:t>
      </w:r>
    </w:p>
    <w:p w14:paraId="46410193" w14:textId="77777777" w:rsidR="00FB6E53" w:rsidRDefault="00FB6E53" w:rsidP="00FB6E53">
      <w:pPr>
        <w:pStyle w:val="SNVisa"/>
        <w:ind w:left="708" w:firstLine="12"/>
      </w:pPr>
      <w:r>
        <w:t xml:space="preserve">Med beaktande av lag nr. 2021–1104 av den 22 augusti 2021 om bekämpning av klimatförändringar och förstärkning av motståndskraften mot dess effekter, särskilt artiklarna 12 och 147;</w:t>
      </w:r>
    </w:p>
    <w:p w14:paraId="46E64030" w14:textId="77777777" w:rsidR="00DA728B" w:rsidRDefault="00DA728B" w:rsidP="00DA728B">
      <w:pPr>
        <w:pStyle w:val="SNVisa"/>
        <w:ind w:left="708" w:firstLine="12"/>
        <w:jc w:val="both"/>
      </w:pPr>
      <w:r>
        <w:t xml:space="preserve">Dekret nr. 97–1198 av den 19 december 1997 om genomförande av artikel 2 första stycket i dekret nr 97–34 av den 15 januari 1997 om delegering av enskilda administrativa beslut till ministrarna med ansvar för ekologisk och solidarisk omställning, territoriell sammanhållning och förbindelser med lokala och regionala myndigheter;</w:t>
      </w:r>
    </w:p>
    <w:p w14:paraId="0A395ED6" w14:textId="77777777" w:rsidR="00FB6E53" w:rsidRPr="00FB6E53" w:rsidRDefault="00FB6E53" w:rsidP="00FB6E53">
      <w:pPr>
        <w:pStyle w:val="SNVisa"/>
        <w:ind w:left="708" w:firstLine="12"/>
      </w:pPr>
      <w:r>
        <w:t xml:space="preserve">Med beaktande av dekret nr. 2020–457 av den 21 april 2020 om nationella koldioxidbudgetar och den nationella strategin för låga koldioxidutsläpp;</w:t>
      </w:r>
    </w:p>
    <w:p w14:paraId="55F7F2B6" w14:textId="77777777" w:rsidR="00FB6E53" w:rsidRDefault="00FB6E53" w:rsidP="00FB6E53">
      <w:pPr>
        <w:pStyle w:val="SNVisa"/>
        <w:ind w:left="708" w:firstLine="12"/>
      </w:pPr>
      <w:r>
        <w:t xml:space="preserve">Med beaktande av de iakttagelser som gjordes under det offentliga samråd som genomfördes mellan </w:t>
      </w:r>
      <w:r>
        <w:t xml:space="preserve">XX </w:t>
      </w:r>
      <w:r>
        <w:t xml:space="preserve">och </w:t>
      </w:r>
      <w:r>
        <w:t xml:space="preserve">XX</w:t>
      </w:r>
      <w:r>
        <w:t xml:space="preserve">, i enlighet med artikel L. 123–19–1 i miljöbalken;</w:t>
      </w:r>
    </w:p>
    <w:p w14:paraId="24270816" w14:textId="77777777" w:rsidR="007B2607" w:rsidRPr="00975B1D" w:rsidRDefault="007B2607" w:rsidP="007B2607">
      <w:pPr>
        <w:pStyle w:val="SNVisa"/>
        <w:ind w:left="708" w:firstLine="12"/>
      </w:pPr>
      <w:r>
        <w:t xml:space="preserve">Efter att ha hört Conseil d’État,</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Härigenom föreskrivs följande:</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Artikel 1</w:t>
      </w:r>
    </w:p>
    <w:p w14:paraId="3D42B733" w14:textId="77777777" w:rsidR="007B2607" w:rsidRPr="007C21D8" w:rsidRDefault="007B2607" w:rsidP="007B2607">
      <w:pPr>
        <w:jc w:val="both"/>
      </w:pPr>
      <w:r>
        <w:t xml:space="preserve">I kapitel IX i avdelning II i bok II i miljölagen ska avsnitt 7 införas på följande sätt:</w:t>
      </w:r>
    </w:p>
    <w:p w14:paraId="437B06A1" w14:textId="77777777" w:rsidR="007B2607" w:rsidRPr="007C21D8" w:rsidRDefault="007B2607" w:rsidP="007B2607">
      <w:pPr>
        <w:jc w:val="both"/>
      </w:pPr>
    </w:p>
    <w:p w14:paraId="61BA25EE" w14:textId="77777777" w:rsidR="007B2607" w:rsidRPr="00175048" w:rsidRDefault="007B2607" w:rsidP="007B2607">
      <w:r>
        <w:t xml:space="preserve">Avsnitt 7:</w:t>
      </w:r>
      <w:r>
        <w:t xml:space="preserve"> </w:t>
      </w:r>
      <w:r>
        <w:t xml:space="preserve">Utsläppsminskningar från projekt för kompensation av växthusgaser</w:t>
      </w:r>
    </w:p>
    <w:p w14:paraId="3D4DF454" w14:textId="77777777" w:rsidR="007B2607" w:rsidRDefault="007B2607" w:rsidP="007B2607"/>
    <w:p w14:paraId="72A2FE53" w14:textId="77777777" w:rsidR="007B2607" w:rsidRDefault="007B2607" w:rsidP="007B2607">
      <w:pPr>
        <w:jc w:val="both"/>
      </w:pPr>
      <w:r>
        <w:t xml:space="preserve">Artikel R. 229–103.- Principerna i artikel L. 229–55 ska vara förenliga med följande genomförandeförfaranden:</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Mätbar karaktär: de växthusgasutsläpp som undviks eller binds genom projekt kvantifieras på grundval av en öppen och allmänt tillgänglig metod.</w:t>
      </w:r>
      <w:r>
        <w:t xml:space="preserve"> </w:t>
      </w:r>
      <w:r>
        <w:t xml:space="preserve">Kvantifieringsmetoden bygger på de senaste vetenskapliga och tekniska rönen.</w:t>
      </w:r>
      <w:r>
        <w:t xml:space="preserve"> </w:t>
      </w:r>
      <w:r>
        <w:t xml:space="preserve">Mätdata är tydligt dokumenterade och kan verifieras.</w:t>
      </w:r>
      <w:r>
        <w:t xml:space="preserve"> </w:t>
      </w:r>
      <w:r>
        <w:t xml:space="preserve">Den metod som kompensationsprojektet hänvisar till definierar ett grundscenario från vilket de utsläppsminskningar som genereras av projektet beräknas.</w:t>
      </w:r>
      <w:r>
        <w:t xml:space="preserve"> </w:t>
      </w:r>
      <w:r>
        <w:t xml:space="preserve">Grundscenariot måste vara projektomfattande och måste återspegla den senaste utvecklingen när det gäller utsläpp av växthusgaser och tillämpningen av befintlig bästa praxis.</w:t>
      </w:r>
    </w:p>
    <w:p w14:paraId="3CA09DD7" w14:textId="77777777" w:rsidR="007B2607" w:rsidRPr="00416C68" w:rsidRDefault="007B2607" w:rsidP="007B2607">
      <w:pPr>
        <w:spacing w:after="160" w:line="259" w:lineRule="auto"/>
        <w:jc w:val="both"/>
      </w:pPr>
      <w:r>
        <w:t xml:space="preserve">Kontrollerbar karaktär: de utsläpp av växthusgaser som undviks eller binds ska kontrolleras av en revisor som är oberoende av projektsponsorn.</w:t>
      </w:r>
      <w:r>
        <w:t xml:space="preserve"> </w:t>
      </w:r>
      <w:r>
        <w:t xml:space="preserve">På grundval av dokumentkontroller eller kontroller på plats validerar revisorn den minskning av växthusgasutsläppen som kan uppnås genom de åtgärder som genomförs under projektets löptid.</w:t>
      </w:r>
    </w:p>
    <w:p w14:paraId="78D41360" w14:textId="77777777" w:rsidR="007B2607" w:rsidRPr="00416C68" w:rsidRDefault="007B2607" w:rsidP="007B2607">
      <w:pPr>
        <w:spacing w:after="160" w:line="259" w:lineRule="auto"/>
        <w:jc w:val="both"/>
      </w:pPr>
      <w:r>
        <w:t xml:space="preserve">Permanent karaktär: de utsläpp av växthusgaser som undviks eller binds genom kompensationsprojekt undviks permanent.</w:t>
      </w:r>
      <w:r>
        <w:t xml:space="preserve"> </w:t>
      </w:r>
      <w:r>
        <w:t xml:space="preserve">I tillämpliga fall ska risken för bristande varaktighet beaktas genom kvantifieringsmetoden.</w:t>
      </w:r>
    </w:p>
    <w:p w14:paraId="7AF834A5" w14:textId="77777777" w:rsidR="007B2607" w:rsidRDefault="007B2607" w:rsidP="007B2607">
      <w:pPr>
        <w:spacing w:after="160" w:line="259" w:lineRule="auto"/>
        <w:jc w:val="both"/>
      </w:pPr>
      <w:r>
        <w:t xml:space="preserve">Ytterligare tecken: kompensationsprojekten kunde inte ha genomförts utan särskild finansiering, med beaktande av befintliga ekonomiska incitament, god praxis och tillämpliga skyldigheter.</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Artikel R. 229–104.- Ersättningsprojekt ska respektera principen om öppenhet.</w:t>
      </w:r>
      <w:r>
        <w:t xml:space="preserve"> </w:t>
      </w:r>
      <w:r>
        <w:t xml:space="preserve">Den metod som kompensationsprojektet avser och projektets beskrivande delar, särskilt när det gäller identifiering, lokalisering och redovisning av minskningar av växthusgasutsläpp, ska vara allmänt tillgängliga och lättillgängliga.”</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Artikel 2</w:t>
      </w:r>
    </w:p>
    <w:p w14:paraId="20E5A1ED" w14:textId="77777777" w:rsidR="002C342A" w:rsidRDefault="002C342A" w:rsidP="002C342A">
      <w:pPr>
        <w:pStyle w:val="BodyText"/>
      </w:pPr>
      <w:r>
        <w:t xml:space="preserve">Kapitel IX i avdelning II i bok II i miljölagen ska kompletteras med avsnitt 9 på följande sätt:</w:t>
      </w:r>
    </w:p>
    <w:p w14:paraId="2481D22C" w14:textId="77777777" w:rsidR="002C342A" w:rsidRPr="00163F8A" w:rsidRDefault="002C342A" w:rsidP="002C342A">
      <w:pPr>
        <w:pStyle w:val="BodyText"/>
        <w:jc w:val="center"/>
        <w:rPr>
          <w:i/>
        </w:rPr>
      </w:pPr>
      <w:r>
        <w:rPr>
          <w:i/>
        </w:rPr>
        <w:t xml:space="preserve">”Avsnitt 9</w:t>
      </w:r>
    </w:p>
    <w:p w14:paraId="2368A9FE" w14:textId="77777777" w:rsidR="002C342A" w:rsidRPr="00163F8A" w:rsidRDefault="002C342A" w:rsidP="002C342A">
      <w:pPr>
        <w:pStyle w:val="BodyText"/>
        <w:jc w:val="center"/>
        <w:rPr>
          <w:i/>
        </w:rPr>
      </w:pPr>
      <w:r>
        <w:rPr>
          <w:i/>
        </w:rPr>
        <w:t xml:space="preserve">Miljöpåståenden</w:t>
      </w:r>
    </w:p>
    <w:p w14:paraId="014E3E1C" w14:textId="77777777" w:rsidR="002C342A" w:rsidRPr="007B2607" w:rsidRDefault="002C342A" w:rsidP="00FB6E53">
      <w:pPr>
        <w:pStyle w:val="BodyText"/>
        <w:spacing w:after="0"/>
        <w:rPr>
          <w:bCs/>
        </w:rPr>
      </w:pPr>
      <w:r>
        <w:t xml:space="preserve">Artikel D. 229–105.- En annonsör som i en annons hävdar att en produkt eller tjänst är koldioxidneutral eller använder någon formulering med motsvarande innebörd eller räckvidd ska följa bestämmelserna i detta avsnitt.</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Detta avsnitt ska tillämpas på reklamkorrespondens som riktar sig till enskilda personer, reklamtrycksaker som distribueras till allmänheten, reklamaffischer, annonser i presspublikationer, reklam som sänds på biografer, reklam som ges ut av televisions- eller sändningstjänster och via kommunikationstjänster till allmänheten online, samt på påståenden som anbringats på varornas förpackning.</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Artikel D. 229–106.- En annonsör som avses i artikel D. 229–105 ska upprätta en balansräkning för utsläpp av växthusgaser för den berörda produkten eller tjänsten som täcker hela dess livscykel.</w:t>
      </w:r>
      <w:r>
        <w:t xml:space="preserve"> </w:t>
      </w:r>
      <w:r>
        <w:t xml:space="preserve">Denna balansräkning ska uppdateras årligen.</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Denna balansräkning ska upprättas i enlighet med kraven i standarden NF EN ISO 14067, eller någon annan standard som överensstämmer med kraven i den standarden.</w:t>
      </w:r>
      <w:r>
        <w:t xml:space="preserve"> </w:t>
      </w:r>
      <w:r>
        <w:t xml:space="preserve">Ett beslut av miljöministern får komplettera dessa krav för att anpassa metoden i utsläppsbalansräkningen till den metod för miljömärkning som föreskrivs i artikel L. 541–9-11 i denna lag.</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”Artikel D. 229-107.</w:t>
      </w:r>
      <w:r>
        <w:t xml:space="preserve"> </w:t>
      </w:r>
      <w:r>
        <w:t xml:space="preserve">- Den annonsör som avses i artikel D. 229–105 ska på sin webbplats för offentlig kommunikation online eller, om så inte är fallet, på sin mobilapplikation offentliggöra en sammanfattande rapport som beskriver den marknadsförda produktens eller tjänstens koldioxidavtryck och hur dessa utsläpp av växthusgaser i första hand undviks, därefter minskas och slutligen kompenseras.</w:t>
      </w:r>
      <w:r>
        <w:t xml:space="preserve"> </w:t>
      </w:r>
      <w:r>
        <w:t xml:space="preserve">Denna rapport ska innehålla tre bilagor med närmare uppgifter om innehållet och presenteras i följande ordning:</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en bilaga med resultatet av den balansräkning som avses i artikel D. 229–106 och en sammanfattning av den metod som använts vid upprättandet av balansräkningen.</w:t>
      </w:r>
      <w:r>
        <w:t xml:space="preserve"> </w:t>
      </w:r>
      <w:r>
        <w:t xml:space="preserve">I sammanfattningen ska särskilt anges det tillämpningsområde som används för definitionen av den berörda produkten eller tjänsten, de funktionella eller deklarerade enheter som används, det berörda systemets gränser, metoden för bearbetning av uttjänta produkter och de utsläppsdata som beaktas för el eller gas som förbrukas från näten.</w:t>
      </w:r>
      <w:r>
        <w:t xml:space="preserve"> </w:t>
      </w:r>
      <w:r>
        <w:t xml:space="preserve">Den ska ange det land eller länder eller geografiska område(n) där utsläpp och utsläpp från internationella transporter äger rum, i den mån sådana uppgifter finns tillgängliga,</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en bilaga som anger målbanan för att minska utsläppen av växthusgaser i samband med den utannonserade produkten eller tjänsten, med kvantifierade årliga framstegsmål, som omfattar minst tio år efter offentliggörandet av rapporten,</w:t>
      </w:r>
    </w:p>
    <w:p w14:paraId="238DECC6" w14:textId="77777777" w:rsidR="006E7C91" w:rsidRPr="007B2607" w:rsidRDefault="008C2EFB" w:rsidP="00FB6E53">
      <w:pPr>
        <w:pStyle w:val="BodyText"/>
        <w:spacing w:after="0"/>
        <w:rPr>
          <w:bCs/>
        </w:rPr>
      </w:pPr>
      <w:r>
        <w:t xml:space="preserve">(3) en bilaga med närmare uppgifter om förfarandena för att kompensera för restutsläpp, särskilt med angivande av kompensationsprojektens art och beskrivning.</w:t>
      </w:r>
      <w:r>
        <w:t xml:space="preserve"> </w:t>
      </w:r>
      <w:r>
        <w:t xml:space="preserve">Denna bilaga kan också frivilligt innehålla information om sina kostnader (totalt och per ton CO</w:t>
      </w:r>
      <w:r>
        <w:rPr>
          <w:vertAlign w:val="subscript"/>
        </w:rPr>
        <w:t xml:space="preserve">2</w:t>
      </w:r>
      <w:r>
        <w:t xml:space="preserve">).</w:t>
      </w:r>
      <w:r>
        <w:t xml:space="preserve"> </w:t>
      </w:r>
      <w:r>
        <w:t xml:space="preserve">Denna bilaga visar att den utsläppsvolym som undviks eller minskas genom denna kompensation motsvarar de återstående utsläppen från alla produkter eller tjänster som säljs och påverkas av reklamen.</w:t>
      </w:r>
      <w:r>
        <w:t xml:space="preserve">  </w:t>
      </w:r>
      <w:r>
        <w:t xml:space="preserve">I denna bilaga anges också de medel som annonsören använder för att se till att den ersättning som dessa projekt möjliggör inte räknas dubbelt.</w:t>
      </w:r>
      <w:r>
        <w:t xml:space="preserve"> </w:t>
      </w:r>
      <w:r>
        <w:t xml:space="preserve">I synnerhet fastställs metoder för att avlägsna utsläppsminskningar från marknaden när kompensationskrediter används.</w:t>
      </w:r>
      <w:r>
        <w:t xml:space="preserve"> </w:t>
      </w:r>
      <w:r>
        <w:t xml:space="preserve">I denna bilaga beskrivs slutligen de ansträngningar som gjorts för att säkerställa bästa möjliga samstämmighet mellan de geografiska områden där projekten genomförs och där utsläppen äger rum.</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Detta offentliggörande ska uppdateras årligen under hela produktens eller tjänstens saluföringsperiod.</w:t>
      </w:r>
      <w:r>
        <w:t xml:space="preserve"> </w:t>
      </w:r>
      <w:r>
        <w:t xml:space="preserve">I synnerhet gör uppdateringen det möjligt att övervaka utvecklingen av utsläppen i samband med produkten eller tjänsten i jämförelse med den minskningsbana som nämns ovan.</w:t>
      </w:r>
      <w:r>
        <w:t xml:space="preserve"> </w:t>
      </w:r>
      <w:r>
        <w:t xml:space="preserve">Annonsören måste dra tillbaka den fordran som avses i artikel D. 229–105 om det visar sig att utsläppen per enhet i samband med produkten eller tjänsten innan ersättningen har ökat under två på varandra följande år.</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Webblänken eller snabbsvarskoden för att få tillgång till denna publikation anges på annonsen eller förpackningen med påståendet om koldioxidneutralitet.</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”Artikel D. 229-108.</w:t>
      </w:r>
      <w:r>
        <w:t xml:space="preserve"> </w:t>
      </w:r>
      <w:r>
        <w:t xml:space="preserve">– De kompensationsprojekt som används av annonsören enligt artikel D. 229–105 ska uppfylla villkoren i artiklarna R. 229–103 och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Kompensationsprojekt får inte inverka menligt på bevarandet och återställandet av naturliga ekosystem och deras funktioner.</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De utsläpp som är förknippade med produkter eller tjänster som konsumeras i Frankrike måste i huvudsak kompenseras på franskt territorium.</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De utsläppsminskningar som erkänns enligt dekret nr 2018–1043 av den 28 november 2018 om införande av en märkning med låg kolhalt anses vara förenliga med artikel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”Artikel R. 229-109.</w:t>
      </w:r>
      <w:r>
        <w:t xml:space="preserve"> </w:t>
      </w:r>
      <w:r>
        <w:t xml:space="preserve">– Enligt artikel L. 229–69 får miljöministern bestraffa underlåtenhet att uppfylla skyldigheten enligt artikel L. 229–68 på de villkor som anges i denna artikel.</w:t>
      </w:r>
    </w:p>
    <w:p w14:paraId="5158D784" w14:textId="77777777" w:rsidR="00851850" w:rsidRPr="00851850" w:rsidRDefault="00851850" w:rsidP="00851850">
      <w:pPr>
        <w:pStyle w:val="BodyText"/>
        <w:rPr>
          <w:bCs/>
        </w:rPr>
      </w:pPr>
      <w:r>
        <w:t xml:space="preserve">Underlåtenhet att uppfylla de skyldigheter som föreskrivs i artikel L. 229–68 ska fastställas av en tjänsteman som är bemyndigad för detta ändamål av miljöministern.</w:t>
      </w:r>
    </w:p>
    <w:p w14:paraId="5850D6DE" w14:textId="77777777" w:rsidR="00851850" w:rsidRPr="00851850" w:rsidRDefault="00851850" w:rsidP="00851850">
      <w:pPr>
        <w:pStyle w:val="BodyText"/>
        <w:rPr>
          <w:bCs/>
        </w:rPr>
      </w:pPr>
      <w:r>
        <w:t xml:space="preserve">Efter att ha gett annonsören möjlighet att skriftligen yttra sig över de klagomål som riktats mot denne, kan miljöministern inom en tidsfrist som ministern fastställer anmoda denne att iaktta denna skyldighet.</w:t>
      </w:r>
      <w:r>
        <w:t xml:space="preserve"> </w:t>
      </w:r>
      <w:r>
        <w:t xml:space="preserve">Ministern får offentliggöra denna formella underrättelse.</w:t>
      </w:r>
      <w:r>
        <w:t xml:space="preserve">  </w:t>
      </w:r>
    </w:p>
    <w:p w14:paraId="304FDC6A" w14:textId="77777777" w:rsidR="00851850" w:rsidRPr="007B2607" w:rsidRDefault="00851850" w:rsidP="00851850">
      <w:pPr>
        <w:pStyle w:val="BodyText"/>
        <w:spacing w:after="0"/>
        <w:rPr>
          <w:bCs/>
        </w:rPr>
      </w:pPr>
      <w:r>
        <w:t xml:space="preserve">Om annonsören inte rättar sig efter meddelandet inom den föreskrivna fristen får miljöministern ålägga denne att betala de böter som föreskrivs i artikel L. 229–69 i miljöbalken.”</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Artikel 3</w:t>
      </w:r>
    </w:p>
    <w:p w14:paraId="3FB8E1D7" w14:textId="77777777" w:rsidR="00851850" w:rsidRDefault="00851850" w:rsidP="00851850">
      <w:pPr>
        <w:pStyle w:val="SNArticle"/>
        <w:jc w:val="left"/>
        <w:rPr>
          <w:b w:val="0"/>
        </w:rPr>
      </w:pPr>
      <w:r>
        <w:rPr>
          <w:b w:val="0"/>
        </w:rPr>
        <w:t xml:space="preserve">I bilaga 1 till ovannämnda dekret av den 19 december 1997 ska rubriken ”Energi och klimat” kompletteras med följande:</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Formell underrättelse och påföljder för påståendet i en reklam om att en produkt eller tjänst är koldioxidneutral</w:t>
            </w:r>
          </w:p>
        </w:tc>
        <w:tc>
          <w:tcPr>
            <w:tcW w:w="2051" w:type="dxa"/>
          </w:tcPr>
          <w:p w14:paraId="33125CBC" w14:textId="77777777" w:rsidR="00851850" w:rsidRPr="00851850" w:rsidRDefault="00851850" w:rsidP="003C32DD">
            <w:pPr>
              <w:pStyle w:val="SNArticle"/>
              <w:jc w:val="left"/>
              <w:rPr>
                <w:b w:val="0"/>
              </w:rPr>
            </w:pPr>
            <w:r>
              <w:rPr>
                <w:b w:val="0"/>
              </w:rPr>
              <w:t xml:space="preserve">Miljöbalken</w:t>
            </w:r>
          </w:p>
          <w:p w14:paraId="627C57FC" w14:textId="77777777" w:rsidR="00851850" w:rsidRPr="001D0716" w:rsidRDefault="00851850" w:rsidP="003C32DD">
            <w:pPr>
              <w:pStyle w:val="BodyText"/>
            </w:pPr>
            <w:r>
              <w:t xml:space="preserve">”Artikel R. 229-109</w:t>
            </w:r>
          </w:p>
        </w:tc>
        <w:tc>
          <w:tcPr>
            <w:tcW w:w="2336" w:type="dxa"/>
          </w:tcPr>
          <w:p w14:paraId="57484785" w14:textId="77777777" w:rsidR="00851850" w:rsidRPr="001D0716" w:rsidRDefault="00851850" w:rsidP="003C32DD">
            <w:pPr>
              <w:pStyle w:val="SNArticle"/>
              <w:jc w:val="left"/>
              <w:rPr>
                <w:b w:val="0"/>
              </w:rPr>
            </w:pPr>
            <w:r>
              <w:rPr>
                <w:b w:val="0"/>
              </w:rPr>
              <w:t xml:space="preserve">Miljöministern</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Artikel 4</w:t>
      </w:r>
    </w:p>
    <w:p w14:paraId="4B9BA7C2" w14:textId="77777777" w:rsidR="0061349E" w:rsidRDefault="00851850" w:rsidP="00BE3757">
      <w:pPr>
        <w:pStyle w:val="BodyText"/>
      </w:pPr>
      <w:r>
        <w:t xml:space="preserve">Denna förordning träder i kraft dagen efter det att den har offentliggjorts, med undantag för artiklarna 2 och 3 som träder i kraft den 1 januari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Fram till och med den 31 december 2025 är finansieringen av projekt på franskt territorium likvärdig med tilldelningen till annonsören för utsläppsminskningar i enlighet med bestämmelserna i artikel D. 229–107, punkt 3, om annonsören genom ett avtal kan motivera ett eventuellt erkännande av de kontrollerade utsläppsminskningarna för detta projekt.</w:t>
      </w:r>
      <w:r>
        <w:t xml:space="preserve"> </w:t>
      </w:r>
      <w:r>
        <w:t xml:space="preserve">Annonsören ska säkerställa efterlevnaden av sina skyldigheter att kompensera för utsläpp, vid behov genom att förvärva ytterligare koldioxidkrediter som motsvarar skillnaden mellan projektets verifierade utsläppsminskningar och de finansierade.</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Artikel 5</w:t>
      </w:r>
    </w:p>
    <w:p w14:paraId="65149FAE" w14:textId="77777777" w:rsidR="00FB6E53" w:rsidRDefault="00FB6E53" w:rsidP="00FB6E53">
      <w:pPr>
        <w:pStyle w:val="BodyText"/>
      </w:pPr>
      <w:r>
        <w:t xml:space="preserve">Frankrikes minister för ekologisk omställning ansvarar för genomförandet av detta dekret, som kommer att offentliggöras i </w:t>
      </w:r>
      <w:r>
        <w:rPr>
          <w:i/>
          <w:iCs/>
        </w:rPr>
        <w:t xml:space="preserve">Republiken Frankrikes officiella tidning</w:t>
      </w:r>
      <w:r>
        <w:t xml:space="preserve">.</w:t>
      </w:r>
    </w:p>
    <w:p w14:paraId="633ECCBF" w14:textId="77777777" w:rsidR="00FB6E53" w:rsidRDefault="00FB6E53" w:rsidP="00FB6E53">
      <w:pPr>
        <w:pStyle w:val="SNDate"/>
      </w:pPr>
      <w:r>
        <w:t xml:space="preserve">Utfärdad den [ ].</w:t>
      </w:r>
    </w:p>
    <w:p w14:paraId="7B41A2DC" w14:textId="77777777" w:rsidR="00FB6E53" w:rsidRDefault="00FB6E53" w:rsidP="00FB6E53">
      <w:pPr>
        <w:ind w:left="567"/>
      </w:pPr>
      <w:r>
        <w:t xml:space="preserve">Av premiärministern:</w:t>
      </w:r>
    </w:p>
    <w:p w14:paraId="2011CC35" w14:textId="77777777" w:rsidR="00FB6E53" w:rsidRDefault="00FB6E53" w:rsidP="00FB6E53">
      <w:pPr>
        <w:pStyle w:val="SNSignatureGauche"/>
        <w:ind w:left="567" w:right="5669"/>
      </w:pPr>
      <w:r>
        <w:t xml:space="preserve">Ministern för grön omställning,</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