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FB72A3"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2341538" r:id="rId9">
            <o:FieldCodes>\s</o:FieldCodes>
          </o:OLEObject>
        </w:object>
      </w:r>
    </w:p>
    <w:p w14:paraId="03189D6A" w14:textId="77777777" w:rsidR="00B04B23" w:rsidRDefault="00B04B23" w:rsidP="00B04B23">
      <w:pPr>
        <w:pStyle w:val="Heading1"/>
        <w:rPr>
          <w:sz w:val="38"/>
          <w:szCs w:val="38"/>
        </w:rPr>
      </w:pPr>
      <w:r>
        <w:rPr>
          <w:sz w:val="38"/>
        </w:rPr>
        <w:t xml:space="preserve">Código de Leyes de la Agencia Sueca de Acreditación y Evaluación de la Conformidad</w:t>
      </w:r>
    </w:p>
    <w:p w14:paraId="625B9265" w14:textId="77777777" w:rsidR="00B04B23" w:rsidRDefault="00B04B23" w:rsidP="00B04B23"/>
    <w:p w14:paraId="6E0C10F2" w14:textId="77777777" w:rsidR="00B04B23" w:rsidRPr="00B04B23" w:rsidRDefault="00B04B23" w:rsidP="00B04B23">
      <w:r>
        <w:t xml:space="preserve">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 xml:space="preserve">Publicado por:</w:t>
      </w:r>
      <w:r>
        <w:t xml:space="preserve"> </w:t>
      </w:r>
      <w:r>
        <w:t xml:space="preserve">Anette Arveståhl</w:t>
      </w:r>
    </w:p>
    <w:bookmarkStart w:id="0" w:name="Titel"/>
    <w:p w14:paraId="2C7C24E0" w14:textId="77777777" w:rsidR="00B04B23" w:rsidRPr="00FE333B" w:rsidRDefault="00B11B45" w:rsidP="005C076B">
      <w:pPr>
        <w:pStyle w:val="Heading2"/>
        <w:tabs>
          <w:tab w:val="left" w:pos="462"/>
        </w:tabs>
      </w:pPr>
      <w: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 xml:space="preserve">STAFS 2022:2</w:t>
                            </w:r>
                          </w:p>
                          <w:p w14:paraId="5FDD2511" w14:textId="2FAD0429" w:rsidR="00B04B23" w:rsidRPr="00AE1FEB" w:rsidRDefault="00E1584C" w:rsidP="00B04B23">
                            <w:pPr>
                              <w:pStyle w:val="BodyText"/>
                              <w:jc w:val="left"/>
                              <w:rPr>
                                <w:sz w:val="20"/>
                                <w:szCs w:val="20"/>
                              </w:rPr>
                            </w:pPr>
                            <w:r>
                              <w:rPr>
                                <w:sz w:val="20"/>
                              </w:rPr>
                              <w:t xml:space="preserve">Publicado el</w:t>
                            </w:r>
                            <w:r>
                              <w:rPr>
                                <w:sz w:val="20"/>
                              </w:rPr>
                              <w:br/>
                            </w:r>
                            <w:r>
                              <w:rPr>
                                <w:sz w:val="20"/>
                              </w:rPr>
                              <w:t xml:space="preserve">14 de junio de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Publicado el</w:t>
                      </w:r>
                      <w:r>
                        <w:rPr>
                          <w:sz w:val="20"/>
                        </w:rPr>
                        <w:br/>
                      </w:r>
                      <w:r>
                        <w:rPr>
                          <w:sz w:val="20"/>
                        </w:rPr>
                        <w:t xml:space="preserve">14 de junio de 2022</w:t>
                      </w:r>
                    </w:p>
                  </w:txbxContent>
                </v:textbox>
                <w10:wrap anchorx="page" anchory="page"/>
              </v:shape>
            </w:pict>
          </mc:Fallback>
        </mc:AlternateContent>
      </w:r>
      <w:r>
        <w:t xml:space="preserve">Reglamento y directrices generales de la Agencia Sueca de Acreditación y Evaluación de la Conformidad sobre dispositivos auxiliares para taxímetros</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 xml:space="preserve">Adoptado el 8 de junio de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 xml:space="preserve">La Agencia Sueca de Acreditación y Evaluación de la Conformidad (SWEDAC, por su versión en sueco) establece</w:t>
      </w:r>
      <w:r w:rsidR="0008733F" w:rsidRPr="00FE333B">
        <w:rPr>
          <w:rStyle w:val="FootnoteReference"/>
        </w:rPr>
        <w:footnoteReference w:id="1"/>
      </w:r>
      <w:r>
        <w:t xml:space="preserve"> lo siguiente en virtud del capítulo 8, artículo 1, de la Ordenanza (2012:238) sobre tráfico de taxis y el artículo 3 de la Ordenanza (2011:811) sobre acreditación y evaluación de la conformidad y adopta las siguientes directrices generales.</w:t>
      </w:r>
      <w:r>
        <w:t xml:space="preserve">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Ámbito de aplicación</w:t>
      </w:r>
      <w:r>
        <w:rPr>
          <w:b/>
          <w:sz w:val="25"/>
        </w:rPr>
        <w:t xml:space="preserv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 xml:space="preserve">Artículo 1</w:t>
      </w:r>
      <w:r>
        <w:tab/>
      </w:r>
      <w:r>
        <w:t xml:space="preserve">El presente Reglamento contiene disposiciones sobre los requisitos y la evaluación de un dispositivo auxiliar acoplado a un taxímetro.</w:t>
      </w:r>
      <w:r>
        <w:t xml:space="preserve">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 xml:space="preserve">Definiciones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 xml:space="preserve">Artículo 2</w:t>
      </w:r>
      <w:r>
        <w:tab/>
      </w:r>
      <w:r>
        <w:t xml:space="preserve">A efectos del presente Reglamento, las palabras y los términos se utilizan en el sentido del artículo 2 del Reglamento STAFS 2022:1</w:t>
      </w:r>
      <w:r w:rsidRPr="00FE333B">
        <w:rPr>
          <w:vertAlign w:val="superscript"/>
        </w:rPr>
        <w:footnoteReference w:id="2"/>
      </w:r>
      <w:r>
        <w:t xml:space="preserve"> sobre taxímetros.</w:t>
      </w:r>
      <w:r>
        <w:t xml:space="preserve"> </w:t>
      </w:r>
      <w:r>
        <w:t xml:space="preserve">Además, a los efectos de este Reglamento:</w:t>
      </w:r>
    </w:p>
    <w:p w14:paraId="6B746E35" w14:textId="451D46DD" w:rsidR="005E217A" w:rsidRDefault="00C05C06" w:rsidP="005C076B">
      <w:pPr>
        <w:pStyle w:val="BodyTextIndent"/>
        <w:tabs>
          <w:tab w:val="left" w:pos="518"/>
        </w:tabs>
        <w:spacing w:line="240" w:lineRule="auto"/>
        <w:rPr>
          <w:i/>
        </w:rPr>
      </w:pPr>
      <w:r>
        <w:t xml:space="preserve">1)</w:t>
      </w:r>
      <w:r>
        <w:rPr>
          <w:i/>
        </w:rPr>
        <w:t xml:space="preserve"> método de pago</w:t>
      </w:r>
      <w:r>
        <w:t xml:space="preserve">: la forma de pago, ya sea por vía electrónica, física, mediante la concesión de créditos o por cualquier otro medio;</w:t>
      </w:r>
    </w:p>
    <w:p w14:paraId="61238C1B" w14:textId="6D2F31BD" w:rsidR="00EA620F" w:rsidRPr="00FE333B" w:rsidRDefault="005E217A" w:rsidP="005C076B">
      <w:pPr>
        <w:pStyle w:val="BodyTextIndent"/>
        <w:tabs>
          <w:tab w:val="left" w:pos="518"/>
        </w:tabs>
        <w:spacing w:line="240" w:lineRule="auto"/>
      </w:pPr>
      <w:r>
        <w:t xml:space="preserve">2)</w:t>
      </w:r>
      <w:r>
        <w:rPr>
          <w:i/>
        </w:rPr>
        <w:t xml:space="preserve"> asignación de conducción</w:t>
      </w:r>
      <w:r>
        <w:t xml:space="preserve">: transporte ordenado en el tráfico de taxis que comienza cuando el taxímetro se mueve de «libre» a «ocupado» y termina cuando el taxímetro se mueve de «detenido» a «libre»; y</w:t>
      </w:r>
    </w:p>
    <w:p w14:paraId="2BC2CA31" w14:textId="7F7A1FF8" w:rsidR="00EA620F" w:rsidRPr="00FE333B" w:rsidRDefault="005E217A" w:rsidP="005C076B">
      <w:pPr>
        <w:pStyle w:val="BodyTextIndent"/>
        <w:tabs>
          <w:tab w:val="left" w:pos="518"/>
        </w:tabs>
        <w:spacing w:line="240" w:lineRule="auto"/>
      </w:pPr>
      <w:r>
        <w:t xml:space="preserve">3) </w:t>
      </w:r>
      <w:r>
        <w:rPr>
          <w:i/>
        </w:rPr>
        <w:t xml:space="preserve">examen de tipo</w:t>
      </w:r>
      <w:r>
        <w:t xml:space="preserve">: un procedimiento de evaluación de la conformidad mediante el cual un organismo acreditado examina el diseño técnico de un dispositivo auxiliar y garantiza y declara que cumple los requisitos del presente Reglamento.</w:t>
      </w:r>
      <w:r>
        <w:t xml:space="preserve">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b/>
          <w:bCs/>
          <w:sz w:val="25"/>
          <w:rFonts w:eastAsia="Times New Roman"/>
        </w:rPr>
      </w:pPr>
      <w:r>
        <w:rPr>
          <w:b/>
          <w:sz w:val="25"/>
        </w:rPr>
        <w:t xml:space="preserve">Requisitos de los dispositivos auxiliares</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 xml:space="preserve">Artículo 3</w:t>
      </w:r>
      <w:r>
        <w:tab/>
      </w:r>
      <w:r>
        <w:t xml:space="preserve">Un dispositivo auxiliar deberá cumplir los requisitos del anexo del presente Reglamento.</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b/>
          <w:bCs/>
          <w:sz w:val="25"/>
          <w:rFonts w:eastAsia="Times New Roman"/>
        </w:rPr>
      </w:pPr>
      <w:r>
        <w:rPr>
          <w:b/>
          <w:sz w:val="25"/>
        </w:rPr>
        <w:t xml:space="preserve">Requisitos para los fabricantes de dispositivos auxiliares</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 xml:space="preserve">Artículo 4</w:t>
      </w:r>
      <w:r>
        <w:rPr>
          <w:b/>
        </w:rPr>
        <w:tab/>
      </w:r>
      <w:r>
        <w:t xml:space="preserve">El fabricante de dispositivos auxiliares se asegurará de que los productos estén diseñados y fabricados de conformidad con los requisitos establecidos en el anexo del presente Reglamento.</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 xml:space="preserve">Artículo 5</w:t>
      </w:r>
      <w:r>
        <w:tab/>
      </w:r>
      <w:r>
        <w:t xml:space="preserve">El fabricante dispondrá de un sistema de gestión documentado con procedimientos e instrucciones para garantizar que los dispositivos auxiliares producidos en serie cumplen los requisitos del presente Reglamento.</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 xml:space="preserve">Directrices generales</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 xml:space="preserve">El sistema de gestión del fabricante debe cumplir con los requisitos de la norma SS-EN ISO 9001 (Sistema de gestión de la calidad – Requisitos) en las piezas relacionadas con la producción en serie de dispositivos auxiliares.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 xml:space="preserve">Artículo 6</w:t>
      </w:r>
      <w:r>
        <w:tab/>
      </w:r>
      <w:r>
        <w:t xml:space="preserve">Con el fin de garantizar que un producto auxiliar cumpla los requisitos del presente Reglamento, el fabricante presentará el producto auxiliar para su evaluación de la conformidad mediante:</w:t>
      </w:r>
      <w:r>
        <w:t xml:space="preserve"> </w:t>
      </w:r>
    </w:p>
    <w:p w14:paraId="531F931E" w14:textId="77777777" w:rsidR="00442040" w:rsidRPr="00FE333B" w:rsidRDefault="009E2A07" w:rsidP="0003705F">
      <w:pPr>
        <w:pStyle w:val="BodyText"/>
        <w:tabs>
          <w:tab w:val="left" w:pos="518"/>
        </w:tabs>
        <w:spacing w:line="240" w:lineRule="auto"/>
        <w:ind w:firstLine="227"/>
      </w:pPr>
      <w:r>
        <w:t xml:space="preserve">1) un examen de tipo;</w:t>
      </w:r>
      <w:r>
        <w:t xml:space="preserve"> </w:t>
      </w:r>
      <w:r>
        <w:t xml:space="preserve">y</w:t>
      </w:r>
    </w:p>
    <w:p w14:paraId="7D5BD3AA" w14:textId="77777777" w:rsidR="00442040" w:rsidRPr="00FE333B" w:rsidRDefault="00442040" w:rsidP="0003705F">
      <w:pPr>
        <w:pStyle w:val="BodyText"/>
        <w:tabs>
          <w:tab w:val="left" w:pos="518"/>
        </w:tabs>
        <w:spacing w:line="240" w:lineRule="auto"/>
        <w:ind w:firstLine="227"/>
      </w:pPr>
      <w:r>
        <w:t xml:space="preserve">2) una evaluación de sistemas de gestión para la producción en serie de dispositivos auxiliares.</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 xml:space="preserve">Artículo 7</w:t>
      </w:r>
      <w:r>
        <w:tab/>
      </w:r>
      <w:r>
        <w:t xml:space="preserve">Si el procedimiento de evaluación de la conformidad ha demostrado que un dispositivo auxiliar cumple los requisitos del presente Reglamento, el fabricante marcará su carcasa con:</w:t>
      </w:r>
      <w:r>
        <w:t xml:space="preserve">            </w:t>
      </w:r>
    </w:p>
    <w:p w14:paraId="48D5F83A" w14:textId="77777777" w:rsidR="00442040" w:rsidRPr="00FE333B" w:rsidRDefault="00442040" w:rsidP="0003705F">
      <w:pPr>
        <w:pStyle w:val="BodyTextIndent"/>
        <w:tabs>
          <w:tab w:val="left" w:pos="518"/>
        </w:tabs>
        <w:spacing w:line="240" w:lineRule="auto"/>
      </w:pPr>
      <w:r>
        <w:t xml:space="preserve">1) el nombre del fabricante;</w:t>
      </w:r>
      <w:r>
        <w:t xml:space="preserve"> </w:t>
      </w:r>
    </w:p>
    <w:p w14:paraId="53A0AB27" w14:textId="77777777" w:rsidR="00442040" w:rsidRPr="00FE333B" w:rsidRDefault="00442040" w:rsidP="0003705F">
      <w:pPr>
        <w:pStyle w:val="BodyTextIndent"/>
        <w:tabs>
          <w:tab w:val="left" w:pos="518"/>
        </w:tabs>
        <w:spacing w:line="240" w:lineRule="auto"/>
      </w:pPr>
      <w:r>
        <w:t xml:space="preserve">2) el número de serie del dispositivo auxiliar o sus diversas unidades;</w:t>
      </w:r>
    </w:p>
    <w:p w14:paraId="55D2C817" w14:textId="77777777" w:rsidR="00442040" w:rsidRPr="00FE333B" w:rsidRDefault="00442040" w:rsidP="0003705F">
      <w:pPr>
        <w:pStyle w:val="BodyTextIndent"/>
        <w:tabs>
          <w:tab w:val="left" w:pos="518"/>
        </w:tabs>
        <w:spacing w:line="240" w:lineRule="auto"/>
      </w:pPr>
      <w:r>
        <w:t xml:space="preserve">3) el número de certificado; y</w:t>
      </w:r>
    </w:p>
    <w:p w14:paraId="1252FACB" w14:textId="2C0BD053" w:rsidR="00442040" w:rsidRPr="00FE333B" w:rsidRDefault="00442040" w:rsidP="0003705F">
      <w:pPr>
        <w:pStyle w:val="BodyTextIndent"/>
        <w:tabs>
          <w:tab w:val="left" w:pos="518"/>
        </w:tabs>
        <w:spacing w:line="240" w:lineRule="auto"/>
      </w:pPr>
      <w:r>
        <w:t xml:space="preserve">4) la designación «STAFS 2022:2».</w:t>
      </w:r>
    </w:p>
    <w:p w14:paraId="146BE875" w14:textId="77777777" w:rsidR="00C21D6F" w:rsidRPr="00FE333B" w:rsidRDefault="00C21D6F" w:rsidP="005C076B">
      <w:pPr>
        <w:pStyle w:val="BodyTextIndent"/>
        <w:tabs>
          <w:tab w:val="left" w:pos="518"/>
        </w:tabs>
        <w:spacing w:line="240" w:lineRule="auto"/>
      </w:pPr>
      <w:r>
        <w:t xml:space="preserve">El marcado se colocará en un lugar adecuado para su inspección por las autoridades y deberá ser claro, indeleble e inequívoco.</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 xml:space="preserve">Artículo 8</w:t>
      </w:r>
      <w:r>
        <w:tab/>
      </w:r>
      <w:r>
        <w:t xml:space="preserve">El fabricante conservará una copia del certificado del dispositivo auxiliar y sus anexos, junto con la documentación técnica, durante al menos diez años después de la fabricación del último dispositivo auxiliar.</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sz w:val="23"/>
          <w:b/>
        </w:rPr>
        <w:t xml:space="preserve">Artículo 9</w:t>
      </w:r>
      <w:r>
        <w:rPr>
          <w:sz w:val="23"/>
        </w:rPr>
        <w:tab/>
      </w:r>
      <w:r>
        <w:rPr>
          <w:sz w:val="23"/>
        </w:rPr>
        <w:t xml:space="preserve">El fabricante se asegurará de que el dispositivo auxiliar vaya acompañado de instrucciones de uso.</w:t>
      </w:r>
      <w:r>
        <w:rPr>
          <w:sz w:val="23"/>
        </w:rPr>
        <w:t xml:space="preserve"> </w:t>
      </w:r>
      <w:r>
        <w:rPr>
          <w:sz w:val="23"/>
        </w:rPr>
        <w:t xml:space="preserve">Las instrucciones de uso deberán ser fáciles de entender y contendrán, como mínimo, una descripción de cómo se obtienen todas las producciones prescritas en papel o en formato electrónico de conformidad con este Reglamento, así como el rango de temperatura y tensión en el que funciona el dispositivo auxiliar.</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 xml:space="preserve">Evaluación de la conformidad</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 xml:space="preserve">Organismo de certificación</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sz w:val="23"/>
          <w:b/>
        </w:rPr>
        <w:t xml:space="preserve">Artículo 10</w:t>
      </w:r>
      <w:r>
        <w:rPr>
          <w:sz w:val="23"/>
        </w:rPr>
        <w:tab/>
      </w:r>
      <w:r>
        <w:rPr>
          <w:sz w:val="23"/>
        </w:rPr>
        <w:t xml:space="preserve">La evaluación de la conformidad correrá a cargo de un organismo de certificación de los productos acreditados para la tarea prevista en el Reglamento (CE) n.º 765/2008 del Parlamento Europeo y del Consejo, de 9 de julio de 2008, por el que se establecen los requisitos de acreditación y se deroga el Reglamento (CEE) n.º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 xml:space="preserve">Solicitud de examen de tipo y evaluación del sistema de gestión</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sz w:val="23"/>
          <w:b/>
        </w:rPr>
        <w:t xml:space="preserve">Artículo 11</w:t>
      </w:r>
      <w:r>
        <w:rPr>
          <w:sz w:val="23"/>
        </w:rPr>
        <w:tab/>
      </w:r>
      <w:r>
        <w:rPr>
          <w:sz w:val="23"/>
        </w:rPr>
        <w:t xml:space="preserve">La solicitud de examen de tipo y evaluación de los sistemas de gestión para la producción en serie de dispositivos auxiliares se presentará a un organismo de certificación a que se refiere el artículo 10.</w:t>
      </w:r>
      <w:r>
        <w:rPr>
          <w:sz w:val="23"/>
        </w:rPr>
        <w:t xml:space="preserve"> </w:t>
      </w:r>
      <w:r>
        <w:rPr>
          <w:sz w:val="23"/>
        </w:rPr>
        <w:t xml:space="preserve">La solicitud contendrá la documentación técnica pertinente.</w:t>
      </w:r>
      <w:r>
        <w:rPr>
          <w:sz w:val="23"/>
        </w:rPr>
        <w:t xml:space="preserve"> </w:t>
      </w:r>
      <w:r>
        <w:rPr>
          <w:sz w:val="23"/>
        </w:rPr>
        <w:t xml:space="preserve">Será posible evaluar, sobre la base de la documentación, si el dispositivo auxiliar cumple los requisitos del presente Reglamento.</w:t>
      </w:r>
      <w:r>
        <w:rPr>
          <w:sz w:val="23"/>
        </w:rPr>
        <w:t xml:space="preserve"> </w:t>
      </w:r>
      <w:r>
        <w:rPr>
          <w:sz w:val="23"/>
        </w:rPr>
        <w:t xml:space="preserve">La documentación técnica deberá contener:</w:t>
      </w:r>
      <w:r>
        <w:rPr>
          <w:sz w:val="23"/>
        </w:rPr>
        <w:t xml:space="preserve">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 xml:space="preserve">1)</w:t>
      </w:r>
      <w:r>
        <w:rPr>
          <w:sz w:val="23"/>
        </w:rPr>
        <w:tab/>
      </w:r>
      <w:r>
        <w:rPr>
          <w:sz w:val="23"/>
        </w:rPr>
        <w:t xml:space="preserve">una descripción general del dispositivo que incluya los entornos climáticos, mecánicos y electromagnéticos en los que se pretende utilizar el dispositivo auxiliar, la fuente de alimentación y otros factores que se requieren para que el dispositivo auxiliar funcione de la manera prescrita;</w:t>
      </w:r>
      <w:r>
        <w:rPr>
          <w:sz w:val="23"/>
        </w:rPr>
        <w:t xml:space="preserve"> </w:t>
      </w:r>
    </w:p>
    <w:p w14:paraId="19B3A5C3" w14:textId="77777777" w:rsidR="00724C69" w:rsidRPr="00FE333B" w:rsidRDefault="00B22E2C" w:rsidP="00B22E2C">
      <w:pPr>
        <w:tabs>
          <w:tab w:val="left" w:pos="462"/>
          <w:tab w:val="left" w:pos="602"/>
        </w:tabs>
        <w:ind w:firstLine="227"/>
        <w:jc w:val="both"/>
        <w:rPr>
          <w:sz w:val="23"/>
          <w:szCs w:val="23"/>
        </w:rPr>
      </w:pPr>
      <w:r>
        <w:rPr>
          <w:sz w:val="23"/>
        </w:rPr>
        <w:t xml:space="preserve">2)</w:t>
      </w:r>
      <w:r>
        <w:rPr>
          <w:sz w:val="23"/>
        </w:rPr>
        <w:tab/>
      </w:r>
      <w:r>
        <w:rPr>
          <w:sz w:val="23"/>
        </w:rPr>
        <w:t xml:space="preserve">planos generales de diseño y fabricación y esquemas de componentes, subconjuntos y circuitos;</w:t>
      </w:r>
      <w:r>
        <w:rPr>
          <w:sz w:val="23"/>
        </w:rPr>
        <w:t xml:space="preserve"> </w:t>
      </w:r>
    </w:p>
    <w:p w14:paraId="1BEAF0B9" w14:textId="77777777" w:rsidR="00724C69" w:rsidRPr="00FE333B" w:rsidRDefault="00B22E2C" w:rsidP="00F64CE5">
      <w:pPr>
        <w:tabs>
          <w:tab w:val="left" w:pos="462"/>
          <w:tab w:val="left" w:pos="616"/>
        </w:tabs>
        <w:ind w:firstLine="227"/>
        <w:jc w:val="both"/>
        <w:rPr>
          <w:sz w:val="23"/>
          <w:szCs w:val="23"/>
        </w:rPr>
      </w:pPr>
      <w:r>
        <w:rPr>
          <w:sz w:val="23"/>
        </w:rPr>
        <w:t xml:space="preserve">3)</w:t>
      </w:r>
      <w:r>
        <w:rPr>
          <w:sz w:val="23"/>
        </w:rPr>
        <w:tab/>
      </w:r>
      <w:r>
        <w:rPr>
          <w:sz w:val="23"/>
        </w:rPr>
        <w:t xml:space="preserve">una descripción de las partes electrónicas del dispositivo auxiliar con dibujos, diagramas, diagramas de flujo de circuitos lógicos y la información general que explique las características y el funcionamiento de las piezas, incluida una descripción de los sellos y características exigidas en el punto 6 del anexo del presente Reglamento;</w:t>
      </w:r>
    </w:p>
    <w:p w14:paraId="1F21BC9B" w14:textId="77777777" w:rsidR="00B22E2C" w:rsidRPr="00FE333B" w:rsidRDefault="00B22E2C" w:rsidP="00B22E2C">
      <w:pPr>
        <w:tabs>
          <w:tab w:val="left" w:pos="462"/>
          <w:tab w:val="left" w:pos="602"/>
        </w:tabs>
        <w:ind w:firstLine="227"/>
        <w:jc w:val="both"/>
        <w:rPr>
          <w:sz w:val="23"/>
          <w:szCs w:val="23"/>
        </w:rPr>
      </w:pPr>
      <w:r>
        <w:rPr>
          <w:sz w:val="23"/>
        </w:rPr>
        <w:t xml:space="preserve">4)</w:t>
      </w:r>
      <w:r>
        <w:rPr>
          <w:sz w:val="23"/>
        </w:rPr>
        <w:tab/>
      </w:r>
      <w:r>
        <w:rPr>
          <w:sz w:val="23"/>
        </w:rPr>
        <w:t xml:space="preserve">las descripciones y explicaciones necesarias para comprender la documentación a que se refieren los puntos 2, 3 y 12, incluido el funcionamiento del producto;</w:t>
      </w:r>
    </w:p>
    <w:p w14:paraId="6C4D4027" w14:textId="77777777" w:rsidR="00724C69" w:rsidRPr="00FE333B" w:rsidRDefault="00724C69" w:rsidP="00B22E2C">
      <w:pPr>
        <w:tabs>
          <w:tab w:val="left" w:pos="462"/>
          <w:tab w:val="left" w:pos="602"/>
        </w:tabs>
        <w:ind w:firstLine="227"/>
        <w:jc w:val="both"/>
        <w:rPr>
          <w:sz w:val="23"/>
          <w:szCs w:val="23"/>
        </w:rPr>
      </w:pPr>
      <w:r>
        <w:rPr>
          <w:sz w:val="23"/>
        </w:rPr>
        <w:t xml:space="preserve">5)</w:t>
      </w:r>
      <w:r>
        <w:rPr>
          <w:sz w:val="23"/>
        </w:rPr>
        <w:tab/>
      </w:r>
      <w:r>
        <w:rPr>
          <w:sz w:val="23"/>
        </w:rPr>
        <w:t xml:space="preserve">los resultados de los cálculos y exámenes del diseño;</w:t>
      </w:r>
    </w:p>
    <w:p w14:paraId="6AA2FAB2" w14:textId="77777777" w:rsidR="00724C69" w:rsidRPr="00FE333B" w:rsidRDefault="00B22E2C" w:rsidP="00B22E2C">
      <w:pPr>
        <w:tabs>
          <w:tab w:val="left" w:pos="462"/>
          <w:tab w:val="left" w:pos="602"/>
        </w:tabs>
        <w:ind w:firstLine="227"/>
        <w:jc w:val="both"/>
        <w:rPr>
          <w:sz w:val="23"/>
          <w:szCs w:val="23"/>
        </w:rPr>
      </w:pPr>
      <w:r>
        <w:rPr>
          <w:sz w:val="23"/>
        </w:rPr>
        <w:t xml:space="preserve">6)</w:t>
      </w:r>
      <w:r>
        <w:rPr>
          <w:sz w:val="23"/>
        </w:rPr>
        <w:tab/>
      </w:r>
      <w:r>
        <w:rPr>
          <w:sz w:val="23"/>
        </w:rPr>
        <w:t xml:space="preserve">los resultados de las pruebas pertinentes, si fuese necesario, para demostrar que el dispositivo cumple los requisitos del presente Reglamento en condiciones nominales de funcionamiento y bajo las perturbaciones en el entorno especificadas;</w:t>
      </w:r>
      <w:r>
        <w:rPr>
          <w:sz w:val="23"/>
        </w:rPr>
        <w:t xml:space="preserve"> </w:t>
      </w:r>
    </w:p>
    <w:p w14:paraId="0978797A" w14:textId="77777777" w:rsidR="00724C69" w:rsidRPr="00FE333B" w:rsidRDefault="00B22E2C" w:rsidP="00B22E2C">
      <w:pPr>
        <w:tabs>
          <w:tab w:val="left" w:pos="462"/>
          <w:tab w:val="left" w:pos="602"/>
        </w:tabs>
        <w:ind w:firstLine="227"/>
        <w:jc w:val="both"/>
        <w:rPr>
          <w:sz w:val="23"/>
          <w:szCs w:val="23"/>
        </w:rPr>
      </w:pPr>
      <w:r>
        <w:rPr>
          <w:sz w:val="23"/>
        </w:rPr>
        <w:t xml:space="preserve">7)</w:t>
      </w:r>
      <w:r>
        <w:rPr>
          <w:sz w:val="23"/>
        </w:rPr>
        <w:tab/>
      </w:r>
      <w:r>
        <w:rPr>
          <w:sz w:val="23"/>
        </w:rPr>
        <w:t xml:space="preserve">un certificado de examen UE de tipo o un certificado de examen UE de diseño para taxímetros que contengan partes idénticas a las contenidas en el diseño;</w:t>
      </w:r>
      <w:r>
        <w:rPr>
          <w:sz w:val="23"/>
        </w:rPr>
        <w:t xml:space="preserve"> </w:t>
      </w:r>
    </w:p>
    <w:p w14:paraId="6DD8E5A1" w14:textId="77777777" w:rsidR="00724C69" w:rsidRPr="00FE333B" w:rsidRDefault="00B22E2C" w:rsidP="00B22E2C">
      <w:pPr>
        <w:tabs>
          <w:tab w:val="left" w:pos="462"/>
          <w:tab w:val="left" w:pos="602"/>
        </w:tabs>
        <w:ind w:firstLine="227"/>
        <w:jc w:val="both"/>
        <w:rPr>
          <w:sz w:val="23"/>
          <w:szCs w:val="23"/>
        </w:rPr>
      </w:pPr>
      <w:r>
        <w:rPr>
          <w:sz w:val="23"/>
        </w:rPr>
        <w:t xml:space="preserve">8)</w:t>
      </w:r>
      <w:r>
        <w:rPr>
          <w:sz w:val="23"/>
        </w:rPr>
        <w:tab/>
      </w:r>
      <w:r>
        <w:rPr>
          <w:sz w:val="23"/>
        </w:rPr>
        <w:t xml:space="preserve">condiciones de compatibilidad entre el dispositivo auxiliar y el taxímetro;</w:t>
      </w:r>
    </w:p>
    <w:p w14:paraId="34EE470D" w14:textId="77777777" w:rsidR="00724C69" w:rsidRPr="00FE333B" w:rsidRDefault="00B22E2C" w:rsidP="00B22E2C">
      <w:pPr>
        <w:tabs>
          <w:tab w:val="left" w:pos="462"/>
          <w:tab w:val="left" w:pos="602"/>
        </w:tabs>
        <w:ind w:firstLine="227"/>
        <w:jc w:val="both"/>
        <w:rPr>
          <w:sz w:val="23"/>
          <w:szCs w:val="23"/>
        </w:rPr>
      </w:pPr>
      <w:r>
        <w:rPr>
          <w:sz w:val="23"/>
        </w:rPr>
        <w:t xml:space="preserve">9)</w:t>
      </w:r>
      <w:r>
        <w:rPr>
          <w:sz w:val="23"/>
        </w:rPr>
        <w:tab/>
      </w:r>
      <w:r>
        <w:rPr>
          <w:sz w:val="23"/>
        </w:rPr>
        <w:t xml:space="preserve">instrucciones de uso de conformidad con el artículo 9;</w:t>
      </w:r>
      <w:r>
        <w:rPr>
          <w:sz w:val="23"/>
        </w:rPr>
        <w:t xml:space="preserve"> </w:t>
      </w:r>
    </w:p>
    <w:p w14:paraId="3428976A" w14:textId="77777777" w:rsidR="00724C69" w:rsidRPr="00FE333B" w:rsidRDefault="00B22E2C" w:rsidP="00B22E2C">
      <w:pPr>
        <w:tabs>
          <w:tab w:val="left" w:pos="462"/>
          <w:tab w:val="left" w:pos="602"/>
        </w:tabs>
        <w:ind w:firstLine="227"/>
        <w:jc w:val="both"/>
        <w:rPr>
          <w:sz w:val="23"/>
          <w:szCs w:val="23"/>
        </w:rPr>
      </w:pPr>
      <w:r>
        <w:rPr>
          <w:sz w:val="23"/>
        </w:rPr>
        <w:t xml:space="preserve">10)</w:t>
      </w:r>
      <w:r>
        <w:rPr>
          <w:sz w:val="23"/>
        </w:rPr>
        <w:tab/>
      </w:r>
      <w:r>
        <w:rPr>
          <w:sz w:val="23"/>
        </w:rPr>
        <w:t xml:space="preserve">instrucciones de instalación;</w:t>
      </w:r>
    </w:p>
    <w:p w14:paraId="1445813F" w14:textId="77777777" w:rsidR="00724C69" w:rsidRPr="00FE333B" w:rsidRDefault="00B22E2C" w:rsidP="00B22E2C">
      <w:pPr>
        <w:tabs>
          <w:tab w:val="left" w:pos="462"/>
          <w:tab w:val="left" w:pos="602"/>
        </w:tabs>
        <w:ind w:firstLine="227"/>
        <w:jc w:val="both"/>
        <w:rPr>
          <w:sz w:val="23"/>
          <w:szCs w:val="23"/>
        </w:rPr>
      </w:pPr>
      <w:r>
        <w:rPr>
          <w:sz w:val="23"/>
        </w:rPr>
        <w:t xml:space="preserve">11)</w:t>
      </w:r>
      <w:r>
        <w:rPr>
          <w:sz w:val="23"/>
        </w:rPr>
        <w:tab/>
      </w:r>
      <w:r>
        <w:rPr>
          <w:sz w:val="23"/>
        </w:rPr>
        <w:t xml:space="preserve">una indicación del lugar de fabricación;</w:t>
      </w:r>
      <w:r>
        <w:rPr>
          <w:sz w:val="23"/>
        </w:rPr>
        <w:t xml:space="preserve"> </w:t>
      </w:r>
      <w:r>
        <w:rPr>
          <w:sz w:val="23"/>
        </w:rPr>
        <w:t xml:space="preserve">y</w:t>
      </w:r>
    </w:p>
    <w:p w14:paraId="497C0928" w14:textId="77777777" w:rsidR="00724C69" w:rsidRPr="00FE333B" w:rsidRDefault="00F64CE5" w:rsidP="00F64CE5">
      <w:pPr>
        <w:tabs>
          <w:tab w:val="left" w:pos="462"/>
          <w:tab w:val="left" w:pos="616"/>
        </w:tabs>
        <w:ind w:firstLine="227"/>
        <w:jc w:val="both"/>
      </w:pPr>
      <w:r>
        <w:rPr>
          <w:sz w:val="23"/>
        </w:rPr>
        <w:t xml:space="preserve">12)</w:t>
      </w:r>
      <w:r>
        <w:rPr>
          <w:sz w:val="23"/>
        </w:rPr>
        <w:tab/>
      </w:r>
      <w:r>
        <w:rPr>
          <w:sz w:val="23"/>
        </w:rPr>
        <w:t xml:space="preserve">documentación del sistema de gestión con una descripción de los procedimientos de fabricación y autocontrol del fabricante.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 xml:space="preserve">Procedimiento de examen de tipo y evaluación de los sistemas de gestión</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sz w:val="23"/>
          <w:b/>
        </w:rPr>
        <w:t xml:space="preserve">Artículo 12</w:t>
      </w:r>
      <w:r>
        <w:rPr>
          <w:sz w:val="23"/>
        </w:rPr>
        <w:tab/>
      </w:r>
      <w:r>
        <w:rPr>
          <w:sz w:val="23"/>
        </w:rPr>
        <w:t xml:space="preserve">Durante el examen de tipo, el organismo de certificación, previa solicitud de un fabricante, evaluará si un dispositivo auxiliar representativo de una producción prevista cumple los requisitos del anexo del presente Reglamento.</w:t>
      </w:r>
    </w:p>
    <w:p w14:paraId="69EAB272" w14:textId="77777777" w:rsidR="00724C69" w:rsidRPr="00FE333B" w:rsidRDefault="00CD1FEC" w:rsidP="005C076B">
      <w:pPr>
        <w:tabs>
          <w:tab w:val="left" w:pos="462"/>
          <w:tab w:val="left" w:pos="602"/>
        </w:tabs>
        <w:ind w:firstLine="227"/>
        <w:jc w:val="both"/>
        <w:rPr>
          <w:sz w:val="23"/>
          <w:szCs w:val="23"/>
        </w:rPr>
      </w:pPr>
      <w:r>
        <w:rPr>
          <w:sz w:val="23"/>
        </w:rPr>
        <w:t xml:space="preserve">El organismo de certificación también llevará a cabo una evaluación del sistema de gestión en relación con los procedimientos de producción y el autocontrol del fabricante, así como una auditoría in situ en las instalaciones del fabricante para garantizar que el fabricante es capaz de producir productos que cumplan los requisitos establecidos en el anexo del presente Reglamento.</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 xml:space="preserve">Certificados</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sz w:val="23"/>
          <w:b/>
        </w:rPr>
        <w:t xml:space="preserve">Artículo 13</w:t>
      </w:r>
      <w:r>
        <w:rPr>
          <w:sz w:val="23"/>
          <w:b/>
        </w:rPr>
        <w:tab/>
      </w:r>
      <w:r>
        <w:rPr>
          <w:sz w:val="23"/>
        </w:rPr>
        <w:t xml:space="preserve">Si el examen de tipo y la evaluación del sistema de gestión han demostrado que un dispositivo auxiliar cumple los requisitos, el organismo de certificación podrá expedir un certificado.</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sz w:val="23"/>
          <w:b/>
        </w:rPr>
        <w:t xml:space="preserve">Artículo 14</w:t>
      </w:r>
      <w:r>
        <w:rPr>
          <w:sz w:val="23"/>
        </w:rPr>
        <w:tab/>
      </w:r>
      <w:r>
        <w:rPr>
          <w:sz w:val="23"/>
        </w:rPr>
        <w:t xml:space="preserve">El certificado, y sus eventuales anexos, contendrá la información necesaria para evaluar la conformidad de los productos fabricados con el dispositivo auxiliar examinado y para llevar a cabo la instalación y el control del dispositivo en uso.</w:t>
      </w:r>
      <w:r>
        <w:rPr>
          <w:sz w:val="23"/>
        </w:rPr>
        <w:t xml:space="preserve"> </w:t>
      </w:r>
      <w:r>
        <w:rPr>
          <w:sz w:val="23"/>
        </w:rPr>
        <w:t xml:space="preserve">En todos los casos, la información incluirá:</w:t>
      </w:r>
    </w:p>
    <w:p w14:paraId="041F0A07" w14:textId="77777777" w:rsidR="00724C69" w:rsidRPr="00FE333B" w:rsidRDefault="0003705F" w:rsidP="00B22E2C">
      <w:pPr>
        <w:tabs>
          <w:tab w:val="left" w:pos="448"/>
          <w:tab w:val="left" w:pos="602"/>
        </w:tabs>
        <w:ind w:firstLine="227"/>
        <w:jc w:val="both"/>
        <w:rPr>
          <w:sz w:val="23"/>
          <w:szCs w:val="23"/>
        </w:rPr>
      </w:pPr>
      <w:r>
        <w:rPr>
          <w:sz w:val="23"/>
        </w:rPr>
        <w:t xml:space="preserve">1)</w:t>
      </w:r>
      <w:r>
        <w:rPr>
          <w:sz w:val="23"/>
        </w:rPr>
        <w:tab/>
      </w:r>
      <w:r>
        <w:rPr>
          <w:sz w:val="23"/>
        </w:rPr>
        <w:t xml:space="preserve">las condiciones de compatibilidad entre el taxímetro y el dispositivo auxiliar;</w:t>
      </w:r>
    </w:p>
    <w:p w14:paraId="35D06731" w14:textId="77777777" w:rsidR="00724C69" w:rsidRPr="00FE333B" w:rsidRDefault="00B22E2C" w:rsidP="00B22E2C">
      <w:pPr>
        <w:tabs>
          <w:tab w:val="left" w:pos="448"/>
          <w:tab w:val="left" w:pos="602"/>
        </w:tabs>
        <w:ind w:firstLine="227"/>
        <w:jc w:val="both"/>
        <w:rPr>
          <w:sz w:val="23"/>
          <w:szCs w:val="23"/>
        </w:rPr>
      </w:pPr>
      <w:r>
        <w:rPr>
          <w:sz w:val="23"/>
        </w:rPr>
        <w:t xml:space="preserve">2)</w:t>
      </w:r>
      <w:r>
        <w:rPr>
          <w:sz w:val="23"/>
        </w:rPr>
        <w:tab/>
      </w:r>
      <w:r>
        <w:rPr>
          <w:sz w:val="23"/>
        </w:rPr>
        <w:t xml:space="preserve">las medidas necesarias para garantizar la integridad del producto en lo que respecta al sellado y los programas informáticos;</w:t>
      </w:r>
      <w:r>
        <w:rPr>
          <w:sz w:val="23"/>
        </w:rPr>
        <w:t xml:space="preserve"> </w:t>
      </w:r>
    </w:p>
    <w:p w14:paraId="17138291" w14:textId="77777777" w:rsidR="00724C69" w:rsidRPr="00FE333B" w:rsidRDefault="00EC3AEC" w:rsidP="00B22E2C">
      <w:pPr>
        <w:tabs>
          <w:tab w:val="left" w:pos="448"/>
          <w:tab w:val="left" w:pos="602"/>
        </w:tabs>
        <w:ind w:firstLine="227"/>
        <w:jc w:val="both"/>
        <w:rPr>
          <w:sz w:val="23"/>
          <w:szCs w:val="23"/>
        </w:rPr>
      </w:pPr>
      <w:r>
        <w:rPr>
          <w:sz w:val="23"/>
        </w:rPr>
        <w:t xml:space="preserve">3)</w:t>
      </w:r>
      <w:r>
        <w:rPr>
          <w:sz w:val="23"/>
        </w:rPr>
        <w:tab/>
      </w:r>
      <w:r>
        <w:rPr>
          <w:sz w:val="23"/>
        </w:rPr>
        <w:t xml:space="preserve">los datos necesarios para identificar el producto o sus unidades constitutivas, así como la información necesaria para verificar que el producto o los productos demuestran la conformidad con el dispositivo auxiliar o los dispositivos auxiliares;</w:t>
      </w:r>
      <w:r>
        <w:rPr>
          <w:sz w:val="23"/>
        </w:rPr>
        <w:t xml:space="preserve"> </w:t>
      </w:r>
    </w:p>
    <w:p w14:paraId="6284BE41" w14:textId="2CD8E82F" w:rsidR="00724C69" w:rsidRDefault="00EC3AEC" w:rsidP="00B22E2C">
      <w:pPr>
        <w:tabs>
          <w:tab w:val="left" w:pos="448"/>
          <w:tab w:val="left" w:pos="602"/>
        </w:tabs>
        <w:ind w:firstLine="227"/>
        <w:jc w:val="both"/>
        <w:rPr>
          <w:sz w:val="23"/>
          <w:szCs w:val="23"/>
        </w:rPr>
      </w:pPr>
      <w:r>
        <w:rPr>
          <w:sz w:val="23"/>
        </w:rPr>
        <w:t xml:space="preserve">4)</w:t>
      </w:r>
      <w:r>
        <w:rPr>
          <w:sz w:val="23"/>
        </w:rPr>
        <w:tab/>
      </w:r>
      <w:r>
        <w:rPr>
          <w:sz w:val="23"/>
        </w:rPr>
        <w:t xml:space="preserve">en caso necesario, la información específica necesaria para verificar las características de los aparatos fabricados;</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 xml:space="preserve">5)</w:t>
      </w:r>
      <w:r>
        <w:rPr>
          <w:sz w:val="23"/>
        </w:rPr>
        <w:tab/>
      </w:r>
      <w:r>
        <w:rPr>
          <w:sz w:val="23"/>
        </w:rPr>
        <w:t xml:space="preserve">el nombre y la dirección del fabricante y, en su caso, el nombre y la dirección de su representante autorizado;</w:t>
      </w:r>
    </w:p>
    <w:p w14:paraId="6B5E643D" w14:textId="2608BABB" w:rsidR="00724C69" w:rsidRPr="00FE333B" w:rsidRDefault="00EC3AEC" w:rsidP="00B22E2C">
      <w:pPr>
        <w:tabs>
          <w:tab w:val="left" w:pos="448"/>
          <w:tab w:val="left" w:pos="602"/>
        </w:tabs>
        <w:ind w:firstLine="227"/>
        <w:jc w:val="both"/>
        <w:rPr>
          <w:sz w:val="23"/>
          <w:szCs w:val="23"/>
        </w:rPr>
      </w:pPr>
      <w:r>
        <w:rPr>
          <w:sz w:val="23"/>
        </w:rPr>
        <w:t xml:space="preserve">6)</w:t>
      </w:r>
      <w:r>
        <w:rPr>
          <w:sz w:val="23"/>
        </w:rPr>
        <w:tab/>
      </w:r>
      <w:r>
        <w:rPr>
          <w:sz w:val="23"/>
        </w:rPr>
        <w:t xml:space="preserve">las conclusiones del examen;</w:t>
      </w:r>
      <w:r>
        <w:rPr>
          <w:sz w:val="23"/>
        </w:rPr>
        <w:t xml:space="preserve"> </w:t>
      </w:r>
      <w:r>
        <w:rPr>
          <w:sz w:val="23"/>
        </w:rPr>
        <w:t xml:space="preserve">y</w:t>
      </w:r>
    </w:p>
    <w:p w14:paraId="1F38682E" w14:textId="4F3F39C9" w:rsidR="00724C69" w:rsidRPr="00FE333B" w:rsidRDefault="00EC3AEC" w:rsidP="00B22E2C">
      <w:pPr>
        <w:tabs>
          <w:tab w:val="left" w:pos="448"/>
          <w:tab w:val="left" w:pos="602"/>
        </w:tabs>
        <w:ind w:firstLine="227"/>
        <w:jc w:val="both"/>
        <w:rPr>
          <w:sz w:val="23"/>
          <w:szCs w:val="23"/>
        </w:rPr>
      </w:pPr>
      <w:r>
        <w:rPr>
          <w:sz w:val="23"/>
        </w:rPr>
        <w:t xml:space="preserve">7)</w:t>
      </w:r>
      <w:r>
        <w:rPr>
          <w:sz w:val="23"/>
        </w:rPr>
        <w:tab/>
      </w:r>
      <w:r>
        <w:rPr>
          <w:sz w:val="23"/>
        </w:rPr>
        <w:t xml:space="preserve">cualquier condición para la validez del certificado.</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sz w:val="23"/>
          <w:b/>
        </w:rPr>
        <w:t xml:space="preserve">Artículo 15</w:t>
      </w:r>
      <w:r>
        <w:rPr>
          <w:sz w:val="23"/>
        </w:rPr>
        <w:tab/>
      </w:r>
      <w:r>
        <w:rPr>
          <w:sz w:val="23"/>
        </w:rPr>
        <w:t xml:space="preserve">Un certificado será válido durante diez años desde la fecha de emisión y podrá renovarse por un período de otros diez años cada vez.</w:t>
      </w:r>
      <w:r>
        <w:rPr>
          <w:sz w:val="23"/>
        </w:rPr>
        <w:t xml:space="preserve"> </w:t>
      </w:r>
    </w:p>
    <w:p w14:paraId="33929620" w14:textId="77777777" w:rsidR="00724C69" w:rsidRPr="00FE333B" w:rsidRDefault="00724C69" w:rsidP="005C076B">
      <w:pPr>
        <w:tabs>
          <w:tab w:val="left" w:pos="462"/>
          <w:tab w:val="left" w:pos="602"/>
        </w:tabs>
        <w:ind w:firstLine="227"/>
        <w:jc w:val="both"/>
        <w:rPr>
          <w:sz w:val="23"/>
          <w:szCs w:val="23"/>
        </w:rPr>
      </w:pPr>
      <w:r>
        <w:rPr>
          <w:sz w:val="23"/>
        </w:rPr>
        <w:t xml:space="preserve">Antes de renovar un certificado, el organismo de certificación tendrá en cuenta los resultados de los controles aleatorios contemplados en el artículo 17, así como otra información recibida por el organismo de certificación, y decidirá sobre cualquier prueba o examen necesarios.</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sz w:val="23"/>
          <w:b/>
        </w:rPr>
        <w:t xml:space="preserve">Artículo 16</w:t>
      </w:r>
      <w:r>
        <w:rPr>
          <w:sz w:val="23"/>
        </w:rPr>
        <w:tab/>
      </w:r>
      <w:r>
        <w:rPr>
          <w:sz w:val="23"/>
        </w:rPr>
        <w:t xml:space="preserve">Un certificado de conformidad con el presente Reglamento no formará parte de un certificado de examen UE de tipo contemplado en el Reglamento STAFS 2016:1</w:t>
      </w:r>
      <w:r w:rsidRPr="00FE333B">
        <w:rPr>
          <w:rStyle w:val="FootnoteReference"/>
          <w:sz w:val="23"/>
          <w:szCs w:val="23"/>
        </w:rPr>
        <w:footnoteReference w:id="3"/>
      </w:r>
      <w:r>
        <w:rPr>
          <w:sz w:val="23"/>
        </w:rPr>
        <w:t xml:space="preserve"> sobre instrumentos de medida.</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 xml:space="preserve">Requisitos para el organismo de certificación tras la emisión de un certificado</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sz w:val="23"/>
          <w:b/>
        </w:rPr>
        <w:t xml:space="preserve">Artículo 17</w:t>
      </w:r>
      <w:r>
        <w:rPr>
          <w:sz w:val="23"/>
        </w:rPr>
        <w:tab/>
      </w:r>
      <w:r>
        <w:rPr>
          <w:sz w:val="23"/>
        </w:rPr>
        <w:t xml:space="preserve">El organismo de certificación supervisará anualmente el autocontrol del fabricante y realizará el correspondiente muestreo aleatorio de la producción.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sz w:val="23"/>
          <w:b/>
        </w:rPr>
        <w:t xml:space="preserve">Artículo 18</w:t>
      </w:r>
      <w:r>
        <w:rPr>
          <w:sz w:val="23"/>
          <w:b/>
        </w:rPr>
        <w:tab/>
      </w:r>
      <w:r>
        <w:rPr>
          <w:sz w:val="23"/>
        </w:rPr>
        <w:t xml:space="preserve">Si un fabricante notifica cambios en el dispositivo auxiliar que puedan afectar al cumplimiento de los requisitos de este Reglamento, el organismo de certificación deberá reconsiderar la emisión de la aprobación.</w:t>
      </w:r>
      <w:r>
        <w:rPr>
          <w:sz w:val="23"/>
        </w:rPr>
        <w:t xml:space="preserve"> </w:t>
      </w:r>
      <w:r>
        <w:rPr>
          <w:sz w:val="23"/>
        </w:rPr>
        <w:t xml:space="preserve">Si, tras la evaluación, el dispositivo auxiliar sigue cumpliendo los requisitos, el organismo de certificación emitirá un nuevo certificado.</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sz w:val="23"/>
          <w:b/>
        </w:rPr>
        <w:t xml:space="preserve">Artículo 19</w:t>
      </w:r>
      <w:r>
        <w:rPr>
          <w:sz w:val="23"/>
        </w:rPr>
        <w:tab/>
      </w:r>
      <w:r>
        <w:rPr>
          <w:sz w:val="23"/>
        </w:rPr>
        <w:t xml:space="preserve">El organismo de certificación revocará un certificado si tiene conocimiento de que un dispositivo auxiliar certificado por él no cumple los requisitos del presente Reglamento en uso.</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sz w:val="23"/>
          <w:b/>
        </w:rPr>
        <w:t xml:space="preserve">Artículo 20</w:t>
      </w:r>
      <w:r>
        <w:rPr>
          <w:sz w:val="23"/>
        </w:rPr>
        <w:tab/>
      </w:r>
      <w:r>
        <w:rPr>
          <w:sz w:val="23"/>
        </w:rPr>
        <w:t xml:space="preserve">El organismo de certificación presentará inmediatamente a la SWEDAC los certificados expedidos y sus anexos.</w:t>
      </w:r>
      <w:r>
        <w:rPr>
          <w:sz w:val="23"/>
        </w:rPr>
        <w:t xml:space="preserve"> </w:t>
      </w:r>
      <w:r>
        <w:rPr>
          <w:sz w:val="23"/>
        </w:rPr>
        <w:t xml:space="preserve">El organismo de certificación también notificará a la SWEDAC si se revoca un certificado.</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sz w:val="23"/>
          <w:b/>
        </w:rPr>
        <w:t xml:space="preserve">Artículo 21</w:t>
      </w:r>
      <w:r>
        <w:rPr>
          <w:sz w:val="23"/>
        </w:rPr>
        <w:tab/>
      </w:r>
      <w:r>
        <w:rPr>
          <w:sz w:val="23"/>
        </w:rPr>
        <w:t xml:space="preserve">El organismo de certificación deberá conservar la documentación técnica, incluida la documentación presentada por el fabricante, hasta que termine la validez del certificado.</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 xml:space="preserve">Otros</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sz w:val="23"/>
          <w:b/>
        </w:rPr>
        <w:t xml:space="preserve">Artículo 22</w:t>
      </w:r>
      <w:r>
        <w:rPr>
          <w:sz w:val="23"/>
        </w:rPr>
        <w:tab/>
      </w:r>
      <w:r>
        <w:rPr>
          <w:sz w:val="23"/>
        </w:rPr>
        <w:t xml:space="preserve">La SWEDAC podrá, en casos individuales y si existen razones específicas para ello, conceder excepciones a la aplicación del presente Reglamento.</w:t>
      </w:r>
    </w:p>
    <w:p w14:paraId="1F62CEB0" w14:textId="77777777" w:rsidR="00B04525" w:rsidRPr="00FE333B" w:rsidRDefault="00B04525" w:rsidP="00C05C06">
      <w:pPr>
        <w:pStyle w:val="BodyText"/>
        <w:tabs>
          <w:tab w:val="left" w:pos="462"/>
          <w:tab w:val="left" w:pos="602"/>
        </w:tabs>
      </w:pPr>
      <w:r>
        <w:t xml:space="preserve">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sz w:val="23"/>
          <w:szCs w:val="23"/>
          <w:rFonts w:ascii="Times New Roman" w:hAnsi="Times New Roman" w:cs="Times New Roman"/>
        </w:rPr>
      </w:pPr>
      <w:r>
        <w:rPr>
          <w:sz w:val="23"/>
          <w:rFonts w:ascii="Times New Roman" w:hAnsi="Times New Roman"/>
        </w:rPr>
        <w:t xml:space="preserve">El presente Reglamento entrará en vigor el 1 de octubre de 2022.</w:t>
      </w:r>
    </w:p>
    <w:p w14:paraId="541F0AF5" w14:textId="77777777" w:rsidR="00724C69" w:rsidRPr="00FE333B" w:rsidRDefault="00724C69" w:rsidP="00C05C06">
      <w:pPr>
        <w:pStyle w:val="ListParagraph"/>
        <w:numPr>
          <w:ilvl w:val="0"/>
          <w:numId w:val="9"/>
        </w:numPr>
        <w:tabs>
          <w:tab w:val="left" w:pos="462"/>
          <w:tab w:val="left" w:pos="709"/>
        </w:tabs>
        <w:jc w:val="both"/>
        <w:rPr>
          <w:sz w:val="23"/>
          <w:szCs w:val="23"/>
          <w:rFonts w:ascii="Times New Roman" w:hAnsi="Times New Roman" w:cs="Times New Roman"/>
        </w:rPr>
      </w:pPr>
      <w:r>
        <w:rPr>
          <w:sz w:val="23"/>
          <w:rFonts w:ascii="Times New Roman" w:hAnsi="Times New Roman"/>
        </w:rPr>
        <w:t xml:space="preserve">El presente Reglamento deroga el Reglamento y directrices generales (STAFS 2012:5) de la Agencia sobre dispositivos auxiliares para taxímetros.</w:t>
      </w:r>
    </w:p>
    <w:p w14:paraId="0E395031" w14:textId="490BC73D" w:rsidR="000659E9" w:rsidRDefault="000805FD" w:rsidP="000659E9">
      <w:pPr>
        <w:pStyle w:val="ListParagraph"/>
        <w:numPr>
          <w:ilvl w:val="0"/>
          <w:numId w:val="9"/>
        </w:numPr>
        <w:tabs>
          <w:tab w:val="left" w:pos="462"/>
          <w:tab w:val="left" w:pos="709"/>
        </w:tabs>
        <w:jc w:val="both"/>
        <w:rPr>
          <w:sz w:val="23"/>
          <w:szCs w:val="23"/>
          <w:rFonts w:ascii="Times New Roman" w:hAnsi="Times New Roman" w:cs="Times New Roman"/>
        </w:rPr>
      </w:pPr>
      <w:r>
        <w:rPr>
          <w:sz w:val="23"/>
          <w:rFonts w:ascii="Times New Roman" w:hAnsi="Times New Roman"/>
        </w:rPr>
        <w:t xml:space="preserve">Los organismos de certificación acreditados para llevar a cabo la evaluación de la conformidad de acuerdo con el Reglamento STAFS 2012:5</w:t>
      </w:r>
      <w:r>
        <w:t xml:space="preserve"> </w:t>
      </w:r>
      <w:r>
        <w:rPr>
          <w:sz w:val="23"/>
          <w:rFonts w:ascii="Times New Roman" w:hAnsi="Times New Roman"/>
        </w:rPr>
        <w:t xml:space="preserve">sobre dispositivos auxiliares para taxímetros, se considerarán acreditados para llevar a cabo la evaluación de la conformidad con arreglo al nuevo Reglamento.</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sz w:val="23"/>
          <w:szCs w:val="23"/>
          <w:rFonts w:ascii="Times New Roman" w:hAnsi="Times New Roman" w:cs="Times New Roman"/>
        </w:rPr>
      </w:pPr>
      <w:r>
        <w:rPr>
          <w:sz w:val="23"/>
          <w:rFonts w:ascii="Times New Roman" w:hAnsi="Times New Roman"/>
        </w:rPr>
        <w:t xml:space="preserve">El antiguo Reglamento puede seguir aplicándose si la solicitud de examen de tipo ha sido recibida por el organismo de certificación antes del 1 de octubre de 2023.</w:t>
      </w:r>
      <w:r>
        <w:rPr>
          <w:sz w:val="23"/>
          <w:rFonts w:ascii="Times New Roman" w:hAnsi="Times New Roman"/>
        </w:rPr>
        <w:t xml:space="preserve"> </w:t>
      </w:r>
      <w:r>
        <w:rPr>
          <w:sz w:val="23"/>
          <w:rFonts w:ascii="Times New Roman" w:hAnsi="Times New Roman"/>
        </w:rPr>
        <w:t xml:space="preserve">No obstante, los certificados expedidos a raíz de dicha solicitud no se renovarán.</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 xml:space="preserve">En nombre de la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 xml:space="preserve">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r>
      <w:r>
        <w:t xml:space="preserve">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t xml:space="preserve">Anexo</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Requisitos de los dispositivos auxiliares</w:t>
      </w:r>
      <w:r>
        <w:rPr>
          <w:b/>
          <w:sz w:val="25"/>
        </w:rPr>
        <w:t xml:space="preserve">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 xml:space="preserve">1.</w:t>
      </w:r>
      <w:r>
        <w:rPr>
          <w:sz w:val="23"/>
        </w:rPr>
        <w:tab/>
      </w:r>
      <w:r>
        <w:rPr>
          <w:sz w:val="23"/>
        </w:rPr>
        <w:t xml:space="preserve">El dispositivo auxiliar estará diseñado para las condiciones de temperatura y humedad en las que esté destinado a ser utilizado.</w:t>
      </w:r>
      <w:r>
        <w:rPr>
          <w:sz w:val="23"/>
        </w:rPr>
        <w:t xml:space="preserve"> </w:t>
      </w:r>
      <w:r>
        <w:rPr>
          <w:sz w:val="23"/>
        </w:rPr>
        <w:t xml:space="preserve">Como requisitos mínimos, estará diseñado para condensar la humedad del aire y soportará una temperatura superior de 55º C y una temperatura inferior de -25º C.</w:t>
      </w:r>
      <w:r>
        <w:rPr>
          <w:sz w:val="23"/>
        </w:rPr>
        <w:t xml:space="preserve">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w:t>
      </w:r>
      <w:r>
        <w:rPr>
          <w:sz w:val="23"/>
        </w:rPr>
        <w:t xml:space="preserve"> </w:t>
      </w:r>
      <w:r>
        <w:rPr>
          <w:sz w:val="23"/>
        </w:rPr>
        <w:tab/>
      </w:r>
      <w:r>
        <w:rPr>
          <w:sz w:val="23"/>
        </w:rPr>
        <w:t xml:space="preserve">El dispositivo auxiliar deberá cumplir la clase de entorno mecánico M3 de conformidad con el punto 1.3.2 del anexo 1 del Reglamento STAFS 2016:1 sobre instrumentos de medida.</w:t>
      </w:r>
      <w:r>
        <w:rPr>
          <w:sz w:val="23"/>
        </w:rPr>
        <w:t xml:space="preserve">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w:t>
      </w:r>
      <w:r>
        <w:rPr>
          <w:sz w:val="23"/>
        </w:rPr>
        <w:t xml:space="preserve"> </w:t>
      </w:r>
      <w:r>
        <w:rPr>
          <w:sz w:val="23"/>
        </w:rPr>
        <w:tab/>
      </w:r>
      <w:r>
        <w:rPr>
          <w:sz w:val="23"/>
        </w:rPr>
        <w:t xml:space="preserve">El dispositivo auxiliar no deberá tener características que puedan facilitar el uso fraudulento.</w:t>
      </w:r>
      <w:r>
        <w:rPr>
          <w:sz w:val="23"/>
        </w:rPr>
        <w:t xml:space="preserv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w:t>
      </w:r>
      <w:r>
        <w:rPr>
          <w:sz w:val="23"/>
        </w:rPr>
        <w:t xml:space="preserve"> </w:t>
      </w:r>
      <w:r>
        <w:rPr>
          <w:sz w:val="23"/>
        </w:rPr>
        <w:tab/>
      </w:r>
      <w:r>
        <w:rPr>
          <w:sz w:val="23"/>
        </w:rPr>
        <w:t xml:space="preserve">El dispositivo auxiliar deberá ser robusto y sus materiales constitutivos deberán ser adecuados para las condiciones de funcionamiento y el entorno en que esté destinado a ser utilizado.</w:t>
      </w:r>
      <w:r>
        <w:rPr>
          <w:sz w:val="23"/>
        </w:rPr>
        <w:t xml:space="preserve"> </w:t>
      </w:r>
      <w:r>
        <w:rPr>
          <w:sz w:val="23"/>
        </w:rPr>
        <w:t xml:space="preserve">Deberá diseñarse de forma que no aumente innecesariamente el riesgo de daño personal en caso de colisión.</w:t>
      </w:r>
      <w:r>
        <w:rPr>
          <w:sz w:val="23"/>
        </w:rPr>
        <w:t xml:space="preserve">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w:t>
      </w:r>
      <w:r>
        <w:rPr>
          <w:sz w:val="23"/>
        </w:rPr>
        <w:t xml:space="preserve"> </w:t>
      </w:r>
      <w:r>
        <w:rPr>
          <w:sz w:val="23"/>
        </w:rPr>
        <w:tab/>
      </w:r>
      <w:r>
        <w:rPr>
          <w:sz w:val="23"/>
        </w:rPr>
        <w:t xml:space="preserve">Las características prescritas del dispositivo auxiliar no deberán verse afectadas de manera inaceptable por la conexión de ningún otro dispositivo al dispositivo auxiliar, por ninguna característica del propio dispositivo conectado ni por ningún dispositivo remoto que se comunique con el dispositivo auxiliar.</w:t>
      </w:r>
      <w:r>
        <w:rPr>
          <w:sz w:val="23"/>
        </w:rPr>
        <w:t xml:space="preserve">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w:t>
      </w:r>
      <w:r>
        <w:rPr>
          <w:sz w:val="23"/>
        </w:rPr>
        <w:t xml:space="preserve"> </w:t>
      </w:r>
      <w:r>
        <w:rPr>
          <w:sz w:val="23"/>
        </w:rPr>
        <w:tab/>
      </w:r>
      <w:r>
        <w:rPr>
          <w:sz w:val="23"/>
        </w:rPr>
        <w:t xml:space="preserve">Deberá ser posible sellar física y electrónicamente el dispositivo auxiliar de manera que se garanticen las características prescritas cuando el taxímetro esté en uso.</w:t>
      </w:r>
      <w:r>
        <w:rPr>
          <w:sz w:val="23"/>
        </w:rPr>
        <w:t xml:space="preserve"> </w:t>
      </w:r>
      <w:r>
        <w:rPr>
          <w:sz w:val="23"/>
        </w:rPr>
        <w:t xml:space="preserve">Los componentes del dispositivo auxiliar que sean críticos para las características prescritas estarán protegidos de la influencia externa e interna.</w:t>
      </w:r>
      <w:r>
        <w:rPr>
          <w:sz w:val="23"/>
        </w:rPr>
        <w:t xml:space="preserve"> </w:t>
      </w:r>
      <w:r>
        <w:rPr>
          <w:sz w:val="23"/>
        </w:rPr>
        <w:t xml:space="preserve">Cualquier acción sobre el dispositivo auxiliar y los sellos deberá ser fácilmente visible.</w:t>
      </w:r>
      <w:r>
        <w:rPr>
          <w:sz w:val="23"/>
        </w:rPr>
        <w:t xml:space="preserv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w:t>
      </w:r>
      <w:r>
        <w:rPr>
          <w:sz w:val="23"/>
        </w:rPr>
        <w:t xml:space="preserve"> </w:t>
      </w:r>
      <w:r>
        <w:rPr>
          <w:sz w:val="23"/>
        </w:rPr>
        <w:tab/>
      </w:r>
      <w:r>
        <w:rPr>
          <w:sz w:val="23"/>
        </w:rPr>
        <w:t xml:space="preserve">Las partes de las funciones del dispositivo auxiliar que se regulan en este Reglamento, y que están determinadas por el programa informático, estarán protegidas contra la modificación intencionada o no intencionada de acuerdo con lo siguiente:</w:t>
      </w:r>
    </w:p>
    <w:p w14:paraId="40BC1091" w14:textId="77777777" w:rsidR="00724C69" w:rsidRPr="00FE333B" w:rsidRDefault="00971891" w:rsidP="00971891">
      <w:pPr>
        <w:tabs>
          <w:tab w:val="left" w:pos="252"/>
          <w:tab w:val="left" w:pos="518"/>
        </w:tabs>
        <w:ind w:firstLine="227"/>
        <w:jc w:val="both"/>
        <w:rPr>
          <w:sz w:val="23"/>
          <w:szCs w:val="23"/>
        </w:rPr>
      </w:pPr>
      <w:r>
        <w:rPr>
          <w:sz w:val="23"/>
        </w:rPr>
        <w:t xml:space="preserve">1)</w:t>
      </w:r>
      <w:r>
        <w:rPr>
          <w:sz w:val="23"/>
        </w:rPr>
        <w:tab/>
      </w:r>
      <w:r>
        <w:rPr>
          <w:sz w:val="23"/>
        </w:rPr>
        <w:t xml:space="preserve">el código se almacenará en una memoria cuyo contenido no podrá verse afectado por el usuario;</w:t>
      </w:r>
    </w:p>
    <w:p w14:paraId="09D473BB" w14:textId="77777777" w:rsidR="00724C69" w:rsidRPr="00FE333B" w:rsidRDefault="00971891" w:rsidP="00971891">
      <w:pPr>
        <w:tabs>
          <w:tab w:val="left" w:pos="252"/>
          <w:tab w:val="left" w:pos="518"/>
        </w:tabs>
        <w:ind w:firstLine="227"/>
        <w:jc w:val="both"/>
        <w:rPr>
          <w:sz w:val="23"/>
          <w:szCs w:val="23"/>
        </w:rPr>
      </w:pPr>
      <w:r>
        <w:rPr>
          <w:sz w:val="23"/>
        </w:rPr>
        <w:t xml:space="preserve">2)</w:t>
      </w:r>
      <w:r>
        <w:rPr>
          <w:sz w:val="23"/>
        </w:rPr>
        <w:tab/>
      </w:r>
      <w:r>
        <w:rPr>
          <w:sz w:val="23"/>
        </w:rPr>
        <w:t xml:space="preserve">el contenido de la memoria del código de programa se comprobará automáticamente cuando el dispositivo auxiliar se conecte a la tensión;</w:t>
      </w:r>
    </w:p>
    <w:p w14:paraId="3668735F" w14:textId="77777777" w:rsidR="00724C69" w:rsidRPr="00FE333B" w:rsidRDefault="00971891" w:rsidP="00971891">
      <w:pPr>
        <w:tabs>
          <w:tab w:val="left" w:pos="252"/>
          <w:tab w:val="left" w:pos="518"/>
        </w:tabs>
        <w:ind w:firstLine="227"/>
        <w:jc w:val="both"/>
        <w:rPr>
          <w:sz w:val="23"/>
          <w:szCs w:val="23"/>
        </w:rPr>
      </w:pPr>
      <w:r>
        <w:rPr>
          <w:sz w:val="23"/>
        </w:rPr>
        <w:t xml:space="preserve">3)</w:t>
      </w:r>
      <w:r>
        <w:rPr>
          <w:sz w:val="23"/>
        </w:rPr>
        <w:tab/>
      </w:r>
      <w:r>
        <w:rPr>
          <w:sz w:val="23"/>
        </w:rPr>
        <w:t xml:space="preserve">el dispositivo auxiliar no podrá afectar al funcionamiento o al contenido del totalizador.</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w:t>
      </w:r>
      <w:r>
        <w:rPr>
          <w:sz w:val="23"/>
        </w:rPr>
        <w:t xml:space="preserve"> </w:t>
      </w:r>
      <w:r>
        <w:rPr>
          <w:sz w:val="23"/>
        </w:rPr>
        <w:tab/>
      </w:r>
      <w:r>
        <w:rPr>
          <w:sz w:val="23"/>
        </w:rPr>
        <w:t xml:space="preserve">Los programas informáticos que sean críticos para las características prescritas deberán tener una indicación y suma de verificación únicas de la versión del programa informática y estar protegidos de influencias distintas de las prescritas.</w:t>
      </w:r>
      <w:r>
        <w:rPr>
          <w:sz w:val="23"/>
        </w:rPr>
        <w:t xml:space="preserve"> </w:t>
      </w:r>
      <w:r>
        <w:rPr>
          <w:sz w:val="23"/>
        </w:rPr>
        <w:t xml:space="preserve">Los signos de intervención serán visibles durante un período de tiempo razonablemente largo.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w:t>
      </w:r>
      <w:r>
        <w:rPr>
          <w:sz w:val="23"/>
        </w:rPr>
        <w:t xml:space="preserve"> </w:t>
      </w:r>
      <w:r>
        <w:rPr>
          <w:sz w:val="23"/>
        </w:rPr>
        <w:tab/>
      </w:r>
      <w:r>
        <w:rPr>
          <w:sz w:val="23"/>
        </w:rPr>
        <w:t xml:space="preserve">Los datos que se produzcan en papel o en formato electrónico, o tal como lo muestre el dispositivo auxiliar, y los programas informáticos esenciales para las características prescritas que se almacenen o transmitan estarán adecuadamente protegidos contra la corrupción accidental o intencional.</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 xml:space="preserve">10.</w:t>
      </w:r>
      <w:r>
        <w:rPr>
          <w:sz w:val="23"/>
        </w:rPr>
        <w:tab/>
      </w:r>
      <w:r>
        <w:rPr>
          <w:sz w:val="23"/>
        </w:rPr>
        <w:t xml:space="preserve">El dispositivo auxiliar deberá estar diseñado de forma que el aparato taxímetro, en la condición instalada, pueda realizar todas las funciones prescritas sin que se rompan o cambien las conexiones de la instalación.</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r>
      <w:r>
        <w:rPr>
          <w:sz w:val="23"/>
        </w:rPr>
        <w:t xml:space="preserve">El párrafo primero no se aplicará a las funciones destinadas únicamente a ser utilizadas durante la instalación o cuando la verificación la lleve a cabo un organismo de evaluación acreditado.</w:t>
      </w:r>
      <w:r>
        <w:rPr>
          <w:sz w:val="23"/>
        </w:rPr>
        <w:t xml:space="preserve">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w:t>
      </w:r>
      <w:r>
        <w:rPr>
          <w:sz w:val="23"/>
        </w:rPr>
        <w:t xml:space="preserve"> </w:t>
      </w:r>
      <w:r>
        <w:rPr>
          <w:sz w:val="23"/>
        </w:rPr>
        <w:tab/>
      </w:r>
      <w:r>
        <w:rPr>
          <w:sz w:val="23"/>
        </w:rPr>
        <w:t xml:space="preserve">Cuando el dispositivo auxiliar tenga un programa informático asociado que también proporcione funciones distintas de las prescritas, el programa informático de las características prescritas deberá ser identificable y no deberá estar influenciado de forma inaceptable por ninguno de los otros programas informáticos.</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 xml:space="preserve">12.</w:t>
      </w:r>
      <w:r>
        <w:rPr>
          <w:sz w:val="23"/>
        </w:rPr>
        <w:tab/>
      </w:r>
      <w:r>
        <w:t xml:space="preserve"> </w:t>
      </w:r>
      <w:r>
        <w:rPr>
          <w:sz w:val="23"/>
        </w:rPr>
        <w:t xml:space="preserve">Un dispositivo auxiliar producirá un recibo cuando el taxímetro pase de la posición de funcionamiento «detenido» a la posición de funcionamiento «libre».</w:t>
      </w:r>
      <w:r>
        <w:rPr>
          <w:sz w:val="23"/>
        </w:rPr>
        <w:t xml:space="preserve"> </w:t>
      </w:r>
      <w:r>
        <w:rPr>
          <w:sz w:val="23"/>
        </w:rPr>
        <w:t xml:space="preserve">Siempre podrá producir un recibo en papel y también podrá producir un recibo únicamente en formato electrónico.</w:t>
      </w:r>
      <w:r>
        <w:rPr>
          <w:sz w:val="23"/>
        </w:rPr>
        <w:t xml:space="preserve"> </w:t>
      </w:r>
      <w:r>
        <w:rPr>
          <w:sz w:val="23"/>
        </w:rPr>
        <w:t xml:space="preserve">El dispositivo auxiliar podrá producir varios recibos para el pago parcial de una asignación de conducción.</w:t>
      </w:r>
      <w:r>
        <w:rPr>
          <w:sz w:val="23"/>
        </w:rPr>
        <w:t xml:space="preserve"> </w:t>
      </w:r>
      <w:r>
        <w:rPr>
          <w:sz w:val="23"/>
        </w:rPr>
        <w:t xml:space="preserve">Cuando el importe o los importes deban facturarse, se aplicará lo mismo a los comprobantes de entrega.</w:t>
      </w:r>
      <w:r>
        <w:rPr>
          <w:sz w:val="23"/>
        </w:rPr>
        <w:t xml:space="preserve"> </w:t>
      </w:r>
      <w:r>
        <w:rPr>
          <w:sz w:val="23"/>
        </w:rPr>
        <w:t xml:space="preserve">Cada recibo y comprobante de entrega deberá contener, como mínimo, la siguiente información:</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 xml:space="preserve">1)</w:t>
      </w:r>
      <w:r>
        <w:rPr>
          <w:sz w:val="23"/>
        </w:rPr>
        <w:tab/>
      </w:r>
      <w:r>
        <w:rPr>
          <w:sz w:val="23"/>
        </w:rPr>
        <w:t xml:space="preserve">si el documento es un recibo o un comprobante de entrega, mediante la indicación «recibo electrónico» o «comprobante de entrega electrónico», respectivamente, si el documento se presenta en formato electrónico;</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 xml:space="preserve">2)</w:t>
      </w:r>
      <w:r>
        <w:rPr>
          <w:color w:val="000000"/>
          <w:sz w:val="23"/>
        </w:rPr>
        <w:tab/>
      </w:r>
      <w:r>
        <w:rPr>
          <w:color w:val="000000"/>
          <w:sz w:val="23"/>
        </w:rPr>
        <w:t xml:space="preserve">el número de serie del recibo o del comprobante con al menos seis dígitos en la misma serie ininterrumpida y ascendente de números secuenciales, correspondiendo cada número de serie a una asignación de conducción y, si el dispositivo auxiliar puede producir recibos para el pago parcial, el número de serie seguido de un guión y el número de serie del importe actual que debe pagarse en parte, siendo el número de serie del primer tramo de una asignación de conducción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3)</w:t>
      </w:r>
      <w:r>
        <w:rPr>
          <w:sz w:val="23"/>
        </w:rPr>
        <w:tab/>
      </w:r>
      <w:r>
        <w:rPr>
          <w:sz w:val="23"/>
        </w:rPr>
        <w:t xml:space="preserve">la fecha actual (aaaa.mm.dd);</w:t>
      </w:r>
      <w:r>
        <w:rPr>
          <w:sz w:val="23"/>
        </w:rPr>
        <w:t xml:space="preserve">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4)</w:t>
      </w:r>
      <w:r>
        <w:rPr>
          <w:sz w:val="23"/>
        </w:rPr>
        <w:tab/>
      </w:r>
      <w:r>
        <w:rPr>
          <w:sz w:val="23"/>
        </w:rPr>
        <w:t xml:space="preserve">el nombre y el número de identidad personal de la compañía de taxis, el número de coordinación o el número de identidad corporativa;</w:t>
      </w:r>
      <w:r>
        <w:rPr>
          <w:sz w:val="23"/>
        </w:rPr>
        <w:t xml:space="preserve">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 xml:space="preserve">5)</w:t>
      </w:r>
      <w:r>
        <w:rPr>
          <w:sz w:val="23"/>
        </w:rPr>
        <w:tab/>
      </w:r>
      <w:r>
        <w:rPr>
          <w:sz w:val="23"/>
        </w:rPr>
        <w:t xml:space="preserve">la dirección postal de la compañía de taxis;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6)</w:t>
      </w:r>
      <w:r>
        <w:rPr>
          <w:sz w:val="23"/>
        </w:rPr>
        <w:tab/>
      </w:r>
      <w:r>
        <w:rPr>
          <w:sz w:val="23"/>
        </w:rPr>
        <w:t xml:space="preserve">el código del conductor o el número de identificación del taxista;</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7)</w:t>
      </w:r>
      <w:r>
        <w:rPr>
          <w:sz w:val="23"/>
        </w:rPr>
        <w:tab/>
      </w:r>
      <w:r>
        <w:rPr>
          <w:sz w:val="23"/>
        </w:rPr>
        <w:t xml:space="preserve">el número de matrícula del vehículo de taxi;</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 xml:space="preserve">8)</w:t>
      </w:r>
      <w:r>
        <w:rPr>
          <w:sz w:val="23"/>
        </w:rPr>
        <w:tab/>
      </w:r>
      <w:r>
        <w:rPr>
          <w:sz w:val="23"/>
        </w:rPr>
        <w:t xml:space="preserve">el tiempo de inicio de la asignación de conducción (hh.mm);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r>
      <w:r>
        <w:rPr>
          <w:sz w:val="23"/>
        </w:rPr>
        <w:t xml:space="preserve">el tiempo en que se realiza el pago parcial (hh.mm);</w:t>
      </w:r>
      <w:r>
        <w:rPr>
          <w:sz w:val="23"/>
        </w:rPr>
        <w:t xml:space="preserve"> </w:t>
      </w:r>
      <w:r>
        <w:rPr>
          <w:sz w:val="23"/>
        </w:rPr>
        <w:tab/>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el tiempo de finalización de la asignación de conducción (hh.mm);</w:t>
      </w:r>
      <w:r>
        <w:rPr>
          <w:sz w:val="23"/>
        </w:rPr>
        <w:t xml:space="preserve">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 xml:space="preserve">11) la distancia recorrida durante la asignación de conducción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 xml:space="preserve">12) las tarifas utilizadas durante la asignación de conducción con presentación separada del tipo de tarifa y de los valores de las tarifas.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 xml:space="preserve">13)</w:t>
      </w:r>
      <w:r>
        <w:rPr>
          <w:sz w:val="23"/>
        </w:rPr>
        <w:tab/>
      </w:r>
      <w:r>
        <w:rPr>
          <w:sz w:val="23"/>
        </w:rPr>
        <w:t xml:space="preserve"> </w:t>
      </w:r>
      <w:r>
        <w:rPr>
          <w:sz w:val="23"/>
        </w:rPr>
        <w:t xml:space="preserve">una relación completa de cómo y en qué medida se utilizaron las tarifas y los valores de las tarifas respectivos para el cálculo del precio de las asignaciones de conducción, de manera que la relación entre el precio cobrado y el rendimiento, incluidos los gastos, sea clara y pueda verificarse a posteriori;</w:t>
      </w:r>
      <w:r>
        <w:rPr>
          <w:sz w:val="23"/>
        </w:rPr>
        <w:t xml:space="preserve"> </w:t>
      </w:r>
      <w:r>
        <w:rPr>
          <w:sz w:val="23"/>
        </w:rPr>
        <w:t xml:space="preserve">y</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 xml:space="preserve">14) el importe que debe pagarse con una presentación por separado del método o los métodos de pago utilizados, el importe pagado con cada método de pago, así como el IVA y la tasa de IVA incluidos en el importe total;</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el dispositivo auxiliar deberá estar diseñado de manera que puedan producirse copias de los seis últimos recibos o comprobantes en papel.</w:t>
      </w:r>
      <w:r>
        <w:rPr>
          <w:sz w:val="23"/>
        </w:rPr>
        <w:t xml:space="preserve"> </w:t>
      </w:r>
      <w:r>
        <w:rPr>
          <w:sz w:val="23"/>
        </w:rPr>
        <w:t xml:space="preserve">Una copia del recibo o del comprobante de entrega contendrá la palabra «copia» [kopia] en la misma línea que el número de serie.</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 xml:space="preserve">13.</w:t>
      </w:r>
      <w:r>
        <w:rPr>
          <w:sz w:val="23"/>
        </w:rPr>
        <w:tab/>
      </w:r>
      <w:r>
        <w:rPr>
          <w:sz w:val="23"/>
        </w:rPr>
        <w:t xml:space="preserve">El dispositivo auxiliar se diseñará de manera que pueda producirse en papel un informe del período de conducción que contenga el siguiente contenido y esquema al final de un período de conducción:</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1)</w:t>
      </w:r>
      <w:r>
        <w:rPr>
          <w:sz w:val="23"/>
        </w:rPr>
        <w:tab/>
      </w:r>
      <w:r>
        <w:rPr>
          <w:sz w:val="23"/>
        </w:rPr>
        <w:t xml:space="preserve">«INFORME SOBRE EL PERÍODO DE CONDUCCIÓN»;</w:t>
      </w:r>
      <w:r>
        <w:rPr>
          <w:sz w:val="23"/>
        </w:rPr>
        <w:t xml:space="preserve">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 xml:space="preserve">2)</w:t>
      </w:r>
      <w:r>
        <w:rPr>
          <w:sz w:val="23"/>
        </w:rPr>
        <w:tab/>
      </w:r>
      <w:r>
        <w:rPr>
          <w:sz w:val="23"/>
        </w:rPr>
        <w:t xml:space="preserve">el número de serie con al menos seis dígitos;</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3)</w:t>
      </w:r>
      <w:r>
        <w:rPr>
          <w:sz w:val="23"/>
        </w:rPr>
        <w:tab/>
      </w:r>
      <w:r>
        <w:rPr>
          <w:sz w:val="23"/>
        </w:rPr>
        <w:t xml:space="preserve">el nombre y el número de identidad personal de la compañía de taxis, el número de coordinación o el número de identidad corporativa;</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4)</w:t>
      </w:r>
      <w:r>
        <w:rPr>
          <w:sz w:val="23"/>
        </w:rPr>
        <w:tab/>
      </w:r>
      <w:r>
        <w:rPr>
          <w:sz w:val="23"/>
        </w:rPr>
        <w:t xml:space="preserve">el número de matrícula del vehículo de taxi;</w:t>
      </w:r>
      <w:r>
        <w:rPr>
          <w:sz w:val="23"/>
        </w:rPr>
        <w:t xml:space="preserve">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5)</w:t>
      </w:r>
      <w:r>
        <w:rPr>
          <w:sz w:val="23"/>
        </w:rPr>
        <w:tab/>
      </w:r>
      <w:r>
        <w:rPr>
          <w:sz w:val="23"/>
        </w:rPr>
        <w:t xml:space="preserve">el código del conductor o el número de identificación del taxista;</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 xml:space="preserve">6)</w:t>
      </w:r>
      <w:r>
        <w:rPr>
          <w:sz w:val="23"/>
        </w:rPr>
        <w:tab/>
      </w:r>
      <w:r>
        <w:rPr>
          <w:sz w:val="23"/>
        </w:rPr>
        <w:t xml:space="preserve">el número de certificado y el número de serie del taxímetro y del dispositivo auxiliar, así como el número de serie de cada unidad, si el dispositivo auxiliar consta de varias unidades;</w:t>
      </w:r>
      <w:r>
        <w:rPr>
          <w:sz w:val="23"/>
          <w:strike/>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7)</w:t>
      </w:r>
      <w:r>
        <w:rPr>
          <w:sz w:val="23"/>
        </w:rPr>
        <w:tab/>
      </w:r>
      <w:r>
        <w:rPr>
          <w:sz w:val="23"/>
        </w:rPr>
        <w:t xml:space="preserve">indicaciones de la versión del programa informático y sumas de verificación para los programas incluidos en el taxímetro y el dispositivo auxiliar;</w:t>
      </w:r>
      <w:r>
        <w:rPr>
          <w:sz w:val="23"/>
        </w:rPr>
        <w:t xml:space="preserve">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8)</w:t>
      </w:r>
      <w:r>
        <w:rPr>
          <w:sz w:val="23"/>
        </w:rPr>
        <w:tab/>
      </w:r>
      <w:r>
        <w:rPr>
          <w:sz w:val="23"/>
        </w:rPr>
        <w:t xml:space="preserve">constante del taxímetro;</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 xml:space="preserve">9)</w:t>
      </w:r>
      <w:r>
        <w:rPr>
          <w:sz w:val="23"/>
        </w:rPr>
        <w:tab/>
      </w:r>
      <w:r>
        <w:rPr>
          <w:sz w:val="23"/>
        </w:rPr>
        <w:t xml:space="preserve">fecha del sello más reciente (aaaa.mm.dd);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10)</w:t>
      </w:r>
      <w:r>
        <w:rPr>
          <w:sz w:val="23"/>
        </w:rPr>
        <w:tab/>
      </w:r>
      <w:r>
        <w:rPr>
          <w:sz w:val="23"/>
        </w:rPr>
        <w:t xml:space="preserve">fecha y hora en que comenzó el período de conducción (aa.mm.dd, hh.mm);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11)</w:t>
      </w:r>
      <w:r>
        <w:rPr>
          <w:sz w:val="23"/>
        </w:rPr>
        <w:tab/>
      </w:r>
      <w:r>
        <w:rPr>
          <w:sz w:val="23"/>
        </w:rPr>
        <w:t xml:space="preserve">fecha y hora de finalización del período de conducción (aaaa.mm.dd,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12)</w:t>
      </w:r>
      <w:r>
        <w:rPr>
          <w:sz w:val="23"/>
        </w:rPr>
        <w:tab/>
      </w:r>
      <w:r>
        <w:rPr>
          <w:sz w:val="23"/>
        </w:rPr>
        <w:t xml:space="preserve">distancia recorrida durante el período de conducción (0,00 km);</w:t>
      </w:r>
      <w:r>
        <w:rPr>
          <w:sz w:val="23"/>
        </w:rPr>
        <w:t xml:space="preserve">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13)</w:t>
      </w:r>
      <w:r>
        <w:rPr>
          <w:sz w:val="23"/>
        </w:rPr>
        <w:tab/>
      </w:r>
      <w:r>
        <w:rPr>
          <w:sz w:val="23"/>
        </w:rPr>
        <w:t xml:space="preserve">distancia recorrida durante el período de conducción en los parámetros de funcionamiento «ocupado» y «detenido» (0,00 km);</w:t>
      </w:r>
      <w:r>
        <w:rPr>
          <w:sz w:val="23"/>
        </w:rPr>
        <w:t xml:space="preserve">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14)</w:t>
      </w:r>
      <w:r>
        <w:rPr>
          <w:sz w:val="23"/>
        </w:rPr>
        <w:tab/>
      </w:r>
      <w:r>
        <w:rPr>
          <w:sz w:val="23"/>
        </w:rPr>
        <w:t xml:space="preserve">número de asignaciones de conducción matriculadas durante el período de conducción, con presentación por separado de los números de serie de la primera y la última asignación de conducción;</w:t>
      </w:r>
      <w:r>
        <w:rPr>
          <w:sz w:val="23"/>
        </w:rPr>
        <w:t xml:space="preserv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15)</w:t>
      </w:r>
      <w:r>
        <w:rPr>
          <w:sz w:val="23"/>
        </w:rPr>
        <w:tab/>
      </w:r>
      <w:r>
        <w:rPr>
          <w:sz w:val="23"/>
        </w:rPr>
        <w:t xml:space="preserve">los siguientes valores totalizados al final del período de conducción, expresados en nueve dígitos sin caracteres intermedios, siendo cada dígito inicialmente un cero y sustituidos sucesivamente por otros dígitos a medida que se incrementan los totalizadores:</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a) la distancia total recorrida por el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b) la distancia total recorrida por el taxi en la posición de funcionamiento «ocupado»;</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c) el número total de asignaciones de conducción;</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el importe total cobrado como gastos adicionales;</w:t>
      </w:r>
      <w:r>
        <w:rPr>
          <w:sz w:val="23"/>
        </w:rPr>
        <w:t xml:space="preserve"> </w:t>
      </w:r>
      <w:r>
        <w:rPr>
          <w:sz w:val="23"/>
        </w:rPr>
        <w:t xml:space="preserve">y</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e) el importe total cobrado en concepto de tarifas;</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16)</w:t>
      </w:r>
      <w:r>
        <w:rPr>
          <w:sz w:val="23"/>
        </w:rPr>
        <w:tab/>
      </w:r>
      <w:r>
        <w:rPr>
          <w:sz w:val="23"/>
        </w:rPr>
        <w:t xml:space="preserve">el importe recaudado durante el período de conducción para cada método de pago, así como el IVA y la tasa del IVA incluidos en el importe total;</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17)</w:t>
      </w:r>
      <w:r>
        <w:rPr>
          <w:sz w:val="23"/>
        </w:rPr>
        <w:tab/>
      </w:r>
      <w:r>
        <w:rPr>
          <w:sz w:val="23"/>
        </w:rPr>
        <w:t xml:space="preserve">el espacio para especificar los datos relativos al período de conducción;</w:t>
      </w:r>
      <w:r>
        <w:rPr>
          <w:sz w:val="23"/>
        </w:rPr>
        <w:t xml:space="preserve"> </w:t>
      </w:r>
      <w:r>
        <w:rPr>
          <w:sz w:val="23"/>
        </w:rPr>
        <w:t xml:space="preserve">y</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 xml:space="preserve">18)</w:t>
      </w:r>
      <w:r>
        <w:rPr>
          <w:sz w:val="23"/>
        </w:rPr>
        <w:tab/>
      </w:r>
      <w:r>
        <w:rPr>
          <w:sz w:val="23"/>
        </w:rPr>
        <w:t xml:space="preserve">la presentación de todas las asignaciones de conducción registradas durante el período de conducción en orden de número de serie, con números de serie posteriores para el importe correspondiente que deba abonarse parcialmente, cuando el dispositivo auxiliar pueda producir recibos de pago parcial, y con presentación por separado de la información a que se refieren los puntos 12.1, 12.2, 12.8 a 12.12 y 12.14 del presente anexo;</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el dispositivo auxiliar se diseñará de manera que puedan producirse en papel copias de los informes del período de conducción de los dos últimos días de funcionamiento del taxímetro y, en cualquier caso, de los diez períodos de conducción más recientes.</w:t>
      </w:r>
      <w:r>
        <w:rPr>
          <w:sz w:val="23"/>
        </w:rPr>
        <w:t xml:space="preserve"> </w:t>
      </w:r>
    </w:p>
    <w:p w14:paraId="4D21DCBC" w14:textId="77777777" w:rsidR="00724C69" w:rsidRPr="00FE333B" w:rsidRDefault="00724C69" w:rsidP="00971891">
      <w:pPr>
        <w:tabs>
          <w:tab w:val="left" w:pos="252"/>
          <w:tab w:val="left" w:pos="350"/>
        </w:tabs>
        <w:ind w:firstLine="227"/>
        <w:jc w:val="both"/>
        <w:rPr>
          <w:sz w:val="23"/>
          <w:szCs w:val="23"/>
        </w:rPr>
      </w:pPr>
      <w:r>
        <w:rPr>
          <w:sz w:val="23"/>
        </w:rPr>
        <w:t xml:space="preserve">Una copia del informe del período de conducción incluirá la palabra «copia» [kopia] en la línea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 xml:space="preserve">14.</w:t>
      </w:r>
      <w:r>
        <w:rPr>
          <w:sz w:val="23"/>
        </w:rPr>
        <w:tab/>
      </w:r>
      <w:r>
        <w:rPr>
          <w:sz w:val="23"/>
        </w:rPr>
        <w:t xml:space="preserve">La información sobre todas las asignaciones de conducción de conformidad con el punto 12 del presente anexo en orden de número de serie y todos los períodos de conducción de conformidad con el punto 13 del presente anexo en orden de número de serie podrá transferirse digital e inalámbricamente a un centro de notificación, tal como se especifica en la Ley (2014:1020) sobre centros de notificación y centros de reserva para el tráfico de taxis.</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 xml:space="preserve">15.</w:t>
      </w:r>
      <w:r>
        <w:rPr>
          <w:sz w:val="23"/>
        </w:rPr>
        <w:tab/>
      </w:r>
      <w:r>
        <w:rPr>
          <w:sz w:val="23"/>
        </w:rPr>
        <w:t xml:space="preserve">El dispositivo auxiliar se diseñará de manera que pueda producirse en papel un informe de inspección del taxímetro, independientemente de la posición de funcionamiento del taxímetro.</w:t>
      </w:r>
      <w:r>
        <w:rPr>
          <w:sz w:val="23"/>
        </w:rPr>
        <w:t xml:space="preserve"> </w:t>
      </w:r>
      <w:r>
        <w:rPr>
          <w:sz w:val="23"/>
        </w:rPr>
        <w:t xml:space="preserve">El contenido y la estructura del informe serán los siguientes:</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 xml:space="preserve">1)</w:t>
      </w:r>
      <w:r>
        <w:rPr>
          <w:sz w:val="23"/>
        </w:rPr>
        <w:tab/>
      </w:r>
      <w:r>
        <w:rPr>
          <w:sz w:val="23"/>
        </w:rPr>
        <w:t xml:space="preserve">«INSPECCIÓN DEL TAXÍMETRO»;</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 xml:space="preserve">2)</w:t>
      </w:r>
      <w:r>
        <w:rPr>
          <w:sz w:val="23"/>
        </w:rPr>
        <w:tab/>
      </w:r>
      <w:r>
        <w:rPr>
          <w:sz w:val="23"/>
        </w:rPr>
        <w:t xml:space="preserve">un número de serie con al menos cuatro dígitos;</w:t>
      </w:r>
      <w:r>
        <w:rPr>
          <w:sz w:val="23"/>
          <w:strike/>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 xml:space="preserve">3)</w:t>
      </w:r>
      <w:r>
        <w:rPr>
          <w:sz w:val="23"/>
        </w:rPr>
        <w:tab/>
      </w:r>
      <w:r>
        <w:rPr>
          <w:sz w:val="23"/>
        </w:rPr>
        <w:t xml:space="preserve">identificación del organismo u organismos que han llevado a cabo la evaluación de la conformidad del taxímetro y del dispositivo auxiliar;</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 xml:space="preserve">4)</w:t>
      </w:r>
      <w:r>
        <w:rPr>
          <w:sz w:val="23"/>
        </w:rPr>
        <w:tab/>
      </w:r>
      <w:r>
        <w:rPr>
          <w:sz w:val="23"/>
        </w:rPr>
        <w:t xml:space="preserve">el número de certificado y el número de serie del taxímetro y del dispositivo auxiliar, así como el número de serie de cada unidad, si el dispositivo auxiliar consta de varias unidades;</w:t>
      </w:r>
      <w:r>
        <w:rPr>
          <w:sz w:val="23"/>
          <w:strike/>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5)</w:t>
      </w:r>
      <w:r>
        <w:rPr>
          <w:sz w:val="23"/>
        </w:rPr>
        <w:tab/>
      </w:r>
      <w:r>
        <w:rPr>
          <w:sz w:val="23"/>
        </w:rPr>
        <w:t xml:space="preserve">indicaciones de la versión del programa informático y sumas de verificación para los programas incluidos en el taxímetro y el dispositivo auxiliar;</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6)</w:t>
      </w:r>
      <w:r>
        <w:rPr>
          <w:sz w:val="23"/>
        </w:rPr>
        <w:tab/>
      </w:r>
      <w:r>
        <w:rPr>
          <w:sz w:val="23"/>
        </w:rPr>
        <w:t xml:space="preserve">el nombre y el número de identidad personal de la compañía de taxis, el número de coordinación o el número de identidad corporativa;</w:t>
      </w:r>
      <w:r>
        <w:rPr>
          <w:sz w:val="23"/>
        </w:rPr>
        <w:t xml:space="preserve">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7)</w:t>
      </w:r>
      <w:r>
        <w:rPr>
          <w:sz w:val="23"/>
        </w:rPr>
        <w:tab/>
      </w:r>
      <w:r>
        <w:rPr>
          <w:sz w:val="23"/>
        </w:rPr>
        <w:t xml:space="preserve">la dirección postal de la compañía de taxis;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8)</w:t>
      </w:r>
      <w:r>
        <w:rPr>
          <w:sz w:val="23"/>
        </w:rPr>
        <w:tab/>
      </w:r>
      <w:r>
        <w:rPr>
          <w:sz w:val="23"/>
        </w:rPr>
        <w:t xml:space="preserve">el número de matrícula del vehículo de taxi;</w:t>
      </w:r>
      <w:r>
        <w:rPr>
          <w:sz w:val="23"/>
        </w:rPr>
        <w:t xml:space="preserve">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9)</w:t>
      </w:r>
      <w:r>
        <w:rPr>
          <w:sz w:val="23"/>
        </w:rPr>
        <w:tab/>
      </w:r>
      <w:r>
        <w:rPr>
          <w:sz w:val="23"/>
        </w:rPr>
        <w:t xml:space="preserve">el código del conductor o el número de identificación del taxista;</w:t>
      </w:r>
      <w:r>
        <w:rPr>
          <w:sz w:val="23"/>
        </w:rPr>
        <w:t xml:space="preserve">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10)</w:t>
      </w:r>
      <w:r>
        <w:rPr>
          <w:sz w:val="23"/>
        </w:rPr>
        <w:tab/>
      </w:r>
      <w:r>
        <w:rPr>
          <w:sz w:val="23"/>
        </w:rPr>
        <w:t xml:space="preserve">los siguientes valores totalizados, expresados en nueve dígitos sin caracteres intermedios, siendo cada dígito inicialmente un cero y sustituido sucesivamente por otros dígitos a medida que se incrementan los totalizadores:</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a) la distancia total recorrida por el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b) la distancia total recorrida por el taxi en la posición de funcionamiento «ocupado»;</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c) el número total de asignaciones de conducción;</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d) el importe total cobrado como gastos adicionales;</w:t>
      </w:r>
      <w:r>
        <w:rPr>
          <w:sz w:val="23"/>
        </w:rPr>
        <w:t xml:space="preserve"> </w:t>
      </w:r>
      <w:r>
        <w:rPr>
          <w:sz w:val="23"/>
        </w:rPr>
        <w:t xml:space="preserve">y</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 xml:space="preserve">e) el importe total cobrado en concepto de tarifas;</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11)</w:t>
      </w:r>
      <w:r>
        <w:rPr>
          <w:sz w:val="23"/>
        </w:rPr>
        <w:tab/>
      </w:r>
      <w:r>
        <w:rPr>
          <w:sz w:val="23"/>
        </w:rPr>
        <w:t xml:space="preserve">la constante del taxímetro;</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12)</w:t>
      </w:r>
      <w:r>
        <w:rPr>
          <w:sz w:val="23"/>
        </w:rPr>
        <w:tab/>
      </w:r>
      <w:r>
        <w:rPr>
          <w:sz w:val="23"/>
        </w:rPr>
        <w:t xml:space="preserve">la fecha de la inspección más reciente y del sellado (aa.mm.dd);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13)</w:t>
      </w:r>
      <w:r>
        <w:rPr>
          <w:sz w:val="23"/>
        </w:rPr>
        <w:tab/>
      </w:r>
      <w:r>
        <w:rPr>
          <w:sz w:val="23"/>
        </w:rPr>
        <w:t xml:space="preserve">el nombre y la dirección postal del organismo de control;</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14)</w:t>
      </w:r>
      <w:r>
        <w:rPr>
          <w:sz w:val="23"/>
        </w:rPr>
        <w:tab/>
      </w:r>
      <w:r>
        <w:rPr>
          <w:sz w:val="23"/>
        </w:rPr>
        <w:t xml:space="preserve">el número de identidad corporativa del organismo de control;</w:t>
      </w:r>
      <w:r>
        <w:rPr>
          <w:sz w:val="23"/>
        </w:rPr>
        <w:t xml:space="preserve">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15)</w:t>
      </w:r>
      <w:r>
        <w:rPr>
          <w:sz w:val="23"/>
        </w:rPr>
        <w:tab/>
      </w:r>
      <w:r>
        <w:rPr>
          <w:sz w:val="23"/>
        </w:rPr>
        <w:t xml:space="preserve">el número de acreditación del organismo de control;</w:t>
      </w:r>
      <w:r>
        <w:rPr>
          <w:sz w:val="23"/>
        </w:rPr>
        <w:t xml:space="preserv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 xml:space="preserve">16)</w:t>
      </w:r>
      <w:r>
        <w:rPr>
          <w:sz w:val="23"/>
        </w:rPr>
        <w:tab/>
      </w:r>
      <w:r>
        <w:rPr>
          <w:sz w:val="23"/>
        </w:rPr>
        <w:t xml:space="preserve">el número de serie de los informes de inspección para la inspección del equipo del taxímetro;</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17)</w:t>
      </w:r>
      <w:r>
        <w:rPr>
          <w:sz w:val="23"/>
        </w:rPr>
        <w:tab/>
      </w:r>
      <w:r>
        <w:rPr>
          <w:sz w:val="23"/>
        </w:rPr>
        <w:t xml:space="preserve">la presentación de todas las tarifas utilizadas en el taxímetro, indicando el tipo de tarifa y los valores de las tarifas;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18)</w:t>
      </w:r>
      <w:r>
        <w:rPr>
          <w:sz w:val="23"/>
        </w:rPr>
        <w:tab/>
      </w:r>
      <w:r>
        <w:rPr>
          <w:sz w:val="23"/>
        </w:rPr>
        <w:t xml:space="preserve">la fecha y hora de inicio del período de conducción (aa.mm.dd, hh.mm);</w:t>
      </w:r>
      <w:r>
        <w:rPr>
          <w:sz w:val="23"/>
        </w:rPr>
        <w:t xml:space="preserve">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19)</w:t>
      </w:r>
      <w:r>
        <w:rPr>
          <w:sz w:val="23"/>
        </w:rPr>
        <w:tab/>
      </w:r>
      <w:r>
        <w:rPr>
          <w:sz w:val="23"/>
        </w:rPr>
        <w:t xml:space="preserve">el tiempo de inicio de la asignación de conducción y distancia recorrida durante la asignación de conducción (hh.mm,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20)</w:t>
      </w:r>
      <w:r>
        <w:rPr>
          <w:sz w:val="23"/>
        </w:rPr>
        <w:tab/>
      </w:r>
      <w:r>
        <w:rPr>
          <w:sz w:val="23"/>
        </w:rPr>
        <w:t xml:space="preserve">la fecha y hora de la producción (aaa.mm.dd, hh.mm);</w:t>
      </w:r>
      <w:r>
        <w:rPr>
          <w:sz w:val="23"/>
        </w:rPr>
        <w:t xml:space="preserve">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21)</w:t>
      </w:r>
      <w:r>
        <w:rPr>
          <w:sz w:val="23"/>
        </w:rPr>
        <w:tab/>
      </w:r>
      <w:r>
        <w:rPr>
          <w:sz w:val="23"/>
        </w:rPr>
        <w:t xml:space="preserve">el espacio para el sello y la firma oficial de la autoridad de control;</w:t>
      </w:r>
      <w:r>
        <w:rPr>
          <w:sz w:val="23"/>
        </w:rPr>
        <w:t xml:space="preserve"> </w:t>
      </w:r>
      <w:r>
        <w:rPr>
          <w:sz w:val="23"/>
        </w:rPr>
        <w:t xml:space="preserve">y</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22)</w:t>
      </w:r>
      <w:r>
        <w:rPr>
          <w:sz w:val="23"/>
        </w:rPr>
        <w:tab/>
      </w:r>
      <w:r>
        <w:rPr>
          <w:sz w:val="23"/>
        </w:rPr>
        <w:t xml:space="preserve">el espacio para la firma del taxista u otro representante de la compañía de taxis.</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 xml:space="preserve">16.</w:t>
      </w:r>
      <w:r>
        <w:rPr>
          <w:sz w:val="23"/>
        </w:rPr>
        <w:tab/>
      </w:r>
      <w:r>
        <w:rPr>
          <w:sz w:val="23"/>
        </w:rPr>
        <w:t xml:space="preserve">Un dispositivo auxiliar deberá estar diseñado de manera que la inspección de la adaptación del equipo del taxímetro al vehículo de taxi pueda realizarse de la siguiente manera.</w:t>
      </w:r>
      <w:r>
        <w:rPr>
          <w:sz w:val="23"/>
        </w:rPr>
        <w:t xml:space="preserve"> </w:t>
      </w:r>
      <w:r>
        <w:rPr>
          <w:sz w:val="23"/>
        </w:rPr>
        <w:t xml:space="preserve">El dispositivo auxiliar calculará durante la inspección a una distancia medida la relación entre la constante del taxímetro establecido y la distancia recorrida medida durante la inspección, tras lo cual se producirá un informe en papel.</w:t>
      </w:r>
      <w:r>
        <w:rPr>
          <w:sz w:val="23"/>
        </w:rPr>
        <w:t xml:space="preserve"> </w:t>
      </w:r>
      <w:r>
        <w:rPr>
          <w:sz w:val="23"/>
        </w:rPr>
        <w:t xml:space="preserve">El contenido y la estructura del informe serán los siguientes:</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1)</w:t>
      </w:r>
      <w:r>
        <w:rPr>
          <w:sz w:val="23"/>
        </w:rPr>
        <w:tab/>
      </w:r>
      <w:r>
        <w:rPr>
          <w:sz w:val="23"/>
        </w:rPr>
        <w:t xml:space="preserve">«INSPECCIÓN DE ADAPTACIÓN»;</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2)</w:t>
      </w:r>
      <w:r>
        <w:rPr>
          <w:sz w:val="23"/>
        </w:rPr>
        <w:tab/>
      </w:r>
      <w:r>
        <w:rPr>
          <w:sz w:val="23"/>
        </w:rPr>
        <w:t xml:space="preserve">un número de serie con al menos cuatro dígitos;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3)</w:t>
      </w:r>
      <w:r>
        <w:rPr>
          <w:sz w:val="23"/>
        </w:rPr>
        <w:tab/>
      </w:r>
      <w:r>
        <w:rPr>
          <w:sz w:val="23"/>
        </w:rPr>
        <w:t xml:space="preserve">una indicación del organismo o los organismos que llevaron a cabo la evaluación de la conformidad del taxímetro y del dispositivo auxiliar;</w:t>
      </w:r>
      <w:r>
        <w:rPr>
          <w:sz w:val="23"/>
        </w:rPr>
        <w:t xml:space="preserv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4)</w:t>
      </w:r>
      <w:r>
        <w:rPr>
          <w:sz w:val="23"/>
        </w:rPr>
        <w:tab/>
      </w:r>
      <w:r>
        <w:rPr>
          <w:sz w:val="23"/>
        </w:rPr>
        <w:t xml:space="preserve">el número de certificado y el número de serie del taxímetro y del dispositivo auxiliar, así como el número de serie de cada unidad, si el dispositivo auxiliar consta de varias unidades;</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5)</w:t>
      </w:r>
      <w:r>
        <w:rPr>
          <w:sz w:val="23"/>
        </w:rPr>
        <w:tab/>
      </w:r>
      <w:r>
        <w:rPr>
          <w:sz w:val="23"/>
        </w:rPr>
        <w:t xml:space="preserve">indicaciones de la versión del programa informático y sumas de verificación para los programas incluidos en el taxímetro y el dispositivo auxiliar;</w:t>
      </w:r>
      <w:r>
        <w:rPr>
          <w:sz w:val="23"/>
        </w:rPr>
        <w:t xml:space="preserve">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6)</w:t>
      </w:r>
      <w:r>
        <w:rPr>
          <w:sz w:val="23"/>
        </w:rPr>
        <w:tab/>
      </w:r>
      <w:r>
        <w:rPr>
          <w:sz w:val="23"/>
        </w:rPr>
        <w:t xml:space="preserve">el número de matrícula del vehículo de taxi;</w:t>
      </w:r>
      <w:r>
        <w:rPr>
          <w:sz w:val="23"/>
        </w:rPr>
        <w:t xml:space="preserve">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7)</w:t>
      </w:r>
      <w:r>
        <w:rPr>
          <w:sz w:val="23"/>
        </w:rPr>
        <w:tab/>
      </w:r>
      <w:r>
        <w:rPr>
          <w:sz w:val="23"/>
        </w:rPr>
        <w:t xml:space="preserve">el código del conductor o el número de identificación del taxista;</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 xml:space="preserve">8)</w:t>
      </w:r>
      <w:r>
        <w:rPr>
          <w:sz w:val="23"/>
        </w:rPr>
        <w:tab/>
      </w:r>
      <w:r>
        <w:rPr>
          <w:sz w:val="23"/>
        </w:rPr>
        <w:t xml:space="preserve">establecimiento de la constante del taxímetro;</w:t>
      </w:r>
      <w:r>
        <w:rPr>
          <w:sz w:val="23"/>
        </w:rPr>
        <w:t xml:space="preserve">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9)</w:t>
      </w:r>
      <w:r>
        <w:rPr>
          <w:sz w:val="23"/>
        </w:rPr>
        <w:tab/>
      </w:r>
      <w:r>
        <w:rPr>
          <w:sz w:val="23"/>
        </w:rPr>
        <w:t xml:space="preserve">distancia medida recorrida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10)</w:t>
      </w:r>
      <w:r>
        <w:rPr>
          <w:sz w:val="23"/>
        </w:rPr>
        <w:tab/>
      </w:r>
      <w:r>
        <w:rPr>
          <w:sz w:val="23"/>
        </w:rPr>
        <w:t xml:space="preserve">constante del taxímetro dividida por la distancia media recorrida, expresada en porcentaje;</w:t>
      </w:r>
      <w:r>
        <w:rPr>
          <w:sz w:val="23"/>
        </w:rPr>
        <w:t xml:space="preserve">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11)</w:t>
      </w:r>
      <w:r>
        <w:rPr>
          <w:sz w:val="23"/>
        </w:rPr>
        <w:tab/>
      </w:r>
      <w:r>
        <w:rPr>
          <w:sz w:val="23"/>
        </w:rPr>
        <w:t xml:space="preserve">fecha y hora de la producción (aaa.mm.dd, hh.mm);</w:t>
      </w:r>
      <w:r>
        <w:rPr>
          <w:sz w:val="23"/>
        </w:rPr>
        <w:t xml:space="preserve">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12)</w:t>
      </w:r>
      <w:r>
        <w:rPr>
          <w:sz w:val="23"/>
        </w:rPr>
        <w:tab/>
      </w:r>
      <w:r>
        <w:rPr>
          <w:sz w:val="23"/>
        </w:rPr>
        <w:t xml:space="preserve">espacio para el sello y la firma oficial de la autoridad de control;</w:t>
      </w:r>
      <w:r>
        <w:rPr>
          <w:sz w:val="23"/>
        </w:rPr>
        <w:t xml:space="preserve"> </w:t>
      </w:r>
      <w:r>
        <w:rPr>
          <w:sz w:val="23"/>
        </w:rPr>
        <w:t xml:space="preserve">y</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 xml:space="preserve">13)</w:t>
      </w:r>
      <w:r>
        <w:rPr>
          <w:sz w:val="23"/>
        </w:rPr>
        <w:tab/>
      </w:r>
      <w:r>
        <w:rPr>
          <w:sz w:val="23"/>
        </w:rPr>
        <w:t xml:space="preserve">espacio para la firma del taxista u otro representante de la compañía de taxis.</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 xml:space="preserve">17.</w:t>
      </w:r>
      <w:r>
        <w:rPr>
          <w:sz w:val="23"/>
        </w:rPr>
        <w:tab/>
      </w:r>
      <w:r>
        <w:rPr>
          <w:sz w:val="23"/>
        </w:rPr>
        <w:t xml:space="preserve">Para la producción de datos en papel o en formato electrónico, se utilizarán las siguientes unidades de medida para la distancia recorrida y el tiempo transcurrido:</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1)</w:t>
      </w:r>
      <w:r>
        <w:rPr>
          <w:sz w:val="23"/>
        </w:rPr>
        <w:tab/>
      </w:r>
      <w:r>
        <w:rPr>
          <w:sz w:val="23"/>
        </w:rPr>
        <w:t xml:space="preserve">distancia recorrida: kilómetros;</w:t>
      </w:r>
      <w:r>
        <w:rPr>
          <w:sz w:val="23"/>
        </w:rPr>
        <w:t xml:space="preserve"> </w:t>
      </w:r>
      <w:r>
        <w:rPr>
          <w:sz w:val="23"/>
        </w:rPr>
        <w:t xml:space="preserve">y</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 xml:space="preserve">2)</w:t>
      </w:r>
      <w:r>
        <w:rPr>
          <w:sz w:val="23"/>
        </w:rPr>
        <w:tab/>
      </w:r>
      <w:r>
        <w:rPr>
          <w:sz w:val="23"/>
        </w:rPr>
        <w:t xml:space="preserve">tiempo transcurrido: segundos, minutos u horas, según proceda para tener en cuenta la resolución requerida y la necesidad de evitar malentendidos.</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 xml:space="preserve">18.</w:t>
      </w:r>
      <w:r>
        <w:rPr>
          <w:sz w:val="23"/>
        </w:rPr>
        <w:tab/>
      </w:r>
      <w:r>
        <w:rPr>
          <w:sz w:val="23"/>
        </w:rPr>
        <w:t xml:space="preserve">Los datos producidos en papel o en formato electrónico deberán ser coherentes, en su caso, con los totalizadores del taxímetro o con los valores añadidos a los totalizadores del taxímetro, así como almacenados de otro modo en el taxímetro.</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 xml:space="preserve">19.</w:t>
      </w:r>
      <w:r>
        <w:rPr>
          <w:sz w:val="23"/>
        </w:rPr>
        <w:tab/>
      </w:r>
      <w:r>
        <w:rPr>
          <w:sz w:val="23"/>
        </w:rPr>
        <w:t xml:space="preserve">Si se desconecta la fuente de alimentación de un dispositivo auxiliar, los datos que se produzcan en papel o en formato electrónico se almacenarán durante al menos dos</w:t>
      </w:r>
      <w:r>
        <w:t xml:space="preserve"> años.</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560E" w14:textId="77777777" w:rsidR="002306FC" w:rsidRDefault="002306FC" w:rsidP="00B04B23">
      <w:r>
        <w:separator/>
      </w:r>
    </w:p>
  </w:endnote>
  <w:endnote w:type="continuationSeparator" w:id="0">
    <w:p w14:paraId="0D0CDDA0" w14:textId="77777777" w:rsidR="002306FC" w:rsidRDefault="002306FC"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ADDD" w14:textId="77777777" w:rsidR="002306FC" w:rsidRDefault="002306FC" w:rsidP="00B04B23">
      <w:r>
        <w:separator/>
      </w:r>
    </w:p>
  </w:footnote>
  <w:footnote w:type="continuationSeparator" w:id="0">
    <w:p w14:paraId="77BD047E" w14:textId="77777777" w:rsidR="002306FC" w:rsidRDefault="002306FC"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 w:id="2">
    <w:p w14:paraId="16617943" w14:textId="0E94B97B" w:rsidR="00D2004E" w:rsidRPr="008B1E1F" w:rsidRDefault="00D2004E" w:rsidP="00D2004E">
      <w:pPr>
        <w:pStyle w:val="FootnoteText"/>
      </w:pPr>
      <w:r>
        <w:rPr>
          <w:rStyle w:val="FootnoteReference"/>
        </w:rPr>
        <w:footnoteRef/>
      </w:r>
      <w:r>
        <w:t xml:space="preserve"> Reglamento (STAFS 2022:1) de la Agencia Sueca de Acreditación y Evaluación de la Conformidad sobre taxímetros.</w:t>
      </w:r>
    </w:p>
  </w:footnote>
  <w:footnote w:id="3">
    <w:p w14:paraId="3475B72A" w14:textId="77777777" w:rsidR="00724C69" w:rsidRPr="008B1E1F" w:rsidRDefault="00724C69" w:rsidP="00724C69">
      <w:pPr>
        <w:pStyle w:val="FootnoteText"/>
      </w:pPr>
      <w:r>
        <w:rPr>
          <w:rStyle w:val="FootnoteReference"/>
        </w:rPr>
        <w:footnoteRef/>
      </w:r>
      <w:r>
        <w:t xml:space="preserve"> Reglamento y directrices generales (STAFS 2016:1) de la Agencia Sueca de Acreditación y Evaluación de la Conformidad (SWEDAC) sobre instrumentos de medida.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 xml:space="preserve">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58559">
    <w:abstractNumId w:val="2"/>
  </w:num>
  <w:num w:numId="2" w16cid:durableId="1453671567">
    <w:abstractNumId w:val="6"/>
  </w:num>
  <w:num w:numId="3" w16cid:durableId="316417498">
    <w:abstractNumId w:val="3"/>
  </w:num>
  <w:num w:numId="4" w16cid:durableId="1508519082">
    <w:abstractNumId w:val="1"/>
  </w:num>
  <w:num w:numId="5" w16cid:durableId="1285388701">
    <w:abstractNumId w:val="8"/>
  </w:num>
  <w:num w:numId="6" w16cid:durableId="1164512739">
    <w:abstractNumId w:val="0"/>
  </w:num>
  <w:num w:numId="7" w16cid:durableId="618605233">
    <w:abstractNumId w:val="7"/>
  </w:num>
  <w:num w:numId="8" w16cid:durableId="1368678438">
    <w:abstractNumId w:val="5"/>
  </w:num>
  <w:num w:numId="9" w16cid:durableId="773986827">
    <w:abstractNumId w:val="9"/>
  </w:num>
  <w:num w:numId="10" w16cid:durableId="1154222911">
    <w:abstractNumId w:val="4"/>
  </w:num>
  <w:num w:numId="11" w16cid:durableId="926572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dirty" w:grammar="dirty"/>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10</Pages>
  <Words>3582</Words>
  <Characters>20422</Characters>
  <Application>Microsoft Office Word</Application>
  <DocSecurity>0</DocSecurity>
  <Lines>170</Lines>
  <Paragraphs>47</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Dimitris Dimitriadis</cp:lastModifiedBy>
  <cp:revision>57</cp:revision>
  <dcterms:created xsi:type="dcterms:W3CDTF">2021-06-08T13:25:00Z</dcterms:created>
  <dcterms:modified xsi:type="dcterms:W3CDTF">2022-08-18T12:26:00Z</dcterms:modified>
</cp:coreProperties>
</file>