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r>
              <w:t>FRANSE REPUBLIEK</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Ministerie van Ecologische Transitie</w:t>
            </w:r>
            <w:r>
              <w:br/>
              <w:t>en Territoriale Cohesie</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rPr>
      </w:pPr>
      <w:r>
        <w:rPr>
          <w:b/>
        </w:rPr>
        <w:t xml:space="preserve">Besluit nr.        van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betreffende de verplichting om verse onverwerkte groenten en fruit te koop aan te bieden zonder verpakkingen die geheel of gedeeltelijk van kunststof zijn vervaardigd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b/>
          <w:i/>
        </w:rPr>
        <w:t>Doelgroepen:</w:t>
      </w:r>
      <w:r>
        <w:rPr>
          <w:i/>
        </w:rPr>
        <w:t xml:space="preserve"> verkooppunten gespecialiseerd of niet gespecialiseerd in de verkoop van groenten en fruit in winkels, warenhuizen en markten.</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b/>
          <w:i/>
        </w:rPr>
        <w:t>Betreft:</w:t>
      </w:r>
      <w:r>
        <w:rPr>
          <w:i/>
        </w:rPr>
        <w:t xml:space="preserve"> voorwaarden voor de tenuitvoerlegging van de verplichting om onverwerkte verse groenten en fruit te verkopen zonder verpakkingen die geheel of gedeeltelijk van kunststof zijn vervaardigd.</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b/>
          <w:i/>
        </w:rPr>
        <w:t>Inwerkingtreding:</w:t>
      </w:r>
      <w:r>
        <w:rPr>
          <w:i/>
        </w:rPr>
        <w:t xml:space="preserve"> het Besluit treedt in werking op de dag na de publicatie ervan.</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b/>
          <w:i/>
        </w:rPr>
        <w:t>Bericht:</w:t>
      </w:r>
      <w:r>
        <w:rPr>
          <w:i/>
        </w:rPr>
        <w:t xml:space="preserve"> het Besluit stelt de voorwaarden vast voor de uitvoering van de voorziening van de wet van 10 februari 2020 betreffende de bestrijding van afval en de circulaire economie, die voorziet dat alle detailhandelsbedrijven onverwerkte groenten en fruit zonder plastic verpakking voor verkoop aanbieden.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Het preciseert dat de bepaling van toepassing is op onverwerkte verse groenten en fruit, dat wil zeggen groenten en fruit die in hun oorspronkelijke staat worden verkocht of die zijn bereid, zoals gereinigd, afgesneden, uitgelekt of gedroogd.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Het specificeert ook de definitie van kunststofverpakkingen. Het bevat een lijst van verse groenten en fruit waarvoor deze verplichting niet geldt, aangezien deze een risico van bederf inhoudt wanneer zij in bulk worden verkocht.</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b/>
          <w:i/>
        </w:rPr>
        <w:t>Referenties:</w:t>
      </w:r>
      <w:r>
        <w:rPr>
          <w:i/>
        </w:rPr>
        <w:t xml:space="preserve"> het door het Besluit gewijzigde Milieuwetboek kan, in het ontwerp dat voortvloeit uit deze wijziging, worden geraadpleegd op de website van Légifrance (https://legifrance.gouv.fr).</w:t>
      </w:r>
    </w:p>
    <w:p w14:paraId="3B319840" w14:textId="77777777" w:rsidR="006E305A" w:rsidRPr="006E305A" w:rsidRDefault="006E305A" w:rsidP="006E305A">
      <w:pPr>
        <w:spacing w:before="600"/>
        <w:ind w:firstLine="709"/>
        <w:jc w:val="both"/>
        <w:rPr>
          <w:b/>
          <w:bCs/>
        </w:rPr>
      </w:pPr>
      <w:r>
        <w:rPr>
          <w:b/>
        </w:rPr>
        <w:t>De eerste minister,</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Over het verslag van de minister van Ecologische Transitie en Territoriale Cohesie,</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Gezien Uitvoeringsverordening (EU) nr. 543/2011 van de Commissie van 7 juni 2011 tot vaststelling van nadere regels voor de toepassing van Verordening (EG) nr. 1234/2007 van de Raad, wat de sectoren groenten en fruit en verwerkte groenten en fruit betreft, </w:t>
      </w:r>
    </w:p>
    <w:p w14:paraId="37F0C46A" w14:textId="434CC72A" w:rsidR="00A155FD" w:rsidRPr="00D61874" w:rsidRDefault="00A155FD" w:rsidP="005024FC">
      <w:pPr>
        <w:pStyle w:val="SNConsultation"/>
      </w:pPr>
      <w:r>
        <w:lastRenderedPageBreak/>
        <w:t xml:space="preserve">Gezien Verordening (EU) nr. 1333/2011 van de Commissie van 19 december 2011 tot vaststelling van handelsnormen voor bananen, voorschriften inzake de controle op de naleving van die handelsnormen en voorschriften betreffende de mededelingen in de sector bananen;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Gezien wet nr. 2020-105 van 10 februari 2020 inzake de strijd tegen afvalstoffen en voor de circulaire economie, en met name artikel 77;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Gezien het Milieuwetboek, met name artikel L. 541-15-10 daarvan;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Gezien Besluit nr. 55-1126 van 19 augustus 1955 tot uitvoering van artikel L. 214-1 van het Consumentenwetboek met betrekking tot de handel in groenten en fruit,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Gezien de opmerkingen die zijn gemaakt tijdens de openbare raadpleging tussen </w:t>
      </w:r>
      <w:r>
        <w:rPr>
          <w:highlight w:val="yellow"/>
        </w:rPr>
        <w:t>XX</w:t>
      </w:r>
      <w:r>
        <w:t xml:space="preserve"> december 2022 en </w:t>
      </w:r>
      <w:r>
        <w:rPr>
          <w:highlight w:val="yellow"/>
        </w:rPr>
        <w:t>XX</w:t>
      </w:r>
      <w:r>
        <w:t xml:space="preserve"> januari 2023, overeenkomstig artikel L. 123-19-1 van het Milieuwetboek,</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Besluit hierbij:</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Artikel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Deel 10 van hoofdstuk I van titel IV van boek V van het regelgevende gedeelte van het Milieuwetboek wordt aangevuld met een artikel D. 541-334 als volgt:</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“Artikel D. 541-334. – I.</w:t>
      </w:r>
      <w:r>
        <w:t xml:space="preserve"> — Voor de toepassing van paragraaf 16, III van artikel L. 541-15-10 zijn de volgende definities van toepassing: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1. “Fruit en groenten”: planten of delen daarvan, zoals stengels, wortels, knollen, bladeren, vruchten, zaden, bestemd voor menselijke consumptie, en eetbare paddenstoelen;</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“Onverwerkte verse groenten en fruit”: verse groenten en fruit waarvan de bereiding in overeenstemming is met de volgende grenswaarden: </w:t>
      </w:r>
    </w:p>
    <w:p w14:paraId="742076DE" w14:textId="77777777" w:rsidR="00FA2A1F" w:rsidRDefault="00FA2A1F" w:rsidP="005A05C8">
      <w:pPr>
        <w:ind w:firstLine="709"/>
        <w:jc w:val="both"/>
      </w:pPr>
    </w:p>
    <w:p w14:paraId="273AD17D" w14:textId="20721835" w:rsidR="005A05C8" w:rsidRDefault="005A05C8" w:rsidP="00FA2A1F">
      <w:pPr>
        <w:ind w:left="1134" w:hanging="425"/>
        <w:jc w:val="both"/>
      </w:pPr>
      <w:r>
        <w:t xml:space="preserve">- </w:t>
      </w:r>
      <w:r w:rsidR="001A186D">
        <w:tab/>
      </w:r>
      <w:r>
        <w:t xml:space="preserve">handelsnormen als bedoeld in Verordening (EC) nr. 543/2011 van de Commissie van 7 juni 2011 tot vaststelling van nadere bepalingen voor de toepassing van Verordening (EG) nr. 1234/2007 van de Raad, wat de sectoren groenten en fruit en verwerkte groenten en fruit betreft; </w:t>
      </w:r>
    </w:p>
    <w:p w14:paraId="4D8D69E8" w14:textId="54177335" w:rsidR="005A05C8" w:rsidRDefault="005A05C8" w:rsidP="00FA2A1F">
      <w:pPr>
        <w:ind w:left="1134" w:hanging="425"/>
        <w:jc w:val="both"/>
      </w:pPr>
      <w:r>
        <w:t xml:space="preserve">- </w:t>
      </w:r>
      <w:r w:rsidR="001A186D">
        <w:tab/>
      </w:r>
      <w:r>
        <w:t xml:space="preserve">handelsnormen als bedoeld in Uitvoeringsverordening (EU) nr. 1333/2011 van de Commissie van 19 december 2011 tot vaststelling van handelsnormen voor bananen, voorschriften voor de controle op de naleving van die handelsnormen en voorschriften betreffende de mededelingen in de sector bananen; </w:t>
      </w:r>
    </w:p>
    <w:p w14:paraId="2C33E934" w14:textId="22AB9CCF" w:rsidR="005A05C8" w:rsidRPr="005A05C8" w:rsidRDefault="005A05C8" w:rsidP="00FA2A1F">
      <w:pPr>
        <w:ind w:left="1134" w:hanging="425"/>
        <w:jc w:val="both"/>
      </w:pPr>
      <w:r>
        <w:t xml:space="preserve">- </w:t>
      </w:r>
      <w:r w:rsidR="001A186D">
        <w:tab/>
      </w:r>
      <w:r>
        <w:t xml:space="preserve">beschikkingen vastgesteld krachtens artikel 4 van Besluit nr. 55-1126 van 19 augustus 1955 tot uitvoering van artikel L. 214-1 van het Consumentenwetboek met betrekking tot de handel in groenten en fruit;”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“Verpakking”: een recipiënt, omhulsel of sluiting die de groenten en fruit geheel of gedeeltelijk afdekt om een verkoopeenheid aan de consument te vormen en om de presentatie ervan op het verkooppunt te waarborgen;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4. “Plastic materiaal”: materiaal zoals gedefinieerd in artikel D. 541-330 van het Milieuwetboek.</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lastRenderedPageBreak/>
        <w:t xml:space="preserve">II. – Groenten en fruit die een risico van bederf vertonen wanneer ze in bulk worden verkocht, bedoeld in tweede volzin van paragraaf 16, III van artikel L. 541-15-10 zijn: </w:t>
      </w:r>
    </w:p>
    <w:p w14:paraId="5AC6333E" w14:textId="77777777" w:rsidR="00341726" w:rsidRDefault="00341726" w:rsidP="00341726">
      <w:pPr>
        <w:jc w:val="both"/>
      </w:pPr>
    </w:p>
    <w:p w14:paraId="72EBB9D2" w14:textId="58BAFA17" w:rsidR="00341726" w:rsidRDefault="00341726" w:rsidP="00341726">
      <w:pPr>
        <w:jc w:val="both"/>
      </w:pPr>
      <w:r>
        <w:t>- veldsla, jonge scheuten, aromatische kruiden, eetbare bloemen, mungboon scheuten;</w:t>
      </w:r>
    </w:p>
    <w:p w14:paraId="5844973D" w14:textId="0E1EB7B9" w:rsidR="00341726" w:rsidRDefault="00341726" w:rsidP="00341726">
      <w:pPr>
        <w:jc w:val="both"/>
      </w:pPr>
      <w:r>
        <w:t>- gekiemde zaden;</w:t>
      </w:r>
    </w:p>
    <w:p w14:paraId="0BB479B0" w14:textId="7F458C47" w:rsidR="0016162C" w:rsidRDefault="009B5670" w:rsidP="0016162C">
      <w:pPr>
        <w:jc w:val="both"/>
      </w:pPr>
      <w:r>
        <w:t>- rijpe vruchten;</w:t>
      </w:r>
    </w:p>
    <w:p w14:paraId="6024C5B2" w14:textId="4B7CC75D" w:rsidR="00B12D5E" w:rsidRDefault="0016162C" w:rsidP="00341726">
      <w:pPr>
        <w:jc w:val="both"/>
      </w:pPr>
      <w:r>
        <w:t>- veenbessen, bosbessen, lampionplanten, blauwe bessen, frambozen, aardbeien, bramen, aalbessen, vlierbessen, surettes en kruisbessen, zwarte bessen en kiwi’s;</w:t>
      </w:r>
    </w:p>
    <w:p w14:paraId="5ED21BA4" w14:textId="68ABC03B" w:rsidR="00B12D5E" w:rsidRDefault="00B12D5E" w:rsidP="00B12D5E">
      <w:pPr>
        <w:jc w:val="both"/>
      </w:pPr>
      <w:r>
        <w:t> - andijvie;</w:t>
      </w:r>
    </w:p>
    <w:p w14:paraId="3D7B41BD" w14:textId="001F8026" w:rsidR="00B12D5E" w:rsidRDefault="009B5670" w:rsidP="00B12D5E">
      <w:pPr>
        <w:ind w:left="-5"/>
      </w:pPr>
      <w:r>
        <w:t>- paddenstoelen;</w:t>
      </w:r>
    </w:p>
    <w:p w14:paraId="3C95BD5D" w14:textId="56902FC7" w:rsidR="00B12D5E" w:rsidRDefault="009B5670" w:rsidP="00B12D5E">
      <w:pPr>
        <w:ind w:left="-5"/>
      </w:pPr>
      <w:r>
        <w:t>- kleine wortelen;</w:t>
      </w:r>
    </w:p>
    <w:p w14:paraId="578E5A1F" w14:textId="77777777" w:rsidR="00B12D5E" w:rsidRDefault="00B12D5E" w:rsidP="00B12D5E">
      <w:pPr>
        <w:ind w:left="-5"/>
      </w:pPr>
      <w:r>
        <w:t xml:space="preserve">- spinazie en zuring.”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Artikel 2</w:t>
      </w:r>
    </w:p>
    <w:p w14:paraId="683E9D53" w14:textId="77777777" w:rsidR="009C04CC" w:rsidRDefault="009C04CC" w:rsidP="00195C7C">
      <w:pPr>
        <w:ind w:firstLine="709"/>
        <w:jc w:val="both"/>
      </w:pPr>
    </w:p>
    <w:p w14:paraId="57BD3D37" w14:textId="2AAC4DD6" w:rsidR="00341726" w:rsidRDefault="009C04CC" w:rsidP="00341726">
      <w:pPr>
        <w:jc w:val="both"/>
      </w:pPr>
      <w:r>
        <w:t>Om de verwijdering van verpakkingsvoorraden mogelijk te maken, mogen de volgende groenten en fruit tot en met 31 december 2023 in verpakkingen die geheel of gedeeltelijk van kunststof zijn vervaardigd, worden aangeboden:</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geribbelde tomaten, langwerpige hartvormige tomaten, kersen- of cocktailtomaten (miniatuurvariëteiten); </w:t>
      </w:r>
    </w:p>
    <w:p w14:paraId="6FED6CDF" w14:textId="27E595B4" w:rsidR="00B12D5E" w:rsidRDefault="009B5670" w:rsidP="00B12D5E">
      <w:pPr>
        <w:pStyle w:val="ListParagraph"/>
        <w:numPr>
          <w:ilvl w:val="0"/>
          <w:numId w:val="23"/>
        </w:numPr>
      </w:pPr>
      <w:r>
        <w:t>asperges;</w:t>
      </w:r>
    </w:p>
    <w:p w14:paraId="027696F5" w14:textId="6354DDB6" w:rsidR="00B12D5E" w:rsidRDefault="00B12D5E" w:rsidP="00B12D5E">
      <w:pPr>
        <w:pStyle w:val="ListParagraph"/>
        <w:numPr>
          <w:ilvl w:val="0"/>
          <w:numId w:val="23"/>
        </w:numPr>
      </w:pPr>
      <w:r>
        <w:t>broccoli;</w:t>
      </w:r>
    </w:p>
    <w:p w14:paraId="1A89F6DE" w14:textId="068BB10A" w:rsidR="00B12D5E" w:rsidRDefault="00B12D5E" w:rsidP="00B12D5E">
      <w:pPr>
        <w:pStyle w:val="ListParagraph"/>
        <w:numPr>
          <w:ilvl w:val="0"/>
          <w:numId w:val="23"/>
        </w:numPr>
      </w:pPr>
      <w:r>
        <w:t>jonge aardappelen en jonge wortelen;</w:t>
      </w:r>
    </w:p>
    <w:p w14:paraId="39D06F87" w14:textId="15776A2D" w:rsidR="00B12D5E" w:rsidRDefault="009B5670" w:rsidP="00B12D5E">
      <w:pPr>
        <w:pStyle w:val="ListParagraph"/>
        <w:numPr>
          <w:ilvl w:val="0"/>
          <w:numId w:val="23"/>
        </w:numPr>
      </w:pPr>
      <w:r>
        <w:t>salade;</w:t>
      </w:r>
    </w:p>
    <w:p w14:paraId="79B57C4C" w14:textId="3F8C1E57" w:rsidR="00B12D5E" w:rsidRDefault="009B5670" w:rsidP="00341726">
      <w:pPr>
        <w:pStyle w:val="ListParagraph"/>
        <w:numPr>
          <w:ilvl w:val="0"/>
          <w:numId w:val="23"/>
        </w:numPr>
        <w:jc w:val="both"/>
      </w:pPr>
      <w:r>
        <w:t xml:space="preserve">jonge uien; </w:t>
      </w:r>
    </w:p>
    <w:p w14:paraId="1ECA92A8" w14:textId="1D34F630" w:rsidR="00B12D5E" w:rsidRDefault="009B5670" w:rsidP="00341726">
      <w:pPr>
        <w:pStyle w:val="ListParagraph"/>
        <w:numPr>
          <w:ilvl w:val="0"/>
          <w:numId w:val="23"/>
        </w:numPr>
        <w:jc w:val="both"/>
      </w:pPr>
      <w:r>
        <w:t>jonge rapen;</w:t>
      </w:r>
    </w:p>
    <w:p w14:paraId="44ADB8B6" w14:textId="77777777" w:rsidR="00B12D5E" w:rsidRDefault="00341726" w:rsidP="00341726">
      <w:pPr>
        <w:pStyle w:val="ListParagraph"/>
        <w:numPr>
          <w:ilvl w:val="0"/>
          <w:numId w:val="23"/>
        </w:numPr>
        <w:jc w:val="both"/>
      </w:pPr>
      <w:r>
        <w:t xml:space="preserve">spruiten, </w:t>
      </w:r>
    </w:p>
    <w:p w14:paraId="627CA519" w14:textId="0D26E63D" w:rsidR="00B12D5E" w:rsidRDefault="009B5670" w:rsidP="00341726">
      <w:pPr>
        <w:pStyle w:val="ListParagraph"/>
        <w:numPr>
          <w:ilvl w:val="0"/>
          <w:numId w:val="23"/>
        </w:numPr>
        <w:jc w:val="both"/>
      </w:pPr>
      <w:r>
        <w:t>groene bonen;</w:t>
      </w:r>
    </w:p>
    <w:p w14:paraId="3DBEF345" w14:textId="77777777" w:rsidR="00B12D5E" w:rsidRDefault="00B12D5E" w:rsidP="00B12D5E">
      <w:pPr>
        <w:pStyle w:val="ListParagraph"/>
        <w:numPr>
          <w:ilvl w:val="0"/>
          <w:numId w:val="23"/>
        </w:numPr>
        <w:jc w:val="both"/>
      </w:pPr>
      <w:r>
        <w:t>kersen;</w:t>
      </w:r>
    </w:p>
    <w:p w14:paraId="23F8FD80" w14:textId="5A9AD835" w:rsidR="00B12D5E" w:rsidRDefault="00341726" w:rsidP="00341726">
      <w:pPr>
        <w:pStyle w:val="ListParagraph"/>
        <w:numPr>
          <w:ilvl w:val="0"/>
          <w:numId w:val="23"/>
        </w:numPr>
        <w:jc w:val="both"/>
      </w:pPr>
      <w:r>
        <w:t>druiven;</w:t>
      </w:r>
    </w:p>
    <w:p w14:paraId="76FB16F4" w14:textId="4222A7F6" w:rsidR="00341726" w:rsidRDefault="00341726" w:rsidP="00341726">
      <w:pPr>
        <w:pStyle w:val="ListParagraph"/>
        <w:numPr>
          <w:ilvl w:val="0"/>
          <w:numId w:val="23"/>
        </w:numPr>
        <w:jc w:val="both"/>
      </w:pPr>
      <w:r>
        <w:t>perziken, nectarines en abrikozen.</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Artikel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De minister van Economische Zaken, Financiën en Industriële en Digitale Soevereiniteit, de minister van Landbouw en Voedselsoevereiniteit, de minister van Ecologische Transitie en Territoriale Cohesie en de Staatssecretaris van Ecologische Transitie en Territoriale Samenhang, belast met ecologie, zijn verantwoordelijk voor de tenuitvoerlegging van dit besluit, dat zal worden gepubliceerd in het </w:t>
      </w:r>
      <w:r>
        <w:rPr>
          <w:i/>
        </w:rPr>
        <w:t>Staatsblad</w:t>
      </w:r>
      <w:r>
        <w:t xml:space="preserve"> van de Franse Republiek.</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Gedaan op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65CF" w14:textId="77777777" w:rsidR="00DE3968" w:rsidRDefault="00DE3968" w:rsidP="00DA07F9">
      <w:r>
        <w:separator/>
      </w:r>
    </w:p>
  </w:endnote>
  <w:endnote w:type="continuationSeparator" w:id="0">
    <w:p w14:paraId="70CFECE3" w14:textId="77777777" w:rsidR="00DE3968" w:rsidRDefault="00DE3968"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3395" w14:textId="77777777" w:rsidR="00DE3968" w:rsidRDefault="00DE3968" w:rsidP="00DA07F9">
      <w:r>
        <w:separator/>
      </w:r>
    </w:p>
  </w:footnote>
  <w:footnote w:type="continuationSeparator" w:id="0">
    <w:p w14:paraId="14D54AE9" w14:textId="77777777" w:rsidR="00DE3968" w:rsidRDefault="00DE3968"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186D"/>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3968"/>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Dimitris Dimitriadis</cp:lastModifiedBy>
  <cp:revision>5</cp:revision>
  <cp:lastPrinted>2022-11-02T13:16:00Z</cp:lastPrinted>
  <dcterms:created xsi:type="dcterms:W3CDTF">2022-12-14T16:37:00Z</dcterms:created>
  <dcterms:modified xsi:type="dcterms:W3CDTF">2022-12-22T13:07:00Z</dcterms:modified>
</cp:coreProperties>
</file>