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3A5196DD" w:rsidR="00DF230E" w:rsidRDefault="00F85DA0" w:rsidP="00E66107">
      <w:pPr>
        <w:pStyle w:val="Titel"/>
        <w:tabs>
          <w:tab w:val="clear" w:pos="6804"/>
          <w:tab w:val="right" w:pos="7655"/>
        </w:tabs>
      </w:pPr>
      <w:r w:rsidRPr="00E66107">
        <w:rPr>
          <w:noProof/>
          <w:szCs w:val="36"/>
        </w:rPr>
        <mc:AlternateContent>
          <mc:Choice Requires="wps">
            <w:drawing>
              <wp:anchor distT="0" distB="0" distL="114300" distR="114300" simplePos="0" relativeHeight="251659265" behindDoc="0" locked="0" layoutInCell="1" allowOverlap="1" wp14:anchorId="438AC7CC" wp14:editId="59CBAC75">
                <wp:simplePos x="0" y="0"/>
                <wp:positionH relativeFrom="column">
                  <wp:posOffset>4022725</wp:posOffset>
                </wp:positionH>
                <wp:positionV relativeFrom="paragraph">
                  <wp:posOffset>156845</wp:posOffset>
                </wp:positionV>
                <wp:extent cx="1076325" cy="495300"/>
                <wp:effectExtent l="0" t="0" r="9525" b="0"/>
                <wp:wrapNone/>
                <wp:docPr id="799183960" name="Text Box 1"/>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ШВЕДСКА АГЕНЦИЯ ПО ТРАНСПОРТА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6.75pt;margin-top:12.35pt;width:84.7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ШВЕДСКА АГЕНЦИЯ ПО ТРАНСПОРТА</w:t>
                      </w:r>
                    </w:p>
                  </w:txbxContent>
                </v:textbox>
              </v:shape>
            </w:pict>
          </mc:Fallback>
        </mc:AlternateContent>
      </w:r>
      <w:r w:rsidRPr="00E66107">
        <w:rPr>
          <w:szCs w:val="36"/>
        </w:rPr>
        <w:t xml:space="preserve">Устав на Шведската </w:t>
      </w:r>
      <w:r w:rsidR="00E66107">
        <w:rPr>
          <w:szCs w:val="36"/>
        </w:rPr>
        <w:br/>
      </w:r>
      <w:r w:rsidRPr="00E66107">
        <w:rPr>
          <w:szCs w:val="36"/>
        </w:rPr>
        <w:t>агенция по транспорта</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Правилник</w:t>
      </w:r>
      <w:r>
        <w:br/>
        <w:t>за изменение на правилника и общото становище на Шведската агенция по транспорт (TSFS 2016:22) относно леките автомобили и ремаркетата, теглени от автомобили и пуснати в експлоатация на 1 юли 2010 г. или по-късно;</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336C80F0">
                <wp:simplePos x="0" y="0"/>
                <wp:positionH relativeFrom="page">
                  <wp:posOffset>4457700</wp:posOffset>
                </wp:positionH>
                <wp:positionV relativeFrom="page">
                  <wp:posOffset>2305050</wp:posOffset>
                </wp:positionV>
                <wp:extent cx="1483360" cy="15240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24000"/>
                        </a:xfrm>
                        <a:prstGeom prst="rect">
                          <a:avLst/>
                        </a:prstGeom>
                        <a:noFill/>
                        <a:ln w="9525">
                          <a:noFill/>
                          <a:miter lim="800000"/>
                          <a:headEnd/>
                          <a:tailEnd/>
                        </a:ln>
                      </wps:spPr>
                      <wps:txbx>
                        <w:txbxContent>
                          <w:p w14:paraId="570F4F7F" w14:textId="77777777" w:rsidR="00FC02EB" w:rsidRPr="0024789E" w:rsidRDefault="00E66107"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Година"/>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Публикувано</w:t>
                            </w:r>
                            <w:r>
                              <w:br/>
                              <w:t xml:space="preserve">на </w:t>
                            </w:r>
                            <w:sdt>
                              <w:sdtPr>
                                <w:alias w:val="Изберете дата"/>
                                <w:tag w:val="Utkom datum"/>
                                <w:id w:val="1764647152"/>
                                <w:showingPlcHdr/>
                                <w:dataBinding w:prefixMappings="xmlns:ns0='consensis-fs'" w:xpath="/ns0:root[1]/ns0:fs-fields[1]/ns0:fs-date[1]" w:storeItemID="{F222B965-9C48-4AC7-962E-E2AF3EEF1550}"/>
                                <w:date>
                                  <w:dateFormat w:val="d MMMM yyyy"/>
                                  <w:lid w:val="bg-BG"/>
                                  <w:storeMappedDataAs w:val="dateTime"/>
                                  <w:calendar w:val="gregorian"/>
                                </w:date>
                              </w:sdtPr>
                              <w:sdtEndPr/>
                              <w:sdtContent>
                                <w:r>
                                  <w:rPr>
                                    <w:rStyle w:val="PlaceholderText"/>
                                  </w:rPr>
                                  <w:t>[Изберете дата]</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ДВИЖЕНИЕ ПО ПЪТИЩАТА</w:t>
                                </w:r>
                              </w:p>
                            </w:sdtContent>
                          </w:sdt>
                          <w:p w14:paraId="55142639" w14:textId="77777777" w:rsidR="00FC02EB" w:rsidRPr="007C403E" w:rsidRDefault="00E66107" w:rsidP="007C403E">
                            <w:pPr>
                              <w:pStyle w:val="Underserie"/>
                              <w:rPr>
                                <w:bCs/>
                              </w:rPr>
                            </w:pPr>
                            <w:sdt>
                              <w:sdtPr>
                                <w:alias w:val="Въведете подсерия"/>
                                <w:tag w:val="Userie"/>
                                <w:id w:val="1607690029"/>
                                <w:showingPlcHdr/>
                                <w:dataBinding w:prefixMappings="xmlns:ns0='consensis-fs'" w:xpath="/ns0:root[1]/ns0:fs-fields[1]/ns0:fs-subseries[1]" w:storeItemID="{F222B965-9C48-4AC7-962E-E2AF3EEF1550}"/>
                                <w:text/>
                              </w:sdtPr>
                              <w:sdtEndPr/>
                              <w:sdtContent>
                                <w:r w:rsidR="00DA20BB">
                                  <w:rPr>
                                    <w:rStyle w:val="PlaceholderText"/>
                                  </w:rPr>
                                  <w:t>[Въведете подсерия]</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81.5pt;width:116.8pt;height:120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" filled="f" stroked="f">
                <v:textbox>
                  <w:txbxContent>
                    <w:p w14:paraId="570F4F7F" w14:textId="77777777" w:rsidR="00FC02EB" w:rsidRPr="0024789E" w:rsidRDefault="00E66107"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Година"/>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Публикувано</w:t>
                      </w:r>
                      <w:r>
                        <w:br/>
                        <w:t xml:space="preserve">на </w:t>
                      </w:r>
                      <w:sdt>
                        <w:sdtPr>
                          <w:alias w:val="Изберете дата"/>
                          <w:tag w:val="Utkom datum"/>
                          <w:id w:val="1764647152"/>
                          <w:showingPlcHdr/>
                          <w:dataBinding w:prefixMappings="xmlns:ns0='consensis-fs'" w:xpath="/ns0:root[1]/ns0:fs-fields[1]/ns0:fs-date[1]" w:storeItemID="{F222B965-9C48-4AC7-962E-E2AF3EEF1550}"/>
                          <w:date>
                            <w:dateFormat w:val="d MMMM yyyy"/>
                            <w:lid w:val="bg-BG"/>
                            <w:storeMappedDataAs w:val="dateTime"/>
                            <w:calendar w:val="gregorian"/>
                          </w:date>
                        </w:sdtPr>
                        <w:sdtEndPr/>
                        <w:sdtContent>
                          <w:r>
                            <w:rPr>
                              <w:rStyle w:val="PlaceholderText"/>
                            </w:rPr>
                            <w:t>[Изберете дата]</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ДВИЖЕНИЕ ПО ПЪТИЩАТА</w:t>
                          </w:r>
                        </w:p>
                      </w:sdtContent>
                    </w:sdt>
                    <w:p w14:paraId="55142639" w14:textId="77777777" w:rsidR="00FC02EB" w:rsidRPr="007C403E" w:rsidRDefault="00E66107" w:rsidP="007C403E">
                      <w:pPr>
                        <w:pStyle w:val="Underserie"/>
                        <w:rPr>
                          <w:bCs/>
                        </w:rPr>
                      </w:pPr>
                      <w:sdt>
                        <w:sdtPr>
                          <w:alias w:val="Въведете подсерия"/>
                          <w:tag w:val="Userie"/>
                          <w:id w:val="1607690029"/>
                          <w:showingPlcHdr/>
                          <w:dataBinding w:prefixMappings="xmlns:ns0='consensis-fs'" w:xpath="/ns0:root[1]/ns0:fs-fields[1]/ns0:fs-subseries[1]" w:storeItemID="{F222B965-9C48-4AC7-962E-E2AF3EEF1550}"/>
                          <w:text/>
                        </w:sdtPr>
                        <w:sdtEndPr/>
                        <w:sdtContent>
                          <w:r w:rsidR="00DA20BB">
                            <w:rPr>
                              <w:rStyle w:val="PlaceholderText"/>
                            </w:rPr>
                            <w:t>[Въведете подсерия]</w:t>
                          </w:r>
                        </w:sdtContent>
                      </w:sdt>
                    </w:p>
                  </w:txbxContent>
                </v:textbox>
                <w10:wrap anchorx="page" anchory="page"/>
                <w10:anchorlock/>
              </v:shape>
            </w:pict>
          </mc:Fallback>
        </mc:AlternateContent>
      </w:r>
      <w:r>
        <w:t xml:space="preserve">прието на </w:t>
      </w:r>
      <w:sdt>
        <w:sdtPr>
          <w:rPr>
            <w:szCs w:val="22"/>
          </w:rPr>
          <w:alias w:val="Изберете дата"/>
          <w:tag w:val="Välj ett datum"/>
          <w:id w:val="1438946608"/>
          <w:placeholder>
            <w:docPart w:val="E534B498335E4FF69B2409C76F31088A"/>
          </w:placeholder>
          <w:showingPlcHdr/>
          <w:date>
            <w:dateFormat w:val="d MMMM yyyy"/>
            <w:lid w:val="bg-BG"/>
            <w:storeMappedDataAs w:val="dateTime"/>
            <w:calendar w:val="gregorian"/>
          </w:date>
        </w:sdtPr>
        <w:sdtEndPr/>
        <w:sdtContent>
          <w:r>
            <w:rPr>
              <w:rStyle w:val="PlaceholderText"/>
            </w:rPr>
            <w:t>[Изберете дата]</w:t>
          </w:r>
        </w:sdtContent>
      </w:sdt>
      <w:r>
        <w:t>.</w:t>
      </w:r>
    </w:p>
    <w:p w14:paraId="010B2956" w14:textId="21A435C8" w:rsidR="00E43EE1" w:rsidRDefault="008F31FC" w:rsidP="00B72887">
      <w:pPr>
        <w:pStyle w:val="Styckemedindrag"/>
      </w:pPr>
      <w:r>
        <w:t>По силата на глава 8, раздел 16 от Наредбата за превозните средства (2009:211), Шведската транспортна агенция постановява,</w:t>
      </w:r>
      <w:r w:rsidR="00A21E13">
        <w:rPr>
          <w:rStyle w:val="FootnoteReference"/>
        </w:rPr>
        <w:footnoteReference w:id="2"/>
      </w:r>
      <w:r>
        <w:t xml:space="preserve"> че приложение 1 към Правилника и общите съвети на Агенцията (TSFS 2016:22) относно автомобили и ремаркета, теглени от автомобили и пуснати в експлоатация на 1 юли 2010 г. или по-късно, гласи следното.</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Настоящият устав влиза в сила на 1 октомври 2023 г.</w:t>
      </w:r>
    </w:p>
    <w:p w14:paraId="05C0A8CC" w14:textId="33ECB551" w:rsidR="00602C6F" w:rsidRDefault="00E4255A" w:rsidP="00E4255A">
      <w:pPr>
        <w:pStyle w:val="Beslutandeochfredragande"/>
      </w:pPr>
      <w:r>
        <w:t xml:space="preserve">От името на Шведската транспортна агенция </w:t>
      </w:r>
      <w:r>
        <w:br/>
      </w:r>
      <w:r>
        <w:br/>
        <w:t>JONAS BJELFVENSTAM</w:t>
      </w:r>
      <w:r>
        <w:br/>
      </w:r>
      <w:r w:rsidR="00754589">
        <w:tab/>
      </w:r>
      <w:r>
        <w:t>Elena Belkow</w:t>
      </w:r>
      <w:r>
        <w:br/>
      </w:r>
      <w:r w:rsidR="00754589">
        <w:tab/>
      </w:r>
      <w:r>
        <w:t>(Пътен и железопътен транспорт)</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Приложение 1. Изисквания за леки пътнически автомобили, автобуси, камиони и техните ремаркета</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Устройства за осветяване и светлинна сигнализация и тяхното монтиране </w:t>
      </w:r>
    </w:p>
    <w:p w14:paraId="110EEE08" w14:textId="77777777" w:rsidR="00F808A7" w:rsidRPr="00802803" w:rsidRDefault="00F808A7" w:rsidP="00F808A7">
      <w:pPr>
        <w:pStyle w:val="Stycke"/>
      </w:pPr>
      <w:r>
        <w:t>Превозното средство и ремаркето трябва да имат устройствата за осветяване и светлинна сигнализация, както е посочено в ред K1 или K2 в таблицата по-долу. Те трябва да бъдат монтирани така, че да съответстват на изискванията, посочени в ред K1 или K2 и ред K3-K7.</w:t>
      </w:r>
    </w:p>
    <w:p w14:paraId="04CE732A" w14:textId="77777777" w:rsidR="00F808A7" w:rsidRPr="00802803" w:rsidRDefault="00F808A7" w:rsidP="00F808A7">
      <w:pPr>
        <w:pStyle w:val="Styckemedindrag"/>
      </w:pPr>
      <w:r>
        <w:t>Автомобил от категория M</w:t>
      </w:r>
      <w:r>
        <w:rPr>
          <w:vertAlign w:val="subscript"/>
        </w:rPr>
        <w:t xml:space="preserve">1 </w:t>
      </w:r>
      <w:r>
        <w:t>, N</w:t>
      </w:r>
      <w:r>
        <w:rPr>
          <w:vertAlign w:val="subscript"/>
        </w:rPr>
        <w:t>1</w:t>
      </w:r>
      <w:r>
        <w:t xml:space="preserve"> и N</w:t>
      </w:r>
      <w:r>
        <w:rPr>
          <w:vertAlign w:val="subscript"/>
        </w:rPr>
        <w:t>2</w:t>
      </w:r>
      <w:r>
        <w:t xml:space="preserve"> с маса в натоварено състояние до 4536 kg, произведени в големи серии в или за трети държави, могат вместо това да отговарят на изискванията на ред Т1.</w:t>
      </w:r>
    </w:p>
    <w:p w14:paraId="7F24C5F4" w14:textId="77777777" w:rsidR="00F808A7" w:rsidRPr="00802803" w:rsidRDefault="00F808A7" w:rsidP="00F808A7">
      <w:pPr>
        <w:pStyle w:val="Styckemedindrag"/>
      </w:pPr>
      <w:r>
        <w:t>Ремарке от категория O</w:t>
      </w:r>
      <w:r>
        <w:rPr>
          <w:vertAlign w:val="subscript"/>
        </w:rPr>
        <w:t>3</w:t>
      </w:r>
      <w:r>
        <w:t xml:space="preserve"> и O</w:t>
      </w:r>
      <w:r>
        <w:rPr>
          <w:vertAlign w:val="subscript"/>
        </w:rPr>
        <w:t>4</w:t>
      </w:r>
      <w:r>
        <w:t xml:space="preserve"> не трябва да отговаря на изискванията по отношение на контурната маркировка в съответствие с ред К2.</w:t>
      </w:r>
    </w:p>
    <w:p w14:paraId="40CB2E95" w14:textId="77777777" w:rsidR="00F808A7" w:rsidRPr="00802803" w:rsidRDefault="00F808A7" w:rsidP="00F808A7">
      <w:pPr>
        <w:pStyle w:val="Styckemedindrag"/>
      </w:pPr>
      <w:r>
        <w:t>Кемпер, линейка, катафалка, бронирано превозно средство и подвижен кран на ЕО, в случаите, посочени в ред S1, не е необходимо да отговарят на всички изисквания на ред K1 или K2.</w:t>
      </w:r>
    </w:p>
    <w:p w14:paraId="4DC6D73B" w14:textId="77777777" w:rsidR="00F808A7" w:rsidRPr="00802803" w:rsidRDefault="00F808A7" w:rsidP="00F808A7">
      <w:pPr>
        <w:pStyle w:val="Styckemedindrag"/>
      </w:pPr>
      <w:r>
        <w:t>Кемперът, линейката и катафалката могат вместо това, в случаите, посочени в ред S2, да отговарят на изискванията, изброени там.</w:t>
      </w:r>
    </w:p>
    <w:p w14:paraId="603BC8C0" w14:textId="363F9792" w:rsidR="00F808A7" w:rsidRDefault="00F808A7" w:rsidP="007E0EC5">
      <w:pPr>
        <w:pStyle w:val="Styckemedindrag"/>
      </w:pPr>
      <w:r>
        <w:t>Автомобилът и ремаркето могат да бъдат оборудвани в съответствие с изискванията на ред U1—U11, независимо от изискванията на K1, K2 и T1.</w:t>
      </w:r>
    </w:p>
    <w:p w14:paraId="5E247C37" w14:textId="27AB0253" w:rsidR="00012970" w:rsidRDefault="00012970" w:rsidP="007E0EC5">
      <w:pPr>
        <w:pStyle w:val="StyckemedindragNDRAD"/>
      </w:pPr>
      <w:r>
        <w:t>Аварийните автомобили на полицейските органи могат да бъдат оборудвани в съответствие с изискванията на ред U12, независимо от изискванията на K1, K2 и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
        <w:gridCol w:w="1663"/>
        <w:gridCol w:w="1528"/>
        <w:gridCol w:w="1876"/>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Ред</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Разпоредби</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Прилагат се за превозни средства, пуснати в експлоатация</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Съответствие с изискванията на директива</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76/756/ЕИО</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изменена с директива</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97/28/ЕО</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01 юли 2010 г.—</w:t>
            </w:r>
          </w:p>
          <w:p w14:paraId="3B45EE3C" w14:textId="77777777" w:rsidR="00F808A7" w:rsidRPr="00802803" w:rsidRDefault="00F808A7" w:rsidP="00FC02EB">
            <w:pPr>
              <w:ind w:right="72"/>
              <w:rPr>
                <w:bCs/>
                <w:sz w:val="19"/>
                <w:szCs w:val="19"/>
              </w:rPr>
            </w:pPr>
            <w:r>
              <w:rPr>
                <w:sz w:val="19"/>
              </w:rPr>
              <w:t>09 юли 2011 г.</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2007/35/ЕО</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01 юли 2010 г.—</w:t>
            </w:r>
          </w:p>
          <w:p w14:paraId="3F14FBB5" w14:textId="77777777" w:rsidR="00F808A7" w:rsidRPr="00802803" w:rsidRDefault="00F808A7" w:rsidP="00FC02EB">
            <w:pPr>
              <w:ind w:right="72"/>
              <w:rPr>
                <w:bCs/>
                <w:sz w:val="19"/>
                <w:szCs w:val="19"/>
              </w:rPr>
            </w:pPr>
            <w:r>
              <w:rPr>
                <w:sz w:val="19"/>
              </w:rPr>
              <w:t>31 декември 2017 г.</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2008/89/ЕО</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01 юли 2010 г.—</w:t>
            </w:r>
          </w:p>
          <w:p w14:paraId="28458C32" w14:textId="77777777" w:rsidR="00F808A7" w:rsidRPr="00802803" w:rsidRDefault="00F808A7" w:rsidP="00FC02EB">
            <w:pPr>
              <w:ind w:right="72"/>
              <w:rPr>
                <w:bCs/>
                <w:sz w:val="19"/>
                <w:szCs w:val="19"/>
              </w:rPr>
            </w:pPr>
            <w:r>
              <w:rPr>
                <w:sz w:val="19"/>
              </w:rPr>
              <w:t>31 декември 2017 г.</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Отговаря на изискванията на</w:t>
            </w:r>
          </w:p>
        </w:tc>
        <w:tc>
          <w:tcPr>
            <w:tcW w:w="1378" w:type="pct"/>
            <w:tcBorders>
              <w:left w:val="single" w:sz="4" w:space="0" w:color="auto"/>
              <w:bottom w:val="single" w:sz="4" w:space="0" w:color="auto"/>
            </w:tcBorders>
            <w:shd w:val="clear" w:color="auto" w:fill="auto"/>
          </w:tcPr>
          <w:p w14:paraId="1A78F034" w14:textId="084130F9" w:rsidR="00F808A7" w:rsidRPr="00802803" w:rsidRDefault="00F808A7" w:rsidP="00F85DA0">
            <w:pPr>
              <w:ind w:right="72"/>
              <w:jc w:val="right"/>
              <w:rPr>
                <w:b/>
                <w:bCs/>
                <w:sz w:val="19"/>
                <w:szCs w:val="19"/>
              </w:rPr>
            </w:pPr>
            <w:r>
              <w:rPr>
                <w:b/>
                <w:sz w:val="19"/>
              </w:rPr>
              <w:t xml:space="preserve">Наредба 48 </w:t>
            </w:r>
            <w:r w:rsidR="00754589">
              <w:rPr>
                <w:b/>
                <w:sz w:val="19"/>
              </w:rPr>
              <w:br/>
            </w:r>
            <w:r>
              <w:rPr>
                <w:b/>
                <w:sz w:val="19"/>
              </w:rPr>
              <w:t xml:space="preserve">на </w:t>
            </w:r>
            <w:r w:rsidR="00754589">
              <w:rPr>
                <w:b/>
                <w:sz w:val="19"/>
              </w:rPr>
              <w:br/>
            </w:r>
            <w:r>
              <w:rPr>
                <w:b/>
                <w:sz w:val="19"/>
              </w:rPr>
              <w:t>ИКЕ</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серия от изменения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01 юли 2010 г.—</w:t>
            </w:r>
          </w:p>
          <w:p w14:paraId="18750CC3" w14:textId="77777777" w:rsidR="00F808A7" w:rsidRPr="00802803" w:rsidRDefault="00F808A7" w:rsidP="00FC02EB">
            <w:pPr>
              <w:ind w:right="72"/>
              <w:rPr>
                <w:bCs/>
                <w:sz w:val="19"/>
                <w:szCs w:val="19"/>
              </w:rPr>
            </w:pPr>
            <w:r>
              <w:rPr>
                <w:sz w:val="19"/>
              </w:rPr>
              <w:t>09 юли 2011 г.</w:t>
            </w:r>
          </w:p>
          <w:p w14:paraId="5D774637" w14:textId="77777777" w:rsidR="00F808A7" w:rsidRPr="00802803" w:rsidRDefault="00F808A7" w:rsidP="00FC02EB">
            <w:pPr>
              <w:ind w:right="72"/>
              <w:rPr>
                <w:bCs/>
                <w:sz w:val="19"/>
                <w:szCs w:val="19"/>
              </w:rPr>
            </w:pPr>
            <w:r>
              <w:rPr>
                <w:sz w:val="19"/>
              </w:rPr>
              <w:t>Ограничено до категория N</w:t>
            </w:r>
            <w:r>
              <w:rPr>
                <w:sz w:val="19"/>
                <w:vertAlign w:val="subscript"/>
              </w:rPr>
              <w:t>2</w:t>
            </w:r>
            <w:r>
              <w:rPr>
                <w:sz w:val="19"/>
              </w:rPr>
              <w:t xml:space="preserve"> &gt; 7500 kg, N</w:t>
            </w:r>
            <w:r>
              <w:rPr>
                <w:sz w:val="19"/>
                <w:vertAlign w:val="subscript"/>
              </w:rPr>
              <w:t>3</w:t>
            </w:r>
            <w:r>
              <w:rPr>
                <w:sz w:val="19"/>
              </w:rPr>
              <w:t>, O</w:t>
            </w:r>
            <w:r>
              <w:rPr>
                <w:sz w:val="19"/>
                <w:vertAlign w:val="subscript"/>
              </w:rPr>
              <w:t>3</w:t>
            </w:r>
            <w:r>
              <w:rPr>
                <w:sz w:val="19"/>
              </w:rPr>
              <w:t xml:space="preserve"> и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серия от изменения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01 юли 2010 г.</w:t>
            </w:r>
            <w:r>
              <w:rPr>
                <w:sz w:val="19"/>
              </w:rPr>
              <w:br/>
              <w:t>или по-късно</w:t>
            </w:r>
          </w:p>
          <w:p w14:paraId="5F0AE3FB" w14:textId="77777777" w:rsidR="00F808A7" w:rsidRPr="00802803" w:rsidRDefault="00F808A7" w:rsidP="00FC02EB">
            <w:pPr>
              <w:ind w:right="72"/>
              <w:rPr>
                <w:bCs/>
                <w:sz w:val="19"/>
                <w:szCs w:val="19"/>
                <w:vertAlign w:val="subscript"/>
              </w:rPr>
            </w:pPr>
            <w:r>
              <w:rPr>
                <w:sz w:val="19"/>
              </w:rPr>
              <w:t>Ограничено до категория M, N</w:t>
            </w:r>
            <w:r>
              <w:rPr>
                <w:sz w:val="19"/>
                <w:vertAlign w:val="subscript"/>
              </w:rPr>
              <w:t>1</w:t>
            </w:r>
            <w:r>
              <w:rPr>
                <w:sz w:val="19"/>
              </w:rPr>
              <w:t>, N</w:t>
            </w:r>
            <w:r>
              <w:rPr>
                <w:sz w:val="19"/>
                <w:vertAlign w:val="subscript"/>
              </w:rPr>
              <w:t xml:space="preserve">2 </w:t>
            </w:r>
            <w:r>
              <w:rPr>
                <w:sz w:val="19"/>
              </w:rPr>
              <w:t>≤ 7500 kg, O</w:t>
            </w:r>
            <w:r>
              <w:rPr>
                <w:sz w:val="19"/>
                <w:vertAlign w:val="subscript"/>
              </w:rPr>
              <w:t>1</w:t>
            </w:r>
            <w:r>
              <w:rPr>
                <w:sz w:val="19"/>
              </w:rPr>
              <w:t xml:space="preserve"> и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серия от изменения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01 юли 2010 г.</w:t>
            </w:r>
            <w:r>
              <w:rPr>
                <w:sz w:val="19"/>
              </w:rPr>
              <w:br/>
              <w:t>или по-късно</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серия от изменения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01 юли 2010 г.</w:t>
            </w:r>
            <w:r>
              <w:rPr>
                <w:sz w:val="19"/>
              </w:rPr>
              <w:br/>
              <w:t>или по-късно</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серия от изменения 05</w:t>
            </w:r>
          </w:p>
          <w:p w14:paraId="1FB931CF" w14:textId="77777777" w:rsidR="00F808A7" w:rsidRPr="00802803" w:rsidRDefault="00F808A7" w:rsidP="00FC02EB">
            <w:pPr>
              <w:spacing w:line="232" w:lineRule="exact"/>
              <w:jc w:val="right"/>
              <w:rPr>
                <w:sz w:val="19"/>
              </w:rPr>
            </w:pPr>
            <w:r>
              <w:rPr>
                <w:sz w:val="19"/>
              </w:rPr>
              <w:t>или последващи изменения</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 януари 2011 г.</w:t>
            </w:r>
            <w:r>
              <w:rPr>
                <w:sz w:val="19"/>
              </w:rPr>
              <w:br/>
              <w:t>или по-късно</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Фаровете, лампите, светлоотражателите и лампите с нажежаема жичка не могат да бъдат покрити с боя, независимо от цвета.</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Превозните средства не могат да имат фарове или светлини от какъвто и да е вид, освен посочените в тези или други правила, издадени от Шведската агенция по транспорта.</w:t>
            </w:r>
          </w:p>
          <w:p w14:paraId="0BDE9AB0" w14:textId="77777777" w:rsidR="00F808A7" w:rsidRPr="00802803" w:rsidRDefault="00F808A7" w:rsidP="00FC02EB">
            <w:pPr>
              <w:pStyle w:val="Styckemedindrag"/>
              <w:rPr>
                <w:i/>
              </w:rPr>
            </w:pPr>
            <w:r>
              <w:t>Превозните средства обаче могат да бъдат оборудвани с устройства за осветяване, които представляват незадължително осветително оборудване в съответствие с Правило № 48 на ИКЕ, при условие че устройствата са монтирани в съответствие с изискванията на регламента.</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Фаровете и светлините се разполагат по превозното средство по такъв начин, че светлината да не пречи на водача на превозното средство.</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На превозното средство не се допуска защита от счупване от камъни на задължителни светлини или задължителни фарове, ако защитата значително намалява светлината на фара или фара. Това важи и за защита от счупване от камъни, изработена от материал, който лесно се поврежда и по този начин намалява светлината на лампата или фара.</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lastRenderedPageBreak/>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Превозните средства може да нямат устройства, които могат да причинят смущаващи отражения или да заслепят друг водач.</w:t>
            </w:r>
          </w:p>
          <w:p w14:paraId="6A0836F4" w14:textId="77777777" w:rsidR="00F808A7" w:rsidRPr="00802803" w:rsidRDefault="00F808A7" w:rsidP="00FC02EB">
            <w:pPr>
              <w:pStyle w:val="Styckemedindrag"/>
              <w:rPr>
                <w:bCs/>
                <w:szCs w:val="19"/>
              </w:rPr>
            </w:pPr>
            <w:r>
              <w:t>Освен това превозните средства не трябва да имат устройство, което по време на пътуване може да показва преместващи се или движещи се изображения, текстове или еквиваленти, които са видими за участниците в движението извън превозното средство. Въпреки това автобусите по редовни линии могат, във връзка с автобусните спирки, да имат знаци за местоназначение, показващи промяна на информацията за движението.</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Превозното средство трябва да има устройства за осветяване и светлинна сигнализация, които отговарят на алтернативните технически изисквания, посочени в точка 20 от части I и II от допълнение 2 към приложение IV към Директива 2007/46/ЕО, във формулировката съгласно Регламент (ЕС) № 183/2011. За автомобил от категория N</w:t>
            </w:r>
            <w:r>
              <w:rPr>
                <w:vertAlign w:val="subscript"/>
              </w:rPr>
              <w:t xml:space="preserve">2 </w:t>
            </w:r>
            <w:r>
              <w:t>се прилагат същите изисквания, както и за автомобил от категория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Ако специалното използване на превозното средство прави невъзможно спазването на всички изисквания на ред К1 или К2, може да бъде предоставено освобождаване от изискванията, при условие че са монтирани всички задължителни осветителни устройства. В случай на кемпер, линейка, катафалка и бронирано превозно средство, геометричната видимост не трябва да бъде засегната.</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Лек автомобил с общо тегло над 2 500 kg и произведен от камион или автобус, може да отговаря на изискванията, приложими за основното превозно средство. Същото важи и за автобус, произведен от камион или лек автомобил.</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lastRenderedPageBreak/>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Не е необходимо превозните средства да отговарят на следните изисквания на Правило № 48 на ИКЕ и приложение 2 към Директива 76/756/ЕИО:</w:t>
            </w:r>
          </w:p>
          <w:p w14:paraId="0B6FFA58" w14:textId="77777777" w:rsidR="00F808A7" w:rsidRPr="00DC4B0A" w:rsidRDefault="00F808A7" w:rsidP="00FC02EB">
            <w:pPr>
              <w:pStyle w:val="Styckemedindrag"/>
            </w:pPr>
            <w:r>
              <w:t>1. 6.1.2. по отношение на ограничението до не повече от четири фара с дълга светлина.</w:t>
            </w:r>
          </w:p>
          <w:p w14:paraId="61E3C0AF" w14:textId="77777777" w:rsidR="00F808A7" w:rsidRPr="00DC4B0A" w:rsidRDefault="00F808A7" w:rsidP="00FC02EB">
            <w:pPr>
              <w:pStyle w:val="Styckemedindrag"/>
            </w:pPr>
            <w:r>
              <w:t>2. 6.1.9. (агрегираният максимален интензитет на гредите).</w:t>
            </w:r>
          </w:p>
          <w:p w14:paraId="7963D4AF" w14:textId="77777777" w:rsidR="00F808A7" w:rsidRPr="00DC4B0A" w:rsidRDefault="00F808A7" w:rsidP="00FC02EB">
            <w:pPr>
              <w:pStyle w:val="Styckemedindrag"/>
            </w:pPr>
            <w:r>
              <w:t>3. 6.10.2. по отношение на ограничението за не повече от две задни габаритни светлини. Въпреки това, броят на лампите трябва да бъде равен.</w:t>
            </w:r>
          </w:p>
          <w:p w14:paraId="05E338FC" w14:textId="77777777" w:rsidR="00F808A7" w:rsidRPr="00DC4B0A" w:rsidRDefault="00F808A7" w:rsidP="00FC02EB">
            <w:pPr>
              <w:pStyle w:val="Styckemedindrag"/>
            </w:pPr>
            <w:r>
              <w:t>4. 6.4.2. по отношение на ограничението до не повече от две светлини за заден ход. Броят на светещите светлини не може да надвишава четири.</w:t>
            </w:r>
          </w:p>
          <w:p w14:paraId="790DD550" w14:textId="77777777" w:rsidR="00F808A7" w:rsidRPr="00DC4B0A" w:rsidRDefault="00F808A7" w:rsidP="00FC02EB">
            <w:pPr>
              <w:pStyle w:val="Styckemedindrag"/>
            </w:pPr>
            <w:r>
              <w:t>5. 6.5.3. по отношение на ограничението до не повече от две задни пътепоказателни светлини от категория 2а или 2б. Броят на светлините не може да надвишава четири.</w:t>
            </w:r>
          </w:p>
          <w:p w14:paraId="22BD5FFE" w14:textId="77777777" w:rsidR="00F808A7" w:rsidRPr="00DC4B0A" w:rsidRDefault="00F808A7" w:rsidP="00FC02EB">
            <w:pPr>
              <w:pStyle w:val="Styckemedindrag"/>
            </w:pPr>
            <w:r>
              <w:t>6. 6.6.7.2. по отношение на ограничението до не повече от две стоп-светлини от категория S1 или S2. Броят на светлините не може да надвишава четири.</w:t>
            </w:r>
          </w:p>
          <w:p w14:paraId="5618458D" w14:textId="77777777" w:rsidR="00F808A7" w:rsidRPr="00802803" w:rsidRDefault="00F808A7" w:rsidP="00FC02EB">
            <w:pPr>
              <w:pStyle w:val="Styckemedindrag"/>
              <w:rPr>
                <w:szCs w:val="19"/>
              </w:rPr>
            </w:pPr>
            <w:r>
              <w:t>7. 6.9.2. по отношение на ограничението за не повече от две предни габаритни светлини. Броят на светлините не може да надвишава четири.</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Превозното средство може да има светлини, предназначени да се използват като допълнително осветление при работа в близост до превозното средство, известно като работно осветление, което излъчва бяла светлина. Прожекторите също се считат за работно осветление.</w:t>
            </w:r>
          </w:p>
          <w:p w14:paraId="7C92BB7C" w14:textId="77777777" w:rsidR="00F808A7" w:rsidRPr="00121825" w:rsidRDefault="00F808A7" w:rsidP="00FC02EB">
            <w:pPr>
              <w:pStyle w:val="Styckemedindrag"/>
              <w:rPr>
                <w:szCs w:val="19"/>
              </w:rPr>
            </w:pPr>
            <w:r>
              <w:t>Трябва да има индикаторна светлина, която свети в кехлибарно или червено, когато работното осветление е свързано, и светлината трябва да е видима от седалката на водача.</w:t>
            </w:r>
          </w:p>
          <w:p w14:paraId="242F9004" w14:textId="77777777" w:rsidR="00F808A7" w:rsidRPr="00254CD4" w:rsidRDefault="00F808A7" w:rsidP="00FC02EB">
            <w:pPr>
              <w:pStyle w:val="Styckemedindrag"/>
              <w:rPr>
                <w:szCs w:val="19"/>
              </w:rPr>
            </w:pPr>
            <w:r>
              <w:t>Осветлението трябва да бъде монтирано по такъв начин, че да не вибрира или променя положението по време на нормално шофиране.</w:t>
            </w:r>
          </w:p>
          <w:p w14:paraId="4FB4A89E" w14:textId="77777777" w:rsidR="00F808A7" w:rsidRPr="00121825" w:rsidRDefault="00F808A7" w:rsidP="00FC02EB">
            <w:pPr>
              <w:pStyle w:val="Styckemedindrag"/>
              <w:rPr>
                <w:szCs w:val="19"/>
              </w:rPr>
            </w:pPr>
            <w:r>
              <w:t>Работното осветление не трябва:</w:t>
            </w:r>
          </w:p>
          <w:p w14:paraId="60B593F5" w14:textId="77777777" w:rsidR="00F808A7" w:rsidRPr="00254CD4" w:rsidRDefault="00F808A7" w:rsidP="00FC02EB">
            <w:pPr>
              <w:pStyle w:val="Styckemedindrag"/>
              <w:rPr>
                <w:szCs w:val="19"/>
              </w:rPr>
            </w:pPr>
            <w:r>
              <w:t>1. да е групирано с други осветителни лампи или светлини;</w:t>
            </w:r>
          </w:p>
          <w:p w14:paraId="30FA00B0" w14:textId="77777777" w:rsidR="00F808A7" w:rsidRPr="00254CD4" w:rsidRDefault="00F808A7" w:rsidP="00FC02EB">
            <w:pPr>
              <w:pStyle w:val="Styckemedindrag"/>
              <w:rPr>
                <w:szCs w:val="19"/>
              </w:rPr>
            </w:pPr>
            <w:r>
              <w:t>2. да се комбинира с други осветителни лампи или светлини; и</w:t>
            </w:r>
          </w:p>
          <w:p w14:paraId="01F91BE2" w14:textId="77777777" w:rsidR="00F808A7" w:rsidRPr="00802803" w:rsidRDefault="00F808A7" w:rsidP="00FC02EB">
            <w:pPr>
              <w:pStyle w:val="Styckemedindrag"/>
              <w:rPr>
                <w:szCs w:val="19"/>
              </w:rPr>
            </w:pPr>
            <w:r>
              <w:t>3. да образува взаимно вградени осветителни лампи или светлини.</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Автобусите могат да имат светлини за осветяване на зоната извън обслужващите врати, известна като осветление за слизане, в непосредствена близост до обслужващите врати за пътници.</w:t>
            </w:r>
          </w:p>
          <w:p w14:paraId="762E573B" w14:textId="77777777" w:rsidR="00F808A7" w:rsidRPr="00802803" w:rsidRDefault="00F808A7" w:rsidP="00FC02EB">
            <w:pPr>
              <w:pStyle w:val="Styckemedindrag"/>
            </w:pPr>
            <w:r>
              <w:t>Разположението по височина на осветлението при слизане трябва да бъде най-малко 2000 mm.</w:t>
            </w:r>
          </w:p>
          <w:p w14:paraId="6AD55676" w14:textId="77777777" w:rsidR="00F808A7" w:rsidRPr="00802803" w:rsidRDefault="00F808A7" w:rsidP="00FC02EB">
            <w:pPr>
              <w:pStyle w:val="Styckemedindrag"/>
              <w:rPr>
                <w:szCs w:val="19"/>
              </w:rPr>
            </w:pPr>
            <w:r>
              <w:t>Осветлението за слизане не трябва да излиза на повече от 50 mm извън най-широката ширина на каросерията.</w:t>
            </w:r>
          </w:p>
          <w:p w14:paraId="1562D997" w14:textId="77777777" w:rsidR="00F808A7" w:rsidRPr="00802803" w:rsidRDefault="00F808A7" w:rsidP="00FC02EB">
            <w:pPr>
              <w:pStyle w:val="Styckemedindrag"/>
              <w:rPr>
                <w:szCs w:val="19"/>
              </w:rPr>
            </w:pPr>
            <w:r>
              <w:t>Осветлението за слизане трябва да бъде настроено и екранирано по такъв начин, че да не излъчва светлина, която може да заслепи другите участници в движението в зоната извън радиус от 10 метра от лампата.</w:t>
            </w:r>
          </w:p>
          <w:p w14:paraId="0C423EEA" w14:textId="77777777" w:rsidR="00F808A7" w:rsidRPr="00802803" w:rsidRDefault="00F808A7" w:rsidP="00FC02EB">
            <w:pPr>
              <w:pStyle w:val="Styckemedindrag"/>
              <w:rPr>
                <w:szCs w:val="19"/>
              </w:rPr>
            </w:pPr>
            <w:r>
              <w:t>Осветлението трябва да бъде монтирано по такъв начин, че да не вибрира или променя положението по време на нормално шофиране.</w:t>
            </w:r>
          </w:p>
          <w:p w14:paraId="64744E4E" w14:textId="77777777" w:rsidR="00F808A7" w:rsidRDefault="00F808A7" w:rsidP="00FC02EB">
            <w:pPr>
              <w:pStyle w:val="Styckemedindrag"/>
            </w:pPr>
            <w:r>
              <w:t>Осветлението за слизане не трябва:</w:t>
            </w:r>
          </w:p>
          <w:p w14:paraId="5CECE21F" w14:textId="77777777" w:rsidR="00F808A7" w:rsidRPr="00DC4B0A" w:rsidRDefault="00F808A7" w:rsidP="00FC02EB">
            <w:pPr>
              <w:pStyle w:val="Styckemedindrag"/>
              <w:rPr>
                <w:szCs w:val="19"/>
              </w:rPr>
            </w:pPr>
            <w:r>
              <w:t>1. да е групирано с други осветителни лампи или светлини;</w:t>
            </w:r>
          </w:p>
          <w:p w14:paraId="06ABACA9" w14:textId="77777777" w:rsidR="00F808A7" w:rsidRPr="00DC4B0A" w:rsidRDefault="00F808A7" w:rsidP="00FC02EB">
            <w:pPr>
              <w:pStyle w:val="Styckemedindrag"/>
              <w:rPr>
                <w:szCs w:val="19"/>
              </w:rPr>
            </w:pPr>
            <w:r>
              <w:t>2. да се комбинира с други осветителни лампи или светлини; и</w:t>
            </w:r>
          </w:p>
          <w:p w14:paraId="030B8A5E" w14:textId="77777777" w:rsidR="00F808A7" w:rsidRPr="00121825" w:rsidRDefault="00F808A7" w:rsidP="00FC02EB">
            <w:pPr>
              <w:pStyle w:val="Styckemedindrag"/>
              <w:rPr>
                <w:szCs w:val="19"/>
              </w:rPr>
            </w:pPr>
            <w:r>
              <w:t>3. да образува взаимно вградени осветителни лампи или светлини.</w:t>
            </w:r>
          </w:p>
          <w:p w14:paraId="6CC7E9C0" w14:textId="77777777" w:rsidR="00F808A7" w:rsidRPr="00802803" w:rsidRDefault="00F808A7" w:rsidP="00FC02EB">
            <w:pPr>
              <w:pStyle w:val="Styckemedindrag"/>
            </w:pPr>
            <w:r>
              <w:t>Осветлението за слизане трябва да бъде свързано към електрическата система на превозното средство така, че да може да се включва само във връзка с отварянето на обслужващите врати за пътници и да не може да свети, когато превозното средство е достигнало скорост от 5 km/h или по-висока.</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Превозните средства, които поради използването си са оборудвани с оборудване, което прикрива фаровете за къси светлини, могат да бъдат оборудвани с четири фара за къси светлини. Това е при условие, че фаровете са свързани по такъв начин, че и двете двойки да не могат да се включват едновременно.</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Автомобилите, използвани като таксита, могат да бъдат оборудвани с лампа, която показва зелена светлина напред (предназначена да сигнализира, че таксито свободно).</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Полицейските превозни средства могат да бъдат оборудвани със светлини, използвани за полицейски сигнал Р11 — отбиване и спиране пред полицейското превозно средство — съгласно глава 7, раздел 2 от Наредбата за пътните знаци (2007:90), показващи синя и червена светлина.</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Допълнителните светлоотражатели на аварийно превозно средство могат да показват бяла светлина назад.</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lastRenderedPageBreak/>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Камион от категория N</w:t>
            </w:r>
            <w:r>
              <w:rPr>
                <w:vertAlign w:val="subscript"/>
              </w:rPr>
              <w:t xml:space="preserve">2 </w:t>
            </w:r>
            <w:r>
              <w:t>и N</w:t>
            </w:r>
            <w:r>
              <w:rPr>
                <w:vertAlign w:val="subscript"/>
              </w:rPr>
              <w:t>3</w:t>
            </w:r>
            <w:r>
              <w:t xml:space="preserve"> и ремарке от категория O</w:t>
            </w:r>
            <w:r>
              <w:rPr>
                <w:vertAlign w:val="subscript"/>
              </w:rPr>
              <w:t>3</w:t>
            </w:r>
            <w:r>
              <w:t xml:space="preserve"> и O</w:t>
            </w:r>
            <w:r>
              <w:rPr>
                <w:vertAlign w:val="subscript"/>
              </w:rPr>
              <w:t>4</w:t>
            </w:r>
            <w:r>
              <w:t xml:space="preserve"> могат да бъдат оборудвани със знаци, показващи тежкотоварни или дълги превозни средства. Знаците трябва да бъдат типово одобрени и монтирани в съответствие с Правило № 70 на ИКЕ.</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Разпоредбите относно изключенията за знаците на водачите на учебни превозни средства, използвани от училищата за управление на моторни превозни средства, се съдържат в раздел 6 от Правилника на Шведската агенция по транспорт (TSFS 2010:81) относно знаците за обучение на учащите се и водачите и надзора на практиките за управление на МПС в училищата за управление на моторни превозни средства.</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На превозно средство за пътна помощ може да има допълнителна габаритна светлина, стоп-светлина и пътепоказателна светлина от всяка страна, отзад, която е в непосредствена близост до задната стена на кабина на превозното средство. Разположението на светлините може да се различава от разстоянието, необходимо на превозното средство да има ясно видимо осветление отзад по време на възстановителните работи.</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Ремарке с височина до 1,4 метра не е необходимо да бъде оборудвано със светлини за обозначаване на най-външния габарит. Това важи и за автомобил с височина до 1,4 метра, изчислена отзад до задната стена на кабина.</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Полицейските превозни средства за спешна помощ могат да бъдат оборудвани с лампи, излъчващи постоянна, слаба синя светлина. Интензитетът трябва да е толкова нисък, че светлината да не може да се обърка със синята светлина от аларменото устройство на превозното средство. Светлината не трябва да бъде ослепителна или силата ѝ да може да се намалява.</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Светлоотражатели</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2B889790" w:rsidR="00FC02EB" w:rsidRDefault="00FC02EB" w:rsidP="00D104F7">
                          <w:pPr>
                            <w:pStyle w:val="FSnr-sidhuvud"/>
                            <w:ind w:left="0" w:right="0"/>
                          </w:pPr>
                          <w:r>
                            <w:fldChar w:fldCharType="begin"/>
                          </w:r>
                          <w:r>
                            <w:instrText xml:space="preserve"> STYLEREF  FS-nr  \* MERGEFORMAT </w:instrText>
                          </w:r>
                          <w:r>
                            <w:fldChar w:fldCharType="separate"/>
                          </w:r>
                          <w:r w:rsidR="00E66107">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2B889790" w:rsidR="00FC02EB" w:rsidRDefault="00FC02EB" w:rsidP="00D104F7">
                    <w:pPr>
                      <w:pStyle w:val="FSnr-sidhuvud"/>
                      <w:ind w:left="0" w:right="0"/>
                    </w:pPr>
                    <w:r>
                      <w:fldChar w:fldCharType="begin"/>
                    </w:r>
                    <w:r>
                      <w:instrText xml:space="preserve"> STYLEREF  FS-nr  \* MERGEFORMAT </w:instrText>
                    </w:r>
                    <w:r>
                      <w:fldChar w:fldCharType="separate"/>
                    </w:r>
                    <w:r w:rsidR="00E66107">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Вж. Директива (ЕС) 2015/1535 на Европейския парламент</w:t>
      </w:r>
      <w:r>
        <w:rPr>
          <w:i/>
        </w:rPr>
        <w:t xml:space="preserve"> </w:t>
      </w:r>
      <w:r>
        <w:t>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E66107" w:rsidP="00641EF3">
    <w:pPr>
      <w:pStyle w:val="FSnr-sidhuvud"/>
      <w:ind w:left="3345" w:firstLine="1871"/>
    </w:pPr>
    <w:sdt>
      <w:sdtPr>
        <w:alias w:val="Устав"/>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Приложение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E66107" w:rsidP="00A41C32">
    <w:pPr>
      <w:pStyle w:val="FSnr-sidhuvud"/>
      <w:jc w:val="right"/>
    </w:pPr>
    <w:sdt>
      <w:sdtPr>
        <w:alias w:val="Устав"/>
        <w:id w:val="1150257239"/>
        <w:text/>
      </w:sdtPr>
      <w:sdtEndPr/>
      <w:sdtContent>
        <w:r w:rsidR="00DA20BB">
          <w:t>TSFS 20</w:t>
        </w:r>
      </w:sdtContent>
    </w:sdt>
    <w:sdt>
      <w:sdtPr>
        <w:alias w:val="Година"/>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589"/>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6107"/>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bg-BG"/>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bg-BG"/>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bg-BG"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[Изберете 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consensis-fs">
  <fs-fields>
    <fs-no-prefix/>
    <fs-year>23</fs-year>
    <fs-no>XX</fs-no>
    <fs-date/>
    <fs-series>ДВИЖЕНИЕ ПО ПЪТИЩАТА</fs-series>
    <fs-subseries/>
    <fs-heading/>
  </fs-fields>
</root>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6.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8</TotalTime>
  <Pages>8</Pages>
  <Words>1706</Words>
  <Characters>9395</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