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292D" w14:textId="77777777" w:rsidR="00A2416E" w:rsidRDefault="00534832" w:rsidP="00581354">
      <w:pPr>
        <w:spacing w:before="92" w:line="220" w:lineRule="auto"/>
        <w:ind w:left="400" w:right="3390"/>
        <w:rPr>
          <w:b/>
          <w:sz w:val="36"/>
        </w:rPr>
      </w:pPr>
      <w:bookmarkStart w:id="0" w:name="Inledande_bestämmelser_och_definitioner"/>
      <w:bookmarkEnd w:id="0"/>
      <w:r>
        <w:rPr>
          <w:b/>
          <w:sz w:val="36"/>
        </w:rPr>
        <w:t>Zbirka predpisov Švedske agencije za energijo</w:t>
      </w:r>
    </w:p>
    <w:p w14:paraId="1BBE65D2" w14:textId="77777777" w:rsidR="00F107C4" w:rsidRDefault="00016DD9" w:rsidP="00F107C4">
      <w:pPr>
        <w:spacing w:before="240" w:after="40"/>
        <w:ind w:left="403" w:right="2948"/>
        <w:rPr>
          <w:sz w:val="16"/>
        </w:rPr>
      </w:pPr>
      <w:r>
        <w:pict w14:anchorId="18D320B1">
          <v:shape id="_x0000_s1028" style="position:absolute;left:0;text-align:left;margin-left:51pt;margin-top:29.9pt;width:380.35pt;height:.1pt;z-index:-251658240;mso-wrap-distance-left:0;mso-wrap-distance-right:0;mso-position-horizontal-relative:page" coordorigin="1020,598" coordsize="7607,0" path="m1020,598r7607,e" filled="f" strokeweight=".34994mm">
            <v:path arrowok="t"/>
            <w10:wrap type="topAndBottom" anchorx="page"/>
          </v:shape>
        </w:pict>
      </w:r>
      <w:r w:rsidR="00581354">
        <w:t>Objavil</w:t>
      </w:r>
      <w:r w:rsidR="00581354">
        <w:rPr>
          <w:sz w:val="16"/>
        </w:rPr>
        <w:t xml:space="preserve">: Rikard Janson (glavni pravnik) </w:t>
      </w:r>
    </w:p>
    <w:p w14:paraId="347D5EC4" w14:textId="071A6C6E" w:rsidR="00A2416E" w:rsidRDefault="00581354" w:rsidP="00F107C4">
      <w:pPr>
        <w:spacing w:before="40" w:after="40"/>
        <w:ind w:left="403" w:right="2948"/>
        <w:rPr>
          <w:sz w:val="16"/>
        </w:rPr>
      </w:pPr>
      <w:r>
        <w:rPr>
          <w:sz w:val="16"/>
        </w:rPr>
        <w:t>ISSN 1650-7703</w:t>
      </w:r>
    </w:p>
    <w:p w14:paraId="48A9609E" w14:textId="77777777" w:rsidR="00A2416E" w:rsidRDefault="00A2416E">
      <w:pPr>
        <w:pStyle w:val="Brdtext"/>
        <w:spacing w:before="1"/>
        <w:rPr>
          <w:sz w:val="13"/>
        </w:rPr>
      </w:pPr>
    </w:p>
    <w:p w14:paraId="24EC6EF5" w14:textId="77777777" w:rsidR="00A2416E" w:rsidRDefault="00A2416E">
      <w:pPr>
        <w:rPr>
          <w:sz w:val="13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D697384" w14:textId="77777777" w:rsidR="00A2416E" w:rsidRDefault="00534832">
      <w:pPr>
        <w:pStyle w:val="Rubrik1"/>
        <w:spacing w:before="103" w:line="225" w:lineRule="auto"/>
        <w:ind w:left="400"/>
      </w:pPr>
      <w:r>
        <w:t>Predpisi o spremembi Predpisov Švedske agencije za energijo (STEMFS 2017:3) o poročanju in izračunih v skladu z Zakonom o gorivu,</w:t>
      </w:r>
    </w:p>
    <w:p w14:paraId="71813F81" w14:textId="77777777" w:rsidR="00A2416E" w:rsidRDefault="00534832">
      <w:pPr>
        <w:pStyle w:val="Brdtext"/>
        <w:spacing w:before="188"/>
        <w:ind w:left="400"/>
        <w:jc w:val="both"/>
      </w:pPr>
      <w:r>
        <w:t>sprejeti dne 20. januarja 2021.</w:t>
      </w:r>
    </w:p>
    <w:p w14:paraId="066E2CAE" w14:textId="77777777" w:rsidR="00A2416E" w:rsidRDefault="00A2416E">
      <w:pPr>
        <w:pStyle w:val="Brdtext"/>
        <w:spacing w:before="6"/>
        <w:rPr>
          <w:sz w:val="17"/>
        </w:rPr>
      </w:pPr>
    </w:p>
    <w:p w14:paraId="4BB4C994" w14:textId="77777777" w:rsidR="00A2416E" w:rsidRDefault="00534832">
      <w:pPr>
        <w:pStyle w:val="Brdtext"/>
        <w:spacing w:line="273" w:lineRule="auto"/>
        <w:ind w:left="400"/>
        <w:jc w:val="both"/>
      </w:pPr>
      <w:r>
        <w:t>V skladu z oddelkom 13 Odloka o gorivu (2011:346) Švedska agencija za energijo določa</w:t>
      </w:r>
      <w:r>
        <w:rPr>
          <w:sz w:val="11"/>
        </w:rPr>
        <w:t xml:space="preserve">1 </w:t>
      </w:r>
      <w:r>
        <w:t>, da se Predpisi Švedske agencije za energijo o poročanju in izračunih v skladu z Zakonom o gorivu spremenijo in glasijo:</w:t>
      </w:r>
    </w:p>
    <w:p w14:paraId="71A61FB5" w14:textId="77777777" w:rsidR="00A2416E" w:rsidRDefault="00534832">
      <w:pPr>
        <w:pStyle w:val="Brdtext"/>
        <w:spacing w:before="173" w:line="398" w:lineRule="auto"/>
        <w:ind w:left="400" w:right="1681"/>
        <w:jc w:val="both"/>
      </w:pPr>
      <w:r>
        <w:t>uvede se nov oddelek 12a ter dopolni šest oddelkov: 2, 4–7, 12, 13 in 16, ki se glasijo, kot sledi.</w:t>
      </w:r>
    </w:p>
    <w:p w14:paraId="0D1B6701" w14:textId="77777777" w:rsidR="00A2416E" w:rsidRDefault="00A2416E">
      <w:pPr>
        <w:pStyle w:val="Brdtext"/>
        <w:spacing w:before="6"/>
        <w:rPr>
          <w:sz w:val="16"/>
        </w:rPr>
      </w:pPr>
    </w:p>
    <w:p w14:paraId="6F4B5BC4" w14:textId="77777777" w:rsidR="00A2416E" w:rsidRDefault="00534832">
      <w:pPr>
        <w:pStyle w:val="Rubrik2"/>
        <w:spacing w:before="0"/>
        <w:ind w:left="400"/>
        <w:jc w:val="both"/>
      </w:pPr>
      <w:r>
        <w:t>Predhodne določbe in opredelitve pojmov</w:t>
      </w:r>
    </w:p>
    <w:p w14:paraId="390C5634" w14:textId="77777777" w:rsidR="00A2416E" w:rsidRDefault="00534832">
      <w:pPr>
        <w:pStyle w:val="Brdtext"/>
        <w:spacing w:before="140" w:line="273" w:lineRule="auto"/>
        <w:ind w:left="400"/>
        <w:jc w:val="both"/>
      </w:pPr>
      <w:r>
        <w:rPr>
          <w:b/>
        </w:rPr>
        <w:t>Oddelek 2</w:t>
      </w:r>
      <w:r>
        <w:t xml:space="preserve"> Pojmi in izrazi v teh predpisih se uporabljajo enako, kot so uporabljeni v Zakonu o gorivu (2011:319) in Odloku o gorivu (2011:346). Naslednji pojmi so uporabljeni na tukaj naveden način:</w:t>
      </w:r>
    </w:p>
    <w:p w14:paraId="2953E73A" w14:textId="77777777" w:rsidR="00A2416E" w:rsidRDefault="00534832">
      <w:pPr>
        <w:spacing w:before="3" w:line="364" w:lineRule="exact"/>
        <w:ind w:left="400" w:right="-11"/>
        <w:rPr>
          <w:sz w:val="19"/>
        </w:rPr>
      </w:pPr>
      <w:r>
        <w:rPr>
          <w:i/>
          <w:sz w:val="19"/>
        </w:rPr>
        <w:t>biosestavina</w:t>
      </w:r>
      <w:r>
        <w:rPr>
          <w:sz w:val="19"/>
        </w:rPr>
        <w:t xml:space="preserve">: sestavina goriva, ustvarjena iz biomase; </w:t>
      </w:r>
      <w:r>
        <w:rPr>
          <w:i/>
          <w:sz w:val="19"/>
        </w:rPr>
        <w:t>fosilna sestavina</w:t>
      </w:r>
      <w:r>
        <w:rPr>
          <w:sz w:val="19"/>
        </w:rPr>
        <w:t xml:space="preserve">: sestavina goriva mineralnega izvora; </w:t>
      </w:r>
      <w:r>
        <w:rPr>
          <w:i/>
          <w:sz w:val="19"/>
        </w:rPr>
        <w:t>vrsta goriva</w:t>
      </w:r>
      <w:r>
        <w:rPr>
          <w:sz w:val="19"/>
        </w:rPr>
        <w:t>: gorivo, ki je v skladu z določeno razvrstitvijo v skladu</w:t>
      </w:r>
    </w:p>
    <w:p w14:paraId="12DA69D9" w14:textId="77777777" w:rsidR="00A2416E" w:rsidRDefault="00534832">
      <w:pPr>
        <w:pStyle w:val="Brdtext"/>
        <w:spacing w:line="273" w:lineRule="auto"/>
        <w:ind w:left="400"/>
        <w:jc w:val="both"/>
      </w:pPr>
      <w:r>
        <w:t>z oddelki 3 do 15 Zakona o gorivu (2011: 319) ali v skladu z določenimi nacionalnimi ali mednarodnimi standardi za goriva, druga goriva, ki niso v skladu z razvrstitvijo ali standardi, in električna energija, uporabljena kot gorivo;</w:t>
      </w:r>
    </w:p>
    <w:p w14:paraId="601B7223" w14:textId="77777777" w:rsidR="00A2416E" w:rsidRDefault="00534832">
      <w:pPr>
        <w:pStyle w:val="Brdtext"/>
        <w:spacing w:before="114" w:line="273" w:lineRule="auto"/>
        <w:ind w:left="400"/>
        <w:jc w:val="both"/>
      </w:pPr>
      <w:r>
        <w:rPr>
          <w:i/>
        </w:rPr>
        <w:t>proizvod:</w:t>
      </w:r>
      <w:r>
        <w:t xml:space="preserve"> tržni proizvod zadevne vrste goriva. V primerih, v katerih dobavitelj trži več različnih gorivnih proizvodov, ki so v skladu z neko specifikacijo ali standardom, se o proizvodih poroča ločeno z zadevnimi imeni proizvodov;</w:t>
      </w:r>
    </w:p>
    <w:p w14:paraId="17F68D6C" w14:textId="77777777" w:rsidR="00A2416E" w:rsidRDefault="00534832">
      <w:pPr>
        <w:pStyle w:val="Brdtext"/>
        <w:spacing w:before="118" w:line="273" w:lineRule="auto"/>
        <w:ind w:left="400"/>
        <w:jc w:val="both"/>
      </w:pPr>
      <w:r>
        <w:rPr>
          <w:i/>
        </w:rPr>
        <w:t>zmanjšanje emisij pri viru:</w:t>
      </w:r>
      <w:r>
        <w:t xml:space="preserve"> ukrep za zmanjšanje emisij toplogrednih plinov, ki je izveden pred obdelavo surovine v rafineriji ali drugem obratu za proizvodnjo sestavine fosilnega goriva.</w:t>
      </w:r>
    </w:p>
    <w:p w14:paraId="689C2081" w14:textId="77777777" w:rsidR="00A2416E" w:rsidRDefault="00534832">
      <w:pPr>
        <w:spacing w:before="107" w:line="225" w:lineRule="auto"/>
        <w:ind w:left="252" w:right="476"/>
        <w:rPr>
          <w:b/>
          <w:sz w:val="24"/>
        </w:rPr>
      </w:pPr>
      <w:r>
        <w:br w:type="column"/>
      </w:r>
      <w:r>
        <w:rPr>
          <w:b/>
          <w:sz w:val="24"/>
        </w:rPr>
        <w:t>STEMFS 2021:2</w:t>
      </w:r>
    </w:p>
    <w:p w14:paraId="4897DE83" w14:textId="77777777" w:rsidR="00A2416E" w:rsidRDefault="00534832">
      <w:pPr>
        <w:spacing w:before="60" w:line="256" w:lineRule="auto"/>
        <w:ind w:left="252" w:right="101"/>
        <w:rPr>
          <w:sz w:val="17"/>
        </w:rPr>
      </w:pPr>
      <w:r>
        <w:rPr>
          <w:sz w:val="17"/>
        </w:rPr>
        <w:t>Objavljeno dne 2. februarja 2021</w:t>
      </w:r>
    </w:p>
    <w:p w14:paraId="054025C7" w14:textId="77777777" w:rsidR="00A2416E" w:rsidRDefault="00A2416E">
      <w:pPr>
        <w:spacing w:line="256" w:lineRule="auto"/>
        <w:rPr>
          <w:sz w:val="17"/>
        </w:rPr>
        <w:sectPr w:rsidR="00A2416E">
          <w:type w:val="continuous"/>
          <w:pgSz w:w="9360" w:h="13720"/>
          <w:pgMar w:top="900" w:right="580" w:bottom="280" w:left="620" w:header="720" w:footer="720" w:gutter="0"/>
          <w:cols w:num="2" w:space="720" w:equalWidth="0">
            <w:col w:w="6411" w:space="40"/>
            <w:col w:w="1709"/>
          </w:cols>
        </w:sectPr>
      </w:pPr>
    </w:p>
    <w:p w14:paraId="08F60323" w14:textId="77777777" w:rsidR="00A2416E" w:rsidRDefault="00A2416E">
      <w:pPr>
        <w:pStyle w:val="Brdtext"/>
        <w:rPr>
          <w:sz w:val="20"/>
        </w:rPr>
      </w:pPr>
    </w:p>
    <w:p w14:paraId="7F7FFE81" w14:textId="77777777" w:rsidR="00A2416E" w:rsidRDefault="00A2416E">
      <w:pPr>
        <w:pStyle w:val="Brdtext"/>
        <w:rPr>
          <w:sz w:val="20"/>
        </w:rPr>
      </w:pPr>
    </w:p>
    <w:p w14:paraId="6C53A6E7" w14:textId="77777777" w:rsidR="00A2416E" w:rsidRDefault="00A2416E">
      <w:pPr>
        <w:pStyle w:val="Brdtext"/>
        <w:spacing w:before="11"/>
        <w:rPr>
          <w:sz w:val="23"/>
        </w:rPr>
      </w:pPr>
    </w:p>
    <w:p w14:paraId="6036D87D" w14:textId="77777777" w:rsidR="00A2416E" w:rsidRDefault="00016DD9">
      <w:pPr>
        <w:pStyle w:val="Brdtext"/>
        <w:spacing w:line="20" w:lineRule="exact"/>
        <w:ind w:left="390"/>
        <w:rPr>
          <w:sz w:val="2"/>
        </w:rPr>
      </w:pPr>
      <w:r>
        <w:rPr>
          <w:sz w:val="2"/>
        </w:rPr>
      </w:r>
      <w:r>
        <w:rPr>
          <w:sz w:val="2"/>
        </w:rPr>
        <w:pict w14:anchorId="079D94F6">
          <v:group id="_x0000_s1026" style="width:1in;height:1pt;mso-position-horizontal-relative:char;mso-position-vertical-relative:line" coordsize="1440,20">
            <v:line id="_x0000_s1027" style="position:absolute" from="0,10" to="1440,10" strokeweight="1pt"/>
            <w10:anchorlock/>
          </v:group>
        </w:pict>
      </w:r>
    </w:p>
    <w:p w14:paraId="21709ABF" w14:textId="77777777" w:rsidR="00F107C4" w:rsidRDefault="00534832" w:rsidP="00F107C4">
      <w:pPr>
        <w:spacing w:before="31"/>
        <w:ind w:left="403" w:right="1418"/>
        <w:jc w:val="both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>Glejte Direktivo (EU) 2015/1535 Evropskega parlamenta in Sveta z dne 9. septembra 2015 o določitvi postopka za zbiranje informacij na področju tehničnih predpisov in pravil za storitve informacijske družbe.</w:t>
      </w:r>
      <w:r>
        <w:rPr>
          <w:sz w:val="17"/>
        </w:rPr>
        <w:tab/>
      </w:r>
    </w:p>
    <w:p w14:paraId="3F7164F9" w14:textId="3995DB68" w:rsidR="00A2416E" w:rsidRDefault="00F107C4" w:rsidP="00581354">
      <w:pPr>
        <w:spacing w:before="31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                      </w:t>
      </w:r>
      <w:r w:rsidR="00534832">
        <w:rPr>
          <w:rFonts w:ascii="HelveticaNeueLT Std Cn" w:hAnsi="HelveticaNeueLT Std Cn"/>
          <w:sz w:val="20"/>
        </w:rPr>
        <w:t>1</w:t>
      </w:r>
    </w:p>
    <w:p w14:paraId="7C3B7287" w14:textId="77777777" w:rsidR="00A2416E" w:rsidRDefault="00A2416E">
      <w:pPr>
        <w:spacing w:line="222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FA5AF97" w14:textId="77777777" w:rsidR="00A2416E" w:rsidRDefault="00534832">
      <w:pPr>
        <w:pStyle w:val="Rubrik2"/>
        <w:spacing w:line="228" w:lineRule="auto"/>
        <w:ind w:right="19"/>
      </w:pPr>
      <w:bookmarkStart w:id="1" w:name="Rapportering"/>
      <w:bookmarkEnd w:id="1"/>
      <w:r>
        <w:lastRenderedPageBreak/>
        <w:t>STEMFS 2021:2</w:t>
      </w:r>
    </w:p>
    <w:p w14:paraId="624DE1C9" w14:textId="77777777" w:rsidR="00A2416E" w:rsidRDefault="00534832">
      <w:pPr>
        <w:spacing w:before="63"/>
        <w:ind w:left="117"/>
        <w:rPr>
          <w:b/>
          <w:sz w:val="21"/>
        </w:rPr>
      </w:pPr>
      <w:r>
        <w:br w:type="column"/>
      </w:r>
      <w:r>
        <w:rPr>
          <w:b/>
          <w:sz w:val="21"/>
        </w:rPr>
        <w:t>Poročanje</w:t>
      </w:r>
    </w:p>
    <w:p w14:paraId="60DBC31F" w14:textId="77777777" w:rsidR="00A2416E" w:rsidRDefault="00534832">
      <w:pPr>
        <w:pStyle w:val="Liststycke"/>
        <w:numPr>
          <w:ilvl w:val="0"/>
          <w:numId w:val="5"/>
        </w:numPr>
        <w:tabs>
          <w:tab w:val="left" w:pos="308"/>
        </w:tabs>
        <w:spacing w:before="141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>Oddelek</w:t>
      </w:r>
      <w:r>
        <w:rPr>
          <w:sz w:val="19"/>
        </w:rPr>
        <w:t xml:space="preserve"> Sporočene emisije vključujejo vse gorivne proizvode, ki jih je dobavitelj dostavil in so postali obdavčljivi v skladu s poglavjem 5 Zakona o davku na energijo (1994:1776) v letu, na katero se poročilo nanaša, pri čemer so navedeni</w:t>
      </w:r>
    </w:p>
    <w:p w14:paraId="69D953B3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količina;</w:t>
      </w:r>
    </w:p>
    <w:p w14:paraId="516CF941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neto kalorična vrednost;</w:t>
      </w:r>
    </w:p>
    <w:p w14:paraId="5CA31CC9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vir dostavljene električne energije, kadar ima električna energija oznako izvora.</w:t>
      </w:r>
    </w:p>
    <w:p w14:paraId="7894339E" w14:textId="77777777" w:rsidR="00A2416E" w:rsidRDefault="00A2416E">
      <w:pPr>
        <w:pStyle w:val="Brdtext"/>
        <w:spacing w:before="5"/>
        <w:rPr>
          <w:sz w:val="22"/>
        </w:rPr>
      </w:pPr>
    </w:p>
    <w:p w14:paraId="688D241D" w14:textId="77777777" w:rsidR="00A2416E" w:rsidRDefault="00534832">
      <w:pPr>
        <w:pStyle w:val="Liststycke"/>
        <w:numPr>
          <w:ilvl w:val="0"/>
          <w:numId w:val="5"/>
        </w:numPr>
        <w:tabs>
          <w:tab w:val="left" w:pos="277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>Oddelek</w:t>
      </w:r>
      <w:r>
        <w:rPr>
          <w:sz w:val="19"/>
        </w:rPr>
        <w:t xml:space="preserve"> Poročilo o emisijah vključuje vse fosilne sestavine, ki so vključene v dostavljene gorivne proizvode v skladu z oddelkom 4, v njem pa so navedeni:</w:t>
      </w:r>
    </w:p>
    <w:p w14:paraId="09AF6626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96"/>
        <w:rPr>
          <w:sz w:val="19"/>
        </w:rPr>
      </w:pPr>
      <w:r>
        <w:rPr>
          <w:sz w:val="19"/>
        </w:rPr>
        <w:t>proizvodi, ki vsebujejo sestavine;</w:t>
      </w:r>
    </w:p>
    <w:p w14:paraId="28EE6BB7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vrste fosilnih sestavin, razdeljene po viru surovine in postopku v skladu s Prilogo 1;</w:t>
      </w:r>
    </w:p>
    <w:p w14:paraId="5DA70FE3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količina;</w:t>
      </w:r>
    </w:p>
    <w:p w14:paraId="6D197172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neto kalorična vrednost  in</w:t>
      </w:r>
    </w:p>
    <w:p w14:paraId="04221788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država izvora surovine.</w:t>
      </w:r>
    </w:p>
    <w:p w14:paraId="2AED6C49" w14:textId="77777777" w:rsidR="00A2416E" w:rsidRDefault="00A2416E">
      <w:pPr>
        <w:pStyle w:val="Brdtext"/>
        <w:spacing w:before="5"/>
        <w:rPr>
          <w:sz w:val="22"/>
        </w:rPr>
      </w:pPr>
    </w:p>
    <w:p w14:paraId="716008FA" w14:textId="77777777" w:rsidR="00A2416E" w:rsidRDefault="00534832">
      <w:pPr>
        <w:pStyle w:val="Liststycke"/>
        <w:numPr>
          <w:ilvl w:val="0"/>
          <w:numId w:val="5"/>
        </w:numPr>
        <w:tabs>
          <w:tab w:val="left" w:pos="265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 xml:space="preserve">Oddelek </w:t>
      </w:r>
      <w:r>
        <w:rPr>
          <w:sz w:val="19"/>
        </w:rPr>
        <w:t>Poročilo o emisijah vključuje vse biosestavine, ki so vključene v dostavljene gorivne proizvode v skladu z oddelkom 4, v njem pa so navedeni:</w:t>
      </w:r>
    </w:p>
    <w:p w14:paraId="0C456492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7"/>
        <w:rPr>
          <w:sz w:val="19"/>
        </w:rPr>
      </w:pPr>
      <w:r>
        <w:rPr>
          <w:sz w:val="19"/>
        </w:rPr>
        <w:t>proizvodi, ki vsebujejo biosestavine;</w:t>
      </w:r>
    </w:p>
    <w:p w14:paraId="5D2FF15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vrste biosestavin;</w:t>
      </w:r>
    </w:p>
    <w:p w14:paraId="134B125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količina;</w:t>
      </w:r>
    </w:p>
    <w:p w14:paraId="420C5F9D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neto kalorična vrednost;</w:t>
      </w:r>
    </w:p>
    <w:p w14:paraId="6FBCDE1A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surovine;</w:t>
      </w:r>
    </w:p>
    <w:p w14:paraId="3BA18401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država izvora surovine;</w:t>
      </w:r>
    </w:p>
    <w:p w14:paraId="3E51FE3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line="252" w:lineRule="auto"/>
        <w:ind w:right="438"/>
        <w:jc w:val="both"/>
        <w:rPr>
          <w:sz w:val="19"/>
        </w:rPr>
      </w:pPr>
      <w:r>
        <w:rPr>
          <w:sz w:val="19"/>
        </w:rPr>
        <w:t>ali biosestavina izpolnjuje merila trajnostnosti, določena v Zakonu (2010:598) o merilih trajnosti za biogoriva in biotekočine, ter</w:t>
      </w:r>
    </w:p>
    <w:p w14:paraId="6A936F3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58"/>
        <w:jc w:val="both"/>
        <w:rPr>
          <w:sz w:val="19"/>
        </w:rPr>
      </w:pPr>
      <w:r>
        <w:rPr>
          <w:sz w:val="19"/>
        </w:rPr>
        <w:t>ali so bile biosestavine uporabljene v letalskem gorivu.</w:t>
      </w:r>
    </w:p>
    <w:p w14:paraId="351F1B0D" w14:textId="77777777" w:rsidR="00A2416E" w:rsidRDefault="00A2416E">
      <w:pPr>
        <w:pStyle w:val="Brdtext"/>
        <w:spacing w:before="6"/>
        <w:rPr>
          <w:sz w:val="22"/>
        </w:rPr>
      </w:pPr>
    </w:p>
    <w:p w14:paraId="055D9BCA" w14:textId="77777777" w:rsidR="00A2416E" w:rsidRDefault="00534832">
      <w:pPr>
        <w:pStyle w:val="Liststycke"/>
        <w:numPr>
          <w:ilvl w:val="0"/>
          <w:numId w:val="5"/>
        </w:numPr>
        <w:tabs>
          <w:tab w:val="left" w:pos="269"/>
        </w:tabs>
        <w:spacing w:before="0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>Oddelek</w:t>
      </w:r>
      <w:r>
        <w:rPr>
          <w:sz w:val="19"/>
        </w:rPr>
        <w:t xml:space="preserve"> V primeru, da je država izvora zunaj Evropske unije ali EGP in ni informacij o tem, za katero državo gre, je lahko v poročilu o emisijah navedeno, da ni informacij o državi izvora.</w:t>
      </w:r>
    </w:p>
    <w:p w14:paraId="732E5498" w14:textId="77777777" w:rsidR="00A2416E" w:rsidRDefault="00A2416E">
      <w:pPr>
        <w:spacing w:line="273" w:lineRule="auto"/>
        <w:jc w:val="both"/>
        <w:rPr>
          <w:sz w:val="19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53703E9C" w14:textId="77777777" w:rsidR="00A2416E" w:rsidRDefault="00A2416E">
      <w:pPr>
        <w:pStyle w:val="Brdtext"/>
        <w:rPr>
          <w:sz w:val="20"/>
        </w:rPr>
      </w:pPr>
    </w:p>
    <w:p w14:paraId="141EB606" w14:textId="77777777" w:rsidR="00A2416E" w:rsidRDefault="00A2416E">
      <w:pPr>
        <w:pStyle w:val="Brdtext"/>
        <w:rPr>
          <w:sz w:val="20"/>
        </w:rPr>
      </w:pPr>
    </w:p>
    <w:p w14:paraId="7939C55D" w14:textId="77777777" w:rsidR="00A2416E" w:rsidRDefault="00A2416E">
      <w:pPr>
        <w:pStyle w:val="Brdtext"/>
        <w:rPr>
          <w:sz w:val="20"/>
        </w:rPr>
      </w:pPr>
    </w:p>
    <w:p w14:paraId="3855820A" w14:textId="77777777" w:rsidR="00A2416E" w:rsidRDefault="00A2416E">
      <w:pPr>
        <w:pStyle w:val="Brdtext"/>
        <w:rPr>
          <w:sz w:val="20"/>
        </w:rPr>
      </w:pPr>
    </w:p>
    <w:p w14:paraId="436A79D9" w14:textId="77777777" w:rsidR="00A2416E" w:rsidRDefault="00A2416E">
      <w:pPr>
        <w:pStyle w:val="Brdtext"/>
        <w:rPr>
          <w:sz w:val="20"/>
        </w:rPr>
      </w:pPr>
    </w:p>
    <w:p w14:paraId="66D146DB" w14:textId="77777777" w:rsidR="00A2416E" w:rsidRDefault="00A2416E">
      <w:pPr>
        <w:pStyle w:val="Brdtext"/>
        <w:rPr>
          <w:sz w:val="20"/>
        </w:rPr>
      </w:pPr>
    </w:p>
    <w:p w14:paraId="05983546" w14:textId="77777777" w:rsidR="00A2416E" w:rsidRDefault="00A2416E">
      <w:pPr>
        <w:pStyle w:val="Brdtext"/>
        <w:rPr>
          <w:sz w:val="20"/>
        </w:rPr>
      </w:pPr>
    </w:p>
    <w:p w14:paraId="3B407F9E" w14:textId="77777777" w:rsidR="00A2416E" w:rsidRDefault="00A2416E">
      <w:pPr>
        <w:pStyle w:val="Brdtext"/>
        <w:spacing w:before="8"/>
        <w:rPr>
          <w:sz w:val="26"/>
        </w:rPr>
      </w:pPr>
    </w:p>
    <w:p w14:paraId="346CAB4A" w14:textId="77777777" w:rsidR="00A2416E" w:rsidRDefault="00534832">
      <w:pPr>
        <w:pStyle w:val="Rubrik3"/>
        <w:spacing w:before="111"/>
      </w:pPr>
      <w:r>
        <w:t>2</w:t>
      </w:r>
    </w:p>
    <w:p w14:paraId="47F3F605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5320A3C" w14:textId="77777777" w:rsidR="00A2416E" w:rsidRDefault="00534832">
      <w:pPr>
        <w:spacing w:before="63"/>
        <w:ind w:left="400"/>
        <w:jc w:val="both"/>
        <w:rPr>
          <w:b/>
          <w:sz w:val="21"/>
        </w:rPr>
      </w:pPr>
      <w:bookmarkStart w:id="2" w:name="Beräkning_av_växthusgasintensitet"/>
      <w:bookmarkEnd w:id="2"/>
      <w:r>
        <w:rPr>
          <w:b/>
          <w:sz w:val="21"/>
        </w:rPr>
        <w:lastRenderedPageBreak/>
        <w:t>Izračun intenzivnosti toplogrednih plinov</w:t>
      </w:r>
    </w:p>
    <w:p w14:paraId="1BBF99A2" w14:textId="77777777" w:rsidR="00A2416E" w:rsidRDefault="00534832">
      <w:pPr>
        <w:pStyle w:val="Brdtext"/>
        <w:spacing w:before="141" w:line="273" w:lineRule="auto"/>
        <w:ind w:left="400" w:right="238"/>
        <w:jc w:val="both"/>
      </w:pPr>
      <w:r>
        <w:rPr>
          <w:b/>
        </w:rPr>
        <w:t>12. oddelek</w:t>
      </w:r>
      <w:r>
        <w:t xml:space="preserve"> Pri izračunu zmanjšanja emisij toplogrednih plinov, ki ga je dosegel dobavitelj goriva, za namen iz oddelka 21 Zakona o gorivu (2011:319), se intenzivnost toplogrednih plinov izračuna z naslednjo formulo:</w:t>
      </w:r>
    </w:p>
    <w:p w14:paraId="20759CD1" w14:textId="77777777" w:rsidR="00A2416E" w:rsidRDefault="00534832" w:rsidP="00F107C4">
      <w:pPr>
        <w:pStyle w:val="Brdtext"/>
        <w:spacing w:before="86" w:line="213" w:lineRule="exact"/>
        <w:ind w:left="2364" w:right="284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(GHGi</w:t>
      </w:r>
      <w:r>
        <w:rPr>
          <w:color w:val="010102"/>
          <w:vertAlign w:val="subscript"/>
        </w:rPr>
        <w:t>x</w:t>
      </w:r>
      <w:r>
        <w:rPr>
          <w:color w:val="010102"/>
        </w:rPr>
        <w:t>×AF×MJ</w:t>
      </w:r>
      <w:r>
        <w:rPr>
          <w:color w:val="010102"/>
          <w:vertAlign w:val="subscript"/>
        </w:rPr>
        <w:t>x</w:t>
      </w:r>
      <w:r>
        <w:rPr>
          <w:color w:val="010102"/>
        </w:rPr>
        <w:t>) – UER</w:t>
      </w:r>
    </w:p>
    <w:p w14:paraId="5B0DC3E8" w14:textId="77777777" w:rsidR="00A2416E" w:rsidRDefault="00534832">
      <w:pPr>
        <w:pStyle w:val="Brdtext"/>
        <w:spacing w:line="191" w:lineRule="exact"/>
        <w:ind w:left="400"/>
        <w:jc w:val="both"/>
      </w:pPr>
      <w:r>
        <w:rPr>
          <w:color w:val="010102"/>
        </w:rPr>
        <w:t>Intenzivnost toplogrednih plinov</w:t>
      </w:r>
      <w:r>
        <w:rPr>
          <w:color w:val="010102"/>
          <w:vertAlign w:val="subscript"/>
        </w:rPr>
        <w:t>#</w:t>
      </w:r>
      <w:r>
        <w:rPr>
          <w:color w:val="010102"/>
        </w:rPr>
        <w:t xml:space="preserve">  =  ––––––––––––––––––––––––</w:t>
      </w:r>
    </w:p>
    <w:p w14:paraId="3A218E26" w14:textId="77777777" w:rsidR="00A2416E" w:rsidRDefault="00534832" w:rsidP="00F107C4">
      <w:pPr>
        <w:pStyle w:val="Brdtext"/>
        <w:spacing w:line="217" w:lineRule="exact"/>
        <w:ind w:left="2121" w:right="284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MJ</w:t>
      </w:r>
      <w:r>
        <w:rPr>
          <w:color w:val="010102"/>
          <w:vertAlign w:val="subscript"/>
        </w:rPr>
        <w:t>x</w:t>
      </w:r>
    </w:p>
    <w:p w14:paraId="34570CBD" w14:textId="77777777" w:rsidR="00A2416E" w:rsidRDefault="00A2416E">
      <w:pPr>
        <w:pStyle w:val="Brdtext"/>
        <w:spacing w:before="4"/>
        <w:rPr>
          <w:sz w:val="15"/>
        </w:rPr>
      </w:pP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800"/>
        <w:gridCol w:w="5497"/>
      </w:tblGrid>
      <w:tr w:rsidR="00A2416E" w14:paraId="4CFD6340" w14:textId="77777777">
        <w:trPr>
          <w:trHeight w:val="251"/>
        </w:trPr>
        <w:tc>
          <w:tcPr>
            <w:tcW w:w="800" w:type="dxa"/>
          </w:tcPr>
          <w:p w14:paraId="0A908CB3" w14:textId="72AAB88B" w:rsidR="00A2416E" w:rsidRDefault="00534832">
            <w:pPr>
              <w:pStyle w:val="TableParagraph"/>
              <w:spacing w:before="0" w:line="210" w:lineRule="exact"/>
              <w:ind w:left="200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z w:val="19"/>
              </w:rPr>
              <w:tab/>
            </w:r>
          </w:p>
        </w:tc>
        <w:tc>
          <w:tcPr>
            <w:tcW w:w="5497" w:type="dxa"/>
          </w:tcPr>
          <w:p w14:paraId="667260ED" w14:textId="1A76A9A1" w:rsidR="00A2416E" w:rsidRDefault="00F107C4">
            <w:pPr>
              <w:pStyle w:val="TableParagraph"/>
              <w:spacing w:before="0" w:line="210" w:lineRule="exact"/>
              <w:ind w:left="85"/>
              <w:rPr>
                <w:sz w:val="19"/>
              </w:rPr>
            </w:pPr>
            <w:r>
              <w:rPr>
                <w:sz w:val="19"/>
              </w:rPr>
              <w:t>identifikacija dobavitelja</w:t>
            </w:r>
          </w:p>
        </w:tc>
      </w:tr>
      <w:tr w:rsidR="00A2416E" w14:paraId="66C6F643" w14:textId="77777777">
        <w:trPr>
          <w:trHeight w:val="291"/>
        </w:trPr>
        <w:tc>
          <w:tcPr>
            <w:tcW w:w="800" w:type="dxa"/>
          </w:tcPr>
          <w:p w14:paraId="2FD57175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7" w:type="dxa"/>
          </w:tcPr>
          <w:p w14:paraId="2A6E5BDD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goriva, ki so bila dostavljena in so prijavljena</w:t>
            </w:r>
          </w:p>
        </w:tc>
      </w:tr>
      <w:tr w:rsidR="00A2416E" w14:paraId="4EEEE19A" w14:textId="77777777">
        <w:trPr>
          <w:trHeight w:val="751"/>
        </w:trPr>
        <w:tc>
          <w:tcPr>
            <w:tcW w:w="800" w:type="dxa"/>
          </w:tcPr>
          <w:p w14:paraId="79E26564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GHGix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7D58B399" w14:textId="77777777" w:rsidR="00A2416E" w:rsidRDefault="00534832">
            <w:pPr>
              <w:pStyle w:val="TableParagraph"/>
              <w:spacing w:before="38" w:line="230" w:lineRule="auto"/>
              <w:ind w:left="85" w:right="198"/>
              <w:jc w:val="both"/>
              <w:rPr>
                <w:sz w:val="19"/>
              </w:rPr>
            </w:pPr>
            <w:r>
              <w:rPr>
                <w:sz w:val="19"/>
              </w:rPr>
              <w:t>vsota emisij toplogrednih plinov, izražena v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eq/MJ, iz vseh biosestavin in fosilnih sestavin, vsebovanih v gorivih, ki so bila dostavljena</w:t>
            </w:r>
          </w:p>
        </w:tc>
      </w:tr>
      <w:tr w:rsidR="00A2416E" w14:paraId="5FB64182" w14:textId="77777777">
        <w:trPr>
          <w:trHeight w:val="521"/>
        </w:trPr>
        <w:tc>
          <w:tcPr>
            <w:tcW w:w="800" w:type="dxa"/>
          </w:tcPr>
          <w:p w14:paraId="3D51B5E0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02BB1F8E" w14:textId="77777777" w:rsidR="00A2416E" w:rsidRDefault="00534832">
            <w:pPr>
              <w:pStyle w:val="TableParagraph"/>
              <w:spacing w:before="32" w:line="252" w:lineRule="auto"/>
              <w:ind w:left="85" w:right="170"/>
              <w:rPr>
                <w:sz w:val="19"/>
              </w:rPr>
            </w:pPr>
            <w:r>
              <w:rPr>
                <w:sz w:val="19"/>
              </w:rPr>
              <w:t>energija, ki jo vsebujejo fosilne sestavine in biosestavine, vsebovane v gorivih, ki so bila dostavljena, izražena v megajoulih</w:t>
            </w:r>
          </w:p>
        </w:tc>
      </w:tr>
      <w:tr w:rsidR="00A2416E" w14:paraId="5072D8FC" w14:textId="77777777">
        <w:trPr>
          <w:trHeight w:val="521"/>
        </w:trPr>
        <w:tc>
          <w:tcPr>
            <w:tcW w:w="800" w:type="dxa"/>
          </w:tcPr>
          <w:p w14:paraId="6DFBF789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AF</w:t>
            </w:r>
          </w:p>
        </w:tc>
        <w:tc>
          <w:tcPr>
            <w:tcW w:w="5497" w:type="dxa"/>
          </w:tcPr>
          <w:p w14:paraId="76543568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korekcijski faktor za učinkovitost pogonskega sistema v skladu z naslednjo</w:t>
            </w:r>
          </w:p>
          <w:p w14:paraId="1791D3B1" w14:textId="77777777" w:rsidR="00A2416E" w:rsidRDefault="00534832">
            <w:pPr>
              <w:pStyle w:val="TableParagraph"/>
              <w:spacing w:before="12"/>
              <w:ind w:left="85"/>
              <w:rPr>
                <w:sz w:val="19"/>
              </w:rPr>
            </w:pPr>
            <w:r>
              <w:rPr>
                <w:sz w:val="19"/>
              </w:rPr>
              <w:t>preglednico</w:t>
            </w:r>
          </w:p>
        </w:tc>
      </w:tr>
      <w:tr w:rsidR="00A2416E" w14:paraId="690B8266" w14:textId="77777777">
        <w:trPr>
          <w:trHeight w:val="297"/>
        </w:trPr>
        <w:tc>
          <w:tcPr>
            <w:tcW w:w="800" w:type="dxa"/>
          </w:tcPr>
          <w:p w14:paraId="60FB116A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UER</w:t>
            </w:r>
          </w:p>
        </w:tc>
        <w:tc>
          <w:tcPr>
            <w:tcW w:w="5497" w:type="dxa"/>
          </w:tcPr>
          <w:p w14:paraId="1AD7EF7E" w14:textId="77777777" w:rsidR="00A2416E" w:rsidRDefault="00534832">
            <w:pPr>
              <w:pStyle w:val="TableParagraph"/>
              <w:spacing w:before="32" w:line="245" w:lineRule="exact"/>
              <w:ind w:left="85"/>
              <w:rPr>
                <w:sz w:val="19"/>
              </w:rPr>
            </w:pPr>
            <w:r>
              <w:rPr>
                <w:sz w:val="19"/>
              </w:rPr>
              <w:t>zmanjšanje emisij pri viru, izmerjeno v g 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</w:t>
            </w:r>
          </w:p>
        </w:tc>
      </w:tr>
    </w:tbl>
    <w:p w14:paraId="799663C9" w14:textId="77777777" w:rsidR="00A2416E" w:rsidRDefault="00534832">
      <w:pPr>
        <w:pStyle w:val="Brdtext"/>
        <w:spacing w:before="132"/>
        <w:ind w:left="400"/>
        <w:jc w:val="both"/>
      </w:pPr>
      <w:r>
        <w:t>Emisije se popravijo za učinkovitost pogonskega sistema in emisije pri viru.</w:t>
      </w:r>
    </w:p>
    <w:p w14:paraId="197F02F8" w14:textId="77777777" w:rsidR="00A2416E" w:rsidRDefault="00A2416E">
      <w:pPr>
        <w:pStyle w:val="Brdtext"/>
        <w:rPr>
          <w:sz w:val="28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3368"/>
        <w:gridCol w:w="1656"/>
      </w:tblGrid>
      <w:tr w:rsidR="00A2416E" w14:paraId="28F08263" w14:textId="77777777">
        <w:trPr>
          <w:trHeight w:val="325"/>
        </w:trPr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14:paraId="38A19BC4" w14:textId="77777777" w:rsidR="00A2416E" w:rsidRDefault="00534832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Glavno področje uporabe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2AE18678" w14:textId="77777777" w:rsidR="00A2416E" w:rsidRDefault="00534832">
            <w:pPr>
              <w:pStyle w:val="TableParagraph"/>
              <w:spacing w:before="67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Faktor učinkovitosti</w:t>
            </w:r>
          </w:p>
        </w:tc>
      </w:tr>
      <w:tr w:rsidR="00A2416E" w14:paraId="63DF21ED" w14:textId="77777777">
        <w:trPr>
          <w:trHeight w:val="295"/>
        </w:trPr>
        <w:tc>
          <w:tcPr>
            <w:tcW w:w="3368" w:type="dxa"/>
            <w:tcBorders>
              <w:top w:val="single" w:sz="4" w:space="0" w:color="000000"/>
            </w:tcBorders>
          </w:tcPr>
          <w:p w14:paraId="2DC6CCCF" w14:textId="77777777" w:rsidR="00A2416E" w:rsidRDefault="00534832">
            <w:pPr>
              <w:pStyle w:val="TableParagraph"/>
              <w:spacing w:before="72"/>
              <w:ind w:left="0"/>
              <w:rPr>
                <w:sz w:val="17"/>
              </w:rPr>
            </w:pPr>
            <w:r>
              <w:rPr>
                <w:sz w:val="17"/>
              </w:rPr>
              <w:t>Motorji z notranjih izgorevanjem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14:paraId="3EABE78F" w14:textId="77777777" w:rsidR="00A2416E" w:rsidRDefault="00534832">
            <w:pPr>
              <w:pStyle w:val="TableParagraph"/>
              <w:spacing w:before="72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A2416E" w14:paraId="17A28BEE" w14:textId="77777777">
        <w:trPr>
          <w:trHeight w:val="242"/>
        </w:trPr>
        <w:tc>
          <w:tcPr>
            <w:tcW w:w="3368" w:type="dxa"/>
          </w:tcPr>
          <w:p w14:paraId="02257E28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Električni sistemi na baterijsko napajanje</w:t>
            </w:r>
          </w:p>
        </w:tc>
        <w:tc>
          <w:tcPr>
            <w:tcW w:w="1656" w:type="dxa"/>
          </w:tcPr>
          <w:p w14:paraId="73657E13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  <w:tr w:rsidR="00A2416E" w14:paraId="320937A7" w14:textId="77777777">
        <w:trPr>
          <w:trHeight w:val="287"/>
        </w:trPr>
        <w:tc>
          <w:tcPr>
            <w:tcW w:w="3368" w:type="dxa"/>
            <w:tcBorders>
              <w:bottom w:val="single" w:sz="4" w:space="0" w:color="000000"/>
            </w:tcBorders>
          </w:tcPr>
          <w:p w14:paraId="51DED897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Električni pogonski sistem na vodikove gorivne celice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14:paraId="6D27FC5C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</w:tbl>
    <w:p w14:paraId="26A8E09B" w14:textId="77777777" w:rsidR="00A2416E" w:rsidRDefault="00A2416E">
      <w:pPr>
        <w:pStyle w:val="Brdtext"/>
        <w:spacing w:before="10"/>
        <w:rPr>
          <w:sz w:val="28"/>
        </w:rPr>
      </w:pPr>
    </w:p>
    <w:p w14:paraId="37BD531B" w14:textId="77777777" w:rsidR="00A2416E" w:rsidRDefault="00534832">
      <w:pPr>
        <w:pStyle w:val="Brdtext"/>
        <w:spacing w:before="1" w:line="273" w:lineRule="auto"/>
        <w:ind w:left="400" w:right="238"/>
        <w:jc w:val="both"/>
      </w:pPr>
      <w:r>
        <w:rPr>
          <w:b/>
        </w:rPr>
        <w:t>Oddelek 12a</w:t>
      </w:r>
      <w:r>
        <w:t xml:space="preserve"> Dobavitelj goriva kot osnovo za okoljske informacije izračuna intenzivnost toplogrednih plinov za tržne proizvode v skladu z naslednjo formulo:</w:t>
      </w:r>
    </w:p>
    <w:p w14:paraId="752A0082" w14:textId="77777777" w:rsidR="00A2416E" w:rsidRDefault="00534832">
      <w:pPr>
        <w:pStyle w:val="Brdtext"/>
        <w:spacing w:before="177" w:line="170" w:lineRule="auto"/>
        <w:ind w:left="400" w:right="3425" w:firstLine="808"/>
      </w:pPr>
      <w:r>
        <w:rPr>
          <w:color w:val="010102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(GHGi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× MJ</w:t>
      </w:r>
      <w:r>
        <w:rPr>
          <w:color w:val="010102"/>
          <w:sz w:val="12"/>
        </w:rPr>
        <w:t>x</w:t>
      </w:r>
      <w:r>
        <w:rPr>
          <w:color w:val="010102"/>
        </w:rPr>
        <w:t>) GHGi</w:t>
      </w:r>
      <w:r>
        <w:rPr>
          <w:color w:val="010102"/>
          <w:sz w:val="11"/>
        </w:rPr>
        <w:t xml:space="preserve">a </w:t>
      </w:r>
      <w:r>
        <w:rPr>
          <w:color w:val="010102"/>
        </w:rPr>
        <w:t>= ––––––––––––––––</w:t>
      </w:r>
    </w:p>
    <w:p w14:paraId="676262ED" w14:textId="77777777" w:rsidR="00A2416E" w:rsidRDefault="00534832">
      <w:pPr>
        <w:spacing w:line="201" w:lineRule="auto"/>
        <w:ind w:left="1610"/>
        <w:rPr>
          <w:sz w:val="12"/>
        </w:rPr>
      </w:pPr>
      <w:r>
        <w:rPr>
          <w:color w:val="010102"/>
          <w:sz w:val="19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  <w:sz w:val="19"/>
        </w:rPr>
        <w:t>MJ</w:t>
      </w:r>
      <w:r>
        <w:rPr>
          <w:color w:val="010102"/>
          <w:sz w:val="12"/>
        </w:rPr>
        <w:t>x</w:t>
      </w:r>
    </w:p>
    <w:p w14:paraId="447A06EC" w14:textId="77777777" w:rsidR="00A2416E" w:rsidRDefault="00534832">
      <w:pPr>
        <w:pStyle w:val="Rubrik2"/>
        <w:spacing w:line="228" w:lineRule="auto"/>
        <w:ind w:left="200" w:right="134"/>
      </w:pPr>
      <w:r>
        <w:br w:type="column"/>
      </w:r>
      <w:r>
        <w:t>STEMFS 2021:2</w:t>
      </w:r>
    </w:p>
    <w:p w14:paraId="186869FF" w14:textId="77777777" w:rsidR="00A2416E" w:rsidRDefault="00A2416E">
      <w:pPr>
        <w:spacing w:line="228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6538" w:space="427"/>
            <w:col w:w="1195"/>
          </w:cols>
        </w:sectPr>
      </w:pPr>
    </w:p>
    <w:p w14:paraId="78B72271" w14:textId="77777777" w:rsidR="00A2416E" w:rsidRDefault="00534832">
      <w:pPr>
        <w:pStyle w:val="Brdtext"/>
        <w:spacing w:before="129" w:after="58"/>
        <w:ind w:left="400"/>
      </w:pPr>
      <w:r>
        <w:t>Pri čemer je:</w:t>
      </w: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77"/>
        <w:gridCol w:w="5495"/>
      </w:tblGrid>
      <w:tr w:rsidR="00A2416E" w14:paraId="595F037B" w14:textId="77777777">
        <w:trPr>
          <w:trHeight w:val="242"/>
        </w:trPr>
        <w:tc>
          <w:tcPr>
            <w:tcW w:w="777" w:type="dxa"/>
          </w:tcPr>
          <w:p w14:paraId="24B13BD8" w14:textId="77777777" w:rsidR="00A2416E" w:rsidRDefault="00534832">
            <w:pPr>
              <w:pStyle w:val="TableParagraph"/>
              <w:spacing w:before="0" w:line="211" w:lineRule="exact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</w:p>
        </w:tc>
        <w:tc>
          <w:tcPr>
            <w:tcW w:w="5495" w:type="dxa"/>
          </w:tcPr>
          <w:p w14:paraId="3E518B6F" w14:textId="77777777" w:rsidR="00A2416E" w:rsidRDefault="00534832">
            <w:pPr>
              <w:pStyle w:val="TableParagraph"/>
              <w:spacing w:before="0" w:line="210" w:lineRule="exact"/>
              <w:ind w:left="57"/>
              <w:rPr>
                <w:sz w:val="19"/>
              </w:rPr>
            </w:pPr>
            <w:r>
              <w:rPr>
                <w:sz w:val="19"/>
              </w:rPr>
              <w:t>gorivni proizvodi, ki so bili dostavljeni in so prijavljeni,</w:t>
            </w:r>
          </w:p>
        </w:tc>
      </w:tr>
      <w:tr w:rsidR="00A2416E" w14:paraId="32F5B9EE" w14:textId="77777777">
        <w:trPr>
          <w:trHeight w:val="273"/>
        </w:trPr>
        <w:tc>
          <w:tcPr>
            <w:tcW w:w="777" w:type="dxa"/>
          </w:tcPr>
          <w:p w14:paraId="2D155D9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5" w:type="dxa"/>
          </w:tcPr>
          <w:p w14:paraId="27B3ACB7" w14:textId="77777777" w:rsidR="00A2416E" w:rsidRDefault="00534832">
            <w:pPr>
              <w:pStyle w:val="TableParagraph"/>
              <w:spacing w:before="23"/>
              <w:ind w:left="57"/>
              <w:rPr>
                <w:sz w:val="19"/>
              </w:rPr>
            </w:pPr>
            <w:r>
              <w:rPr>
                <w:sz w:val="19"/>
              </w:rPr>
              <w:t>sestavine proizvoda, o katerih je treba poročati,</w:t>
            </w:r>
          </w:p>
        </w:tc>
      </w:tr>
      <w:tr w:rsidR="00A2416E" w14:paraId="64FD007D" w14:textId="77777777">
        <w:trPr>
          <w:trHeight w:val="526"/>
        </w:trPr>
        <w:tc>
          <w:tcPr>
            <w:tcW w:w="777" w:type="dxa"/>
          </w:tcPr>
          <w:p w14:paraId="17EAA3F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1FA05581" w14:textId="77777777" w:rsidR="00A2416E" w:rsidRDefault="00534832">
            <w:pPr>
              <w:pStyle w:val="TableParagraph"/>
              <w:spacing w:before="17" w:line="230" w:lineRule="exact"/>
              <w:ind w:left="57"/>
              <w:rPr>
                <w:sz w:val="19"/>
              </w:rPr>
            </w:pPr>
            <w:r>
              <w:rPr>
                <w:sz w:val="19"/>
              </w:rPr>
              <w:t>intenzivnost toplogrednih plinov za zadevne sestavine, ki jih vsebuje proizvod a, izražena v g 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</w:t>
            </w:r>
          </w:p>
        </w:tc>
      </w:tr>
      <w:tr w:rsidR="00A2416E" w14:paraId="473B90F4" w14:textId="77777777">
        <w:trPr>
          <w:trHeight w:val="480"/>
        </w:trPr>
        <w:tc>
          <w:tcPr>
            <w:tcW w:w="777" w:type="dxa"/>
          </w:tcPr>
          <w:p w14:paraId="5908B850" w14:textId="77777777" w:rsidR="00A2416E" w:rsidRDefault="00534832">
            <w:pPr>
              <w:pStyle w:val="TableParagraph"/>
              <w:spacing w:before="0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3E93CD66" w14:textId="77777777" w:rsidR="00A2416E" w:rsidRDefault="00534832">
            <w:pPr>
              <w:pStyle w:val="TableParagraph"/>
              <w:spacing w:before="0" w:line="252" w:lineRule="auto"/>
              <w:ind w:left="57"/>
              <w:rPr>
                <w:sz w:val="19"/>
              </w:rPr>
            </w:pPr>
            <w:r>
              <w:rPr>
                <w:sz w:val="19"/>
              </w:rPr>
              <w:t>energija, ki jo vsebujejo sestavine, ki jih vsebuje proizvod a, izražena v megajoulih,</w:t>
            </w:r>
          </w:p>
        </w:tc>
      </w:tr>
      <w:tr w:rsidR="00A2416E" w14:paraId="245B7179" w14:textId="77777777">
        <w:trPr>
          <w:trHeight w:val="702"/>
        </w:trPr>
        <w:tc>
          <w:tcPr>
            <w:tcW w:w="777" w:type="dxa"/>
          </w:tcPr>
          <w:p w14:paraId="5334C4BE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a</w:t>
            </w:r>
          </w:p>
        </w:tc>
        <w:tc>
          <w:tcPr>
            <w:tcW w:w="5495" w:type="dxa"/>
          </w:tcPr>
          <w:p w14:paraId="2A6CA0A4" w14:textId="77777777" w:rsidR="00A2416E" w:rsidRDefault="00534832">
            <w:pPr>
              <w:pStyle w:val="TableParagraph"/>
              <w:spacing w:before="17" w:line="230" w:lineRule="exact"/>
              <w:ind w:left="57" w:right="197"/>
              <w:jc w:val="both"/>
              <w:rPr>
                <w:sz w:val="19"/>
              </w:rPr>
            </w:pPr>
            <w:r>
              <w:rPr>
                <w:sz w:val="19"/>
              </w:rPr>
              <w:t>emisije toplogrednih plinov, izražene v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eq/MJ, iz vseh biosestavin in fosilnih sestavin, vsebovanih v proizvodu, ki je bil dostavljen.</w:t>
            </w:r>
          </w:p>
        </w:tc>
      </w:tr>
    </w:tbl>
    <w:p w14:paraId="631CE3C8" w14:textId="77777777" w:rsidR="00A2416E" w:rsidRDefault="00A2416E">
      <w:pPr>
        <w:pStyle w:val="Brdtext"/>
        <w:rPr>
          <w:sz w:val="20"/>
        </w:rPr>
      </w:pPr>
    </w:p>
    <w:p w14:paraId="665B4BAB" w14:textId="77777777" w:rsidR="00A2416E" w:rsidRDefault="00A2416E">
      <w:pPr>
        <w:pStyle w:val="Brdtext"/>
        <w:spacing w:before="10"/>
        <w:rPr>
          <w:sz w:val="21"/>
        </w:rPr>
      </w:pPr>
    </w:p>
    <w:p w14:paraId="5772BB0F" w14:textId="77777777" w:rsidR="00A2416E" w:rsidRDefault="00534832">
      <w:pPr>
        <w:pStyle w:val="Rubrik3"/>
        <w:ind w:left="0" w:right="155"/>
        <w:jc w:val="right"/>
      </w:pPr>
      <w:r>
        <w:t>3</w:t>
      </w:r>
    </w:p>
    <w:p w14:paraId="677F036A" w14:textId="77777777" w:rsidR="00A2416E" w:rsidRDefault="00A2416E">
      <w:pPr>
        <w:jc w:val="right"/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EB2F8F7" w14:textId="77777777" w:rsidR="00A2416E" w:rsidRDefault="00534832">
      <w:pPr>
        <w:spacing w:before="73" w:line="228" w:lineRule="auto"/>
        <w:ind w:left="117" w:right="19"/>
        <w:rPr>
          <w:b/>
          <w:sz w:val="21"/>
        </w:rPr>
      </w:pPr>
      <w:bookmarkStart w:id="3" w:name="Utsläppsminskning_i_tidigare_led"/>
      <w:bookmarkStart w:id="4" w:name="Ikraftträdandebestämmelser"/>
      <w:bookmarkEnd w:id="3"/>
      <w:bookmarkEnd w:id="4"/>
      <w:r>
        <w:rPr>
          <w:b/>
          <w:sz w:val="21"/>
        </w:rPr>
        <w:lastRenderedPageBreak/>
        <w:t>STEMFS 2021:2</w:t>
      </w:r>
    </w:p>
    <w:p w14:paraId="0305CE16" w14:textId="77777777" w:rsidR="00A2416E" w:rsidRDefault="00534832">
      <w:pPr>
        <w:pStyle w:val="Brdtext"/>
        <w:spacing w:before="72" w:line="273" w:lineRule="auto"/>
        <w:ind w:left="117" w:right="381"/>
        <w:jc w:val="both"/>
      </w:pPr>
      <w:r>
        <w:br w:type="column"/>
      </w:r>
      <w:r>
        <w:rPr>
          <w:b/>
        </w:rPr>
        <w:t>Oddelek 13</w:t>
      </w:r>
      <w:r>
        <w:t xml:space="preserve"> V izračunih iz oddelka 12 dobavitelj goriva izračuna emisije toplogrednih plinov iz fosilnih sestavin v skladu s ponderiranimi normalnimi vrednostmi iz Priloge 1.</w:t>
      </w:r>
    </w:p>
    <w:p w14:paraId="10BFD7DE" w14:textId="77777777" w:rsidR="00A2416E" w:rsidRDefault="00534832">
      <w:pPr>
        <w:pStyle w:val="Brdtext"/>
        <w:spacing w:before="115" w:line="273" w:lineRule="auto"/>
        <w:ind w:left="117" w:right="381"/>
        <w:jc w:val="both"/>
      </w:pPr>
      <w:r>
        <w:t>V izračunih iz oddelka 12a, dobavitelj goriva izračuna emisije toplogrednih plinov iz fosilnih sestavin v skladu z normalnimi vrednostmi za določen vir surovine iz Priloge 1.</w:t>
      </w:r>
    </w:p>
    <w:p w14:paraId="2AC92A22" w14:textId="77777777" w:rsidR="00A2416E" w:rsidRDefault="00A2416E">
      <w:pPr>
        <w:pStyle w:val="Brdtext"/>
        <w:spacing w:before="5"/>
        <w:rPr>
          <w:sz w:val="26"/>
        </w:rPr>
      </w:pPr>
    </w:p>
    <w:p w14:paraId="0262139A" w14:textId="77777777" w:rsidR="00A2416E" w:rsidRDefault="00534832">
      <w:pPr>
        <w:pStyle w:val="Rubrik2"/>
        <w:spacing w:before="0"/>
      </w:pPr>
      <w:r>
        <w:t>Zmanjšanje emisij pri viru</w:t>
      </w:r>
    </w:p>
    <w:p w14:paraId="0796A5BC" w14:textId="77777777" w:rsidR="00A2416E" w:rsidRDefault="00534832">
      <w:pPr>
        <w:pStyle w:val="Brdtext"/>
        <w:spacing w:before="141" w:line="273" w:lineRule="auto"/>
        <w:ind w:left="117" w:right="380"/>
        <w:jc w:val="both"/>
      </w:pPr>
      <w:r>
        <w:rPr>
          <w:b/>
        </w:rPr>
        <w:t>Oddelek 16</w:t>
      </w:r>
      <w:r>
        <w:t xml:space="preserve"> Zato da bi se dobavitelju goriva pri izračunu intenzivnosti toplogrednih plinov iz oddelka 12 upoštevalo zmanjšanje emisij pri viru, dobavitelj goriva Švedski agenciji za energijo sporoči:</w:t>
      </w:r>
    </w:p>
    <w:p w14:paraId="3960C5E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datum začetka projekta, ki mora biti po 1. januarju 2011;</w:t>
      </w:r>
    </w:p>
    <w:p w14:paraId="5095575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letno zmanjšanje emisij pri viru v g CO</w:t>
      </w:r>
      <w:r>
        <w:rPr>
          <w:sz w:val="11"/>
        </w:rPr>
        <w:t>2</w:t>
      </w:r>
      <w:r>
        <w:rPr>
          <w:sz w:val="19"/>
        </w:rPr>
        <w:t>eq;</w:t>
      </w:r>
    </w:p>
    <w:p w14:paraId="0C44C87A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25"/>
        <w:jc w:val="both"/>
        <w:rPr>
          <w:sz w:val="19"/>
        </w:rPr>
      </w:pPr>
      <w:r>
        <w:rPr>
          <w:sz w:val="19"/>
        </w:rPr>
        <w:t>obdobje, v katerem naj bi prišlo do navedenega zmanjšanja;</w:t>
      </w:r>
    </w:p>
    <w:p w14:paraId="45CBAD50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line="252" w:lineRule="auto"/>
        <w:ind w:right="381"/>
        <w:jc w:val="both"/>
        <w:rPr>
          <w:sz w:val="19"/>
        </w:rPr>
      </w:pPr>
      <w:r>
        <w:rPr>
          <w:sz w:val="19"/>
        </w:rPr>
        <w:t>geografsko lokacijo projekta, ki je najbliže viru emisij, v koordinatah zemljepisne širine in dolžine v stopinjah do četrtega decimalnega mesta;</w:t>
      </w:r>
    </w:p>
    <w:p w14:paraId="31C4AA5C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65" w:line="230" w:lineRule="auto"/>
        <w:ind w:right="382"/>
        <w:jc w:val="both"/>
        <w:rPr>
          <w:sz w:val="19"/>
        </w:rPr>
      </w:pPr>
      <w:r>
        <w:rPr>
          <w:sz w:val="19"/>
        </w:rPr>
        <w:t>najnižji standard za emisije pred uvedbo ukrepov za zmanjšanje in letne emisije po izvedbi ukrepov za zmanjšanje v CO</w:t>
      </w:r>
      <w:r>
        <w:rPr>
          <w:sz w:val="11"/>
        </w:rPr>
        <w:t>2</w:t>
      </w:r>
      <w:r>
        <w:rPr>
          <w:sz w:val="19"/>
        </w:rPr>
        <w:t>eq/MJ za proizvedeno surovino;</w:t>
      </w:r>
    </w:p>
    <w:p w14:paraId="60C84C2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številko potrdila, ki je ni mogoče ponovno uporabiti in s katero sta enkratno identificirana sistem ter</w:t>
      </w:r>
    </w:p>
    <w:p w14:paraId="7F1E9855" w14:textId="77777777" w:rsidR="00A2416E" w:rsidRDefault="00534832">
      <w:pPr>
        <w:pStyle w:val="Brdtext"/>
        <w:spacing w:before="12"/>
        <w:ind w:left="315"/>
        <w:jc w:val="both"/>
      </w:pPr>
      <w:r>
        <w:t>navedeno zmanjšanje toplogrednih plinov;</w:t>
      </w:r>
    </w:p>
    <w:p w14:paraId="53C6F41B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številko, ki je ni mogoče ponovno uporabiti in s katero sta enkratno identificirana način izračuna ter</w:t>
      </w:r>
    </w:p>
    <w:p w14:paraId="128F9A23" w14:textId="77777777" w:rsidR="00A2416E" w:rsidRDefault="00534832">
      <w:pPr>
        <w:pStyle w:val="Brdtext"/>
        <w:spacing w:before="11"/>
        <w:ind w:left="315"/>
        <w:jc w:val="both"/>
      </w:pPr>
      <w:r>
        <w:t>povezan sistem.</w:t>
      </w:r>
    </w:p>
    <w:p w14:paraId="2A18DA87" w14:textId="77777777" w:rsidR="00A2416E" w:rsidRDefault="00A2416E">
      <w:pPr>
        <w:pStyle w:val="Brdtext"/>
        <w:rPr>
          <w:sz w:val="29"/>
        </w:rPr>
      </w:pPr>
    </w:p>
    <w:p w14:paraId="16842E29" w14:textId="77777777" w:rsidR="00A2416E" w:rsidRDefault="00534832">
      <w:pPr>
        <w:pStyle w:val="Rubrik2"/>
        <w:spacing w:before="0"/>
      </w:pPr>
      <w:r>
        <w:t>Določbe o začetku veljavnosti</w:t>
      </w:r>
    </w:p>
    <w:p w14:paraId="67EB8873" w14:textId="77777777" w:rsidR="00A2416E" w:rsidRDefault="00534832" w:rsidP="00F107C4">
      <w:pPr>
        <w:pStyle w:val="Brdtext"/>
        <w:spacing w:before="140" w:line="461" w:lineRule="auto"/>
        <w:ind w:left="119" w:right="2835"/>
      </w:pPr>
      <w:r>
        <w:t>Ti predpisi začnejo veljati 24. februarja 2021. V imenu Švedske agencije za energijo</w:t>
      </w:r>
    </w:p>
    <w:p w14:paraId="51DE8E66" w14:textId="77777777" w:rsidR="00A2416E" w:rsidRDefault="00A2416E">
      <w:pPr>
        <w:spacing w:line="460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6209CB19" w14:textId="77777777" w:rsidR="00A2416E" w:rsidRDefault="00A2416E">
      <w:pPr>
        <w:pStyle w:val="Brdtext"/>
        <w:spacing w:before="8"/>
        <w:rPr>
          <w:sz w:val="28"/>
        </w:rPr>
      </w:pPr>
    </w:p>
    <w:p w14:paraId="2CC17B70" w14:textId="77777777" w:rsidR="00A2416E" w:rsidRDefault="00534832">
      <w:pPr>
        <w:pStyle w:val="Brdtext"/>
        <w:spacing w:before="92"/>
        <w:ind w:left="1817"/>
      </w:pPr>
      <w:r>
        <w:t>Robert Andrén</w:t>
      </w:r>
    </w:p>
    <w:p w14:paraId="15A94D1C" w14:textId="77777777" w:rsidR="00A2416E" w:rsidRDefault="00A2416E">
      <w:pPr>
        <w:pStyle w:val="Brdtext"/>
        <w:spacing w:before="6"/>
        <w:rPr>
          <w:sz w:val="17"/>
        </w:rPr>
      </w:pPr>
    </w:p>
    <w:p w14:paraId="1AFFE159" w14:textId="77777777" w:rsidR="00A2416E" w:rsidRDefault="00534832">
      <w:pPr>
        <w:pStyle w:val="Brdtext"/>
        <w:ind w:left="3265" w:right="2636"/>
        <w:jc w:val="center"/>
      </w:pPr>
      <w:r>
        <w:t>Ulf Jonson</w:t>
      </w:r>
    </w:p>
    <w:p w14:paraId="6574D352" w14:textId="77777777" w:rsidR="00A2416E" w:rsidRDefault="00A2416E">
      <w:pPr>
        <w:pStyle w:val="Brdtext"/>
        <w:rPr>
          <w:sz w:val="20"/>
        </w:rPr>
      </w:pPr>
    </w:p>
    <w:p w14:paraId="4DDBCF46" w14:textId="77777777" w:rsidR="00A2416E" w:rsidRDefault="00A2416E">
      <w:pPr>
        <w:pStyle w:val="Brdtext"/>
        <w:rPr>
          <w:sz w:val="20"/>
        </w:rPr>
      </w:pPr>
    </w:p>
    <w:p w14:paraId="04AB8C25" w14:textId="77777777" w:rsidR="00A2416E" w:rsidRDefault="00A2416E">
      <w:pPr>
        <w:pStyle w:val="Brdtext"/>
        <w:rPr>
          <w:sz w:val="20"/>
        </w:rPr>
      </w:pPr>
    </w:p>
    <w:p w14:paraId="442C2781" w14:textId="77777777" w:rsidR="00A2416E" w:rsidRDefault="00A2416E">
      <w:pPr>
        <w:pStyle w:val="Brdtext"/>
        <w:rPr>
          <w:sz w:val="20"/>
        </w:rPr>
      </w:pPr>
    </w:p>
    <w:p w14:paraId="6CF46550" w14:textId="77777777" w:rsidR="00A2416E" w:rsidRDefault="00A2416E">
      <w:pPr>
        <w:pStyle w:val="Brdtext"/>
        <w:rPr>
          <w:sz w:val="20"/>
        </w:rPr>
      </w:pPr>
    </w:p>
    <w:p w14:paraId="76DFAC04" w14:textId="77777777" w:rsidR="00A2416E" w:rsidRDefault="00A2416E">
      <w:pPr>
        <w:pStyle w:val="Brdtext"/>
        <w:rPr>
          <w:sz w:val="20"/>
        </w:rPr>
      </w:pPr>
    </w:p>
    <w:p w14:paraId="7DD6FC54" w14:textId="77777777" w:rsidR="00A2416E" w:rsidRDefault="00A2416E">
      <w:pPr>
        <w:pStyle w:val="Brdtext"/>
        <w:rPr>
          <w:sz w:val="20"/>
        </w:rPr>
      </w:pPr>
    </w:p>
    <w:p w14:paraId="3B9B0B7E" w14:textId="77777777" w:rsidR="00A2416E" w:rsidRDefault="00A2416E">
      <w:pPr>
        <w:pStyle w:val="Brdtext"/>
        <w:rPr>
          <w:sz w:val="20"/>
        </w:rPr>
      </w:pPr>
    </w:p>
    <w:p w14:paraId="4614A6AE" w14:textId="77777777" w:rsidR="00A2416E" w:rsidRDefault="00A2416E">
      <w:pPr>
        <w:pStyle w:val="Brdtext"/>
        <w:rPr>
          <w:sz w:val="20"/>
        </w:rPr>
      </w:pPr>
    </w:p>
    <w:p w14:paraId="214B4D1C" w14:textId="77777777" w:rsidR="00A2416E" w:rsidRDefault="00A2416E">
      <w:pPr>
        <w:pStyle w:val="Brdtext"/>
        <w:rPr>
          <w:sz w:val="20"/>
        </w:rPr>
      </w:pPr>
    </w:p>
    <w:p w14:paraId="60D9F43A" w14:textId="77777777" w:rsidR="00A2416E" w:rsidRDefault="00A2416E">
      <w:pPr>
        <w:pStyle w:val="Brdtext"/>
        <w:spacing w:before="10"/>
        <w:rPr>
          <w:sz w:val="22"/>
        </w:rPr>
      </w:pPr>
    </w:p>
    <w:p w14:paraId="247B32BC" w14:textId="77777777" w:rsidR="00A2416E" w:rsidRDefault="00534832">
      <w:pPr>
        <w:pStyle w:val="Rubrik3"/>
        <w:spacing w:before="112"/>
      </w:pPr>
      <w:r>
        <w:t>4</w:t>
      </w:r>
    </w:p>
    <w:p w14:paraId="25560BB9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10C7F3D" w14:textId="77777777" w:rsidR="00A2416E" w:rsidRDefault="00534832">
      <w:pPr>
        <w:spacing w:before="71"/>
        <w:ind w:right="38"/>
        <w:jc w:val="right"/>
        <w:rPr>
          <w:b/>
          <w:sz w:val="26"/>
        </w:rPr>
      </w:pPr>
      <w:bookmarkStart w:id="5" w:name="Bilaga_1"/>
      <w:bookmarkStart w:id="6" w:name="Genomsnittliga_normalvärden_för_växthusg"/>
      <w:bookmarkEnd w:id="5"/>
      <w:bookmarkEnd w:id="6"/>
      <w:r>
        <w:rPr>
          <w:b/>
          <w:sz w:val="26"/>
        </w:rPr>
        <w:lastRenderedPageBreak/>
        <w:t>Priloga 1</w:t>
      </w:r>
    </w:p>
    <w:p w14:paraId="077A287F" w14:textId="77777777" w:rsidR="00A2416E" w:rsidRDefault="00A2416E">
      <w:pPr>
        <w:pStyle w:val="Brdtext"/>
        <w:spacing w:before="6"/>
        <w:rPr>
          <w:b/>
          <w:sz w:val="28"/>
        </w:rPr>
      </w:pPr>
    </w:p>
    <w:p w14:paraId="747041D0" w14:textId="77777777" w:rsidR="00A2416E" w:rsidRDefault="00534832">
      <w:pPr>
        <w:spacing w:line="228" w:lineRule="auto"/>
        <w:ind w:left="400"/>
        <w:rPr>
          <w:b/>
        </w:rPr>
      </w:pPr>
      <w:r>
        <w:rPr>
          <w:b/>
        </w:rPr>
        <w:t>Povprečna normalna intenzivnost toplogrednih plinov v življenjskem ciklu za sestavine fosilnih goriv</w:t>
      </w:r>
    </w:p>
    <w:p w14:paraId="1199B2D0" w14:textId="77777777" w:rsidR="00A2416E" w:rsidRDefault="00534832">
      <w:pPr>
        <w:pStyle w:val="Rubrik2"/>
        <w:spacing w:before="93" w:line="228" w:lineRule="auto"/>
        <w:ind w:left="400" w:right="134"/>
      </w:pPr>
      <w:r>
        <w:br w:type="column"/>
      </w:r>
      <w:r>
        <w:t>STEMFS 2021:2</w:t>
      </w:r>
    </w:p>
    <w:p w14:paraId="506D9EEB" w14:textId="77777777" w:rsidR="00A2416E" w:rsidRDefault="00A2416E">
      <w:pPr>
        <w:spacing w:line="228" w:lineRule="auto"/>
        <w:sectPr w:rsidR="00A2416E">
          <w:pgSz w:w="9360" w:h="13720"/>
          <w:pgMar w:top="920" w:right="580" w:bottom="280" w:left="620" w:header="720" w:footer="720" w:gutter="0"/>
          <w:cols w:num="2" w:space="720" w:equalWidth="0">
            <w:col w:w="6337" w:space="428"/>
            <w:col w:w="1395"/>
          </w:cols>
        </w:sectPr>
      </w:pPr>
    </w:p>
    <w:p w14:paraId="1876708B" w14:textId="77777777" w:rsidR="00A2416E" w:rsidRDefault="00A2416E">
      <w:pPr>
        <w:pStyle w:val="Brdtext"/>
        <w:spacing w:before="9"/>
        <w:rPr>
          <w:b/>
          <w:sz w:val="17"/>
        </w:rPr>
      </w:pPr>
    </w:p>
    <w:tbl>
      <w:tblPr>
        <w:tblStyle w:val="TableNormal1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1803"/>
        <w:gridCol w:w="1361"/>
        <w:gridCol w:w="1574"/>
      </w:tblGrid>
      <w:tr w:rsidR="00A2416E" w14:paraId="13BAB754" w14:textId="77777777">
        <w:trPr>
          <w:trHeight w:val="895"/>
        </w:trPr>
        <w:tc>
          <w:tcPr>
            <w:tcW w:w="2230" w:type="dxa"/>
            <w:tcBorders>
              <w:left w:val="nil"/>
              <w:right w:val="single" w:sz="6" w:space="0" w:color="000000"/>
            </w:tcBorders>
          </w:tcPr>
          <w:p w14:paraId="12C84FCD" w14:textId="77777777" w:rsidR="00A2416E" w:rsidRDefault="00534832">
            <w:pPr>
              <w:pStyle w:val="TableParagraph"/>
              <w:spacing w:before="67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Vir surovin in postopek</w:t>
            </w:r>
          </w:p>
        </w:tc>
        <w:tc>
          <w:tcPr>
            <w:tcW w:w="1803" w:type="dxa"/>
            <w:tcBorders>
              <w:left w:val="single" w:sz="6" w:space="0" w:color="000000"/>
              <w:right w:val="single" w:sz="6" w:space="0" w:color="000000"/>
            </w:tcBorders>
          </w:tcPr>
          <w:p w14:paraId="29AA3401" w14:textId="77777777" w:rsidR="00A2416E" w:rsidRDefault="00534832">
            <w:pPr>
              <w:pStyle w:val="TableParagraph"/>
              <w:spacing w:before="67" w:line="247" w:lineRule="auto"/>
              <w:ind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Gorivo, dano na trg</w:t>
            </w:r>
          </w:p>
        </w:tc>
        <w:tc>
          <w:tcPr>
            <w:tcW w:w="1361" w:type="dxa"/>
            <w:tcBorders>
              <w:left w:val="single" w:sz="6" w:space="0" w:color="000000"/>
              <w:right w:val="single" w:sz="6" w:space="0" w:color="000000"/>
            </w:tcBorders>
          </w:tcPr>
          <w:p w14:paraId="0199DD9D" w14:textId="77777777" w:rsidR="00A2416E" w:rsidRDefault="00534832">
            <w:pPr>
              <w:pStyle w:val="TableParagraph"/>
              <w:spacing w:before="67" w:line="247" w:lineRule="auto"/>
              <w:ind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Intenzivnost toplogrednih plinov v življenjskem ciklu (gCO</w:t>
            </w:r>
            <w:r>
              <w:rPr>
                <w:b/>
                <w:sz w:val="9"/>
              </w:rPr>
              <w:t xml:space="preserve"> 2</w:t>
            </w:r>
            <w:r>
              <w:rPr>
                <w:b/>
                <w:sz w:val="16"/>
              </w:rPr>
              <w:t>eq/MJ)</w:t>
            </w:r>
          </w:p>
        </w:tc>
        <w:tc>
          <w:tcPr>
            <w:tcW w:w="1574" w:type="dxa"/>
            <w:tcBorders>
              <w:left w:val="single" w:sz="6" w:space="0" w:color="000000"/>
              <w:right w:val="nil"/>
            </w:tcBorders>
          </w:tcPr>
          <w:p w14:paraId="06D77BF2" w14:textId="77777777" w:rsidR="00A2416E" w:rsidRDefault="00534832">
            <w:pPr>
              <w:pStyle w:val="TableParagraph"/>
              <w:spacing w:before="67" w:line="247" w:lineRule="auto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Ponderirana vrednost intenzivnosti toplogrednih plinov v življenjskem ciklu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</w:tr>
      <w:tr w:rsidR="00A2416E" w14:paraId="3873426A" w14:textId="77777777">
        <w:trPr>
          <w:trHeight w:val="280"/>
        </w:trPr>
        <w:tc>
          <w:tcPr>
            <w:tcW w:w="223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D17CA45" w14:textId="77777777" w:rsidR="00A2416E" w:rsidRDefault="00534832">
            <w:pPr>
              <w:pStyle w:val="TableParagraph"/>
              <w:spacing w:before="44"/>
              <w:ind w:left="7"/>
              <w:rPr>
                <w:sz w:val="10"/>
              </w:rPr>
            </w:pPr>
            <w:r>
              <w:rPr>
                <w:sz w:val="17"/>
              </w:rPr>
              <w:t>Običajna surova nafta</w:t>
            </w:r>
            <w:r>
              <w:rPr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BCD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Bencin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E7B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93,2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76CEAA9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93,3</w:t>
            </w:r>
          </w:p>
        </w:tc>
      </w:tr>
      <w:tr w:rsidR="00A2416E" w14:paraId="73B9A7AC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7C15D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Utekočinjen zemeljski plin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D2FE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3BA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66125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BAF8354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26C85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Sintetično olje, pridobljeno iz premoga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E7AF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F559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629D4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12BEE648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E1B23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Naravni bitumen</w:t>
            </w:r>
            <w:r>
              <w:rPr>
                <w:sz w:val="10"/>
              </w:rPr>
              <w:t>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DD9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B57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62DFB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17E91C6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5017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Oljni skrilavec</w:t>
            </w:r>
            <w:r>
              <w:rPr>
                <w:sz w:val="10"/>
              </w:rPr>
              <w:t>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29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07F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131,3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286A2F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B1F697D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AB26C8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Običajna surova nafta</w:t>
            </w:r>
            <w:r>
              <w:rPr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95E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Dizelsko gorivo ali plinsko olje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AC0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C010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95,1</w:t>
            </w:r>
          </w:p>
        </w:tc>
      </w:tr>
      <w:tr w:rsidR="00A2416E" w14:paraId="45915519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1ED05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Utekočinjen zemeljski plin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F4EB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CEB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8FE5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428360F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A7AAB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Sintetično olje, pridobljeno iz premoga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3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A614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11F3C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0AAD108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AEC1A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Naravni bitumen</w:t>
            </w:r>
            <w:r>
              <w:rPr>
                <w:sz w:val="10"/>
              </w:rPr>
              <w:t>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11B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2CE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9DC07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76BFD6A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20D99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Oljni skrilavec</w:t>
            </w:r>
            <w:r>
              <w:rPr>
                <w:sz w:val="10"/>
              </w:rPr>
              <w:t>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A3CA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43D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133,7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05A1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EFD38CA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E5B109" w14:textId="77777777" w:rsidR="00A2416E" w:rsidRDefault="00534832" w:rsidP="00016DD9"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Vsi fosilni viri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84D4" w14:textId="77777777" w:rsidR="00A2416E" w:rsidRDefault="00534832" w:rsidP="00016DD9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UNP v motorju na prisilni vžig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9BB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2DE0C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</w:tr>
      <w:tr w:rsidR="00A2416E" w14:paraId="235193A8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7893B3" w14:textId="77777777" w:rsidR="00A2416E" w:rsidRDefault="00534832" w:rsidP="00016DD9"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Zemeljski plin, mešanica energetskih virov EU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E64F" w14:textId="77777777" w:rsidR="00A2416E" w:rsidRDefault="00534832" w:rsidP="00016DD9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Stisnjeni zemeljski plin v motorju na prisilni vžig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4BF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48EA8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</w:tr>
      <w:tr w:rsidR="00A2416E" w14:paraId="748DCDF5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9A5898" w14:textId="77777777" w:rsidR="00A2416E" w:rsidRDefault="00534832" w:rsidP="00016DD9"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Zemeljski plin, mešanica energetskih virov EU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7A6A" w14:textId="77777777" w:rsidR="00A2416E" w:rsidRDefault="00534832" w:rsidP="00016DD9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Utekočinjeni zemeljski plin (UZP) v motorju na prisilni vžig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FB0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2B9F6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</w:tr>
      <w:tr w:rsidR="00A2416E" w14:paraId="6E44497F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233705" w14:textId="77777777" w:rsidR="00A2416E" w:rsidRDefault="00534832" w:rsidP="00016DD9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Sabatierjeva reakcija vodika z elektrolizo z</w:t>
            </w:r>
          </w:p>
          <w:p w14:paraId="0502C750" w14:textId="77777777" w:rsidR="00A2416E" w:rsidRDefault="00534832" w:rsidP="00016DD9">
            <w:pPr>
              <w:pStyle w:val="TableParagraph"/>
              <w:spacing w:before="0" w:line="191" w:lineRule="exact"/>
              <w:ind w:left="6"/>
              <w:rPr>
                <w:sz w:val="17"/>
              </w:rPr>
            </w:pPr>
            <w:r>
              <w:rPr>
                <w:sz w:val="17"/>
              </w:rPr>
              <w:t>Nebiološk obnovljivi viri energije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B5A" w14:textId="77777777" w:rsidR="00A2416E" w:rsidRDefault="00534832" w:rsidP="00016DD9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Stisnjen sintetični metan v motorju na prisilni vžig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CAB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F95D7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</w:tr>
      <w:tr w:rsidR="00A2416E" w14:paraId="3DEDD229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478A9" w14:textId="77777777" w:rsidR="00A2416E" w:rsidRDefault="00534832" w:rsidP="00016DD9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Zemeljski plin z reformo pare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B80C" w14:textId="77777777" w:rsidR="00A2416E" w:rsidRDefault="00534832" w:rsidP="00016DD9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Stisnjeni vodik v gorivni celici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77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24E8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</w:tr>
      <w:tr w:rsidR="00A2416E" w14:paraId="08CAB5BA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4479C" w14:textId="77777777" w:rsidR="00A2416E" w:rsidRDefault="00534832" w:rsidP="00016DD9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Elektroliza, ki jo v celoti poganja obnovljiva nebiološka energija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07E9" w14:textId="77777777" w:rsidR="00A2416E" w:rsidRDefault="00534832" w:rsidP="00016DD9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Stisnjeni vodik v gorivni celici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401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B0D43B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</w:tr>
      <w:tr w:rsidR="00A2416E" w14:paraId="0C1EC040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AA4F53" w14:textId="77777777" w:rsidR="00A2416E" w:rsidRDefault="00534832" w:rsidP="00016DD9"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Premog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0A2E" w14:textId="77777777" w:rsidR="00A2416E" w:rsidRDefault="00534832" w:rsidP="00016DD9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Stisnjeni vodik v gorivni celici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573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6830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</w:tr>
      <w:tr w:rsidR="00A2416E" w14:paraId="789D2C95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21D03" w14:textId="77777777" w:rsidR="00A2416E" w:rsidRDefault="00534832" w:rsidP="00016DD9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Premog z zajetjem ogljika in shranjevanjem procesnih emisij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B3B0" w14:textId="77777777" w:rsidR="00A2416E" w:rsidRDefault="00534832" w:rsidP="00016DD9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Stisnjeni vodik v gorivni celici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383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332B6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</w:tr>
      <w:tr w:rsidR="00A2416E" w14:paraId="1F750C81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44060" w14:textId="77777777" w:rsidR="00A2416E" w:rsidRDefault="00534832" w:rsidP="00016DD9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Plastični odpadki, pridobljeni iz fosilnih surovin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687C" w14:textId="77777777" w:rsidR="00A2416E" w:rsidRDefault="00534832" w:rsidP="00016DD9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Bencin, dizelsko gorivo ali plinsko olje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D11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4E51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</w:tbl>
    <w:p w14:paraId="686D7B57" w14:textId="77777777" w:rsidR="00A2416E" w:rsidRDefault="00534832" w:rsidP="00016DD9">
      <w:pPr>
        <w:spacing w:before="126" w:line="233" w:lineRule="auto"/>
        <w:ind w:left="403" w:right="964"/>
        <w:jc w:val="both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>Konvencionalna surova nafta pomeni vsako rafinerijsko surovino z gravitacijo API (Ameriški inštitut za nafto), ki je višja od 10 stopinj, če je nameščena v formaciji rezervoarja na kraju izvora, merjeno s preskusno metodo ASTM D287, in ne spada v opredelitev za oznako CN in kodo 2714</w:t>
      </w:r>
    </w:p>
    <w:p w14:paraId="4B21A793" w14:textId="77777777" w:rsidR="00A2416E" w:rsidRDefault="00534832">
      <w:pPr>
        <w:tabs>
          <w:tab w:val="right" w:pos="7997"/>
        </w:tabs>
        <w:spacing w:line="238" w:lineRule="exact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>kot je opredeljeno v Uredbi sveta (EGS) št. 2658/87.</w:t>
      </w:r>
      <w:r>
        <w:rPr>
          <w:sz w:val="17"/>
        </w:rPr>
        <w:tab/>
      </w:r>
      <w:r>
        <w:rPr>
          <w:rFonts w:ascii="HelveticaNeueLT Std Cn" w:hAnsi="HelveticaNeueLT Std Cn"/>
          <w:sz w:val="20"/>
        </w:rPr>
        <w:t>5</w:t>
      </w:r>
    </w:p>
    <w:p w14:paraId="65268C9D" w14:textId="77777777" w:rsidR="00A2416E" w:rsidRDefault="00A2416E">
      <w:pPr>
        <w:spacing w:line="238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2ED578D" w14:textId="77777777" w:rsidR="00A2416E" w:rsidRDefault="00534832">
      <w:pPr>
        <w:pStyle w:val="Rubrik2"/>
        <w:spacing w:line="228" w:lineRule="auto"/>
        <w:ind w:right="19"/>
      </w:pPr>
      <w:r>
        <w:lastRenderedPageBreak/>
        <w:t>STEMFS 2021:2</w:t>
      </w:r>
    </w:p>
    <w:p w14:paraId="36448102" w14:textId="77777777" w:rsidR="00A2416E" w:rsidRDefault="00534832">
      <w:pPr>
        <w:spacing w:before="81" w:line="232" w:lineRule="auto"/>
        <w:ind w:left="117" w:right="437"/>
        <w:rPr>
          <w:sz w:val="17"/>
        </w:rPr>
      </w:pPr>
      <w:r>
        <w:br w:type="column"/>
      </w:r>
      <w:r>
        <w:rPr>
          <w:sz w:val="10"/>
        </w:rPr>
        <w:t xml:space="preserve">2 </w:t>
      </w:r>
      <w:r>
        <w:rPr>
          <w:sz w:val="17"/>
        </w:rPr>
        <w:t>Naravni bitumen pomeni katero koli rafinerijsko surovino, ki a) ki ima po Ameriškem inštitutu za nafto (API) težo 10 stopinj ali manj, kadar se nahaja v rezervoarju na mestu ekstrakcije, kot je opredeljeno v skladu s preskusno metodo D287 Ameriškega združenja za preskušanje in materiale (ASTM); b) ima letno povprečno viskoznost pri temperaturi v rezervoarju večjo od tiste, izračunane po enačbi Viskoznost (Centipoise) = 518,98e-0,038T, pri čemer je T temperatura v stopinjah Celzija; c) spada v opredelitev katranskega peska pod oznako kombinirane nomenklature (KN) 2714, kot je določeno v Uredbi Sveta (EGS) št. 2658/87; ter d) kadar se mobilizacija vira surovine doseže z rudarsko ekstrakcijo ali toplotno okrepljeno gravitacijsko drenažo, pri čemer se toplotna energija v glavnem pridobiva iz virov, ki niso sam vir.</w:t>
      </w:r>
    </w:p>
    <w:p w14:paraId="7D15F9D2" w14:textId="77777777" w:rsidR="00A2416E" w:rsidRDefault="00534832">
      <w:pPr>
        <w:spacing w:before="89" w:line="232" w:lineRule="auto"/>
        <w:ind w:left="117" w:right="473"/>
        <w:rPr>
          <w:sz w:val="17"/>
        </w:rPr>
      </w:pPr>
      <w:r>
        <w:rPr>
          <w:sz w:val="10"/>
        </w:rPr>
        <w:t xml:space="preserve">3 </w:t>
      </w:r>
      <w:r>
        <w:rPr>
          <w:sz w:val="17"/>
        </w:rPr>
        <w:t>Oljni skrilavec pomeni kateri koli vir rafinerijske surovine, ki se nahaja v kamnini, ki vsebuje trden kerogen in spada pod opredelitev za oljni skrilavec pod oznako KN 2714, kot je opisano v Uredbi (EGS) št. 2658/87. Mobilizacija vira surovine se doseže z rudarsko ekstrakcijo ali toplotno okrepljeno gravitacijsko drenažo.</w:t>
      </w:r>
    </w:p>
    <w:p w14:paraId="4F1DF429" w14:textId="77777777" w:rsidR="00A2416E" w:rsidRDefault="00A2416E">
      <w:pPr>
        <w:spacing w:line="232" w:lineRule="auto"/>
        <w:rPr>
          <w:sz w:val="17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4B2CA0EF" w14:textId="77777777" w:rsidR="00A2416E" w:rsidRDefault="00A2416E">
      <w:pPr>
        <w:pStyle w:val="Brdtext"/>
        <w:rPr>
          <w:sz w:val="26"/>
        </w:rPr>
      </w:pPr>
    </w:p>
    <w:p w14:paraId="0A26DB13" w14:textId="77777777" w:rsidR="00A2416E" w:rsidRDefault="00A2416E">
      <w:pPr>
        <w:pStyle w:val="Brdtext"/>
        <w:rPr>
          <w:sz w:val="26"/>
        </w:rPr>
      </w:pPr>
    </w:p>
    <w:p w14:paraId="0FAF311C" w14:textId="77777777" w:rsidR="00A2416E" w:rsidRDefault="00A2416E">
      <w:pPr>
        <w:pStyle w:val="Brdtext"/>
        <w:rPr>
          <w:sz w:val="26"/>
        </w:rPr>
      </w:pPr>
    </w:p>
    <w:p w14:paraId="4EFBC468" w14:textId="77777777" w:rsidR="00A2416E" w:rsidRDefault="00A2416E">
      <w:pPr>
        <w:pStyle w:val="Brdtext"/>
        <w:rPr>
          <w:sz w:val="26"/>
        </w:rPr>
      </w:pPr>
    </w:p>
    <w:p w14:paraId="2BAA9D54" w14:textId="77777777" w:rsidR="00A2416E" w:rsidRDefault="00A2416E">
      <w:pPr>
        <w:pStyle w:val="Brdtext"/>
        <w:rPr>
          <w:sz w:val="26"/>
        </w:rPr>
      </w:pPr>
    </w:p>
    <w:p w14:paraId="4B62674C" w14:textId="77777777" w:rsidR="00A2416E" w:rsidRDefault="00A2416E">
      <w:pPr>
        <w:pStyle w:val="Brdtext"/>
        <w:rPr>
          <w:sz w:val="26"/>
        </w:rPr>
      </w:pPr>
    </w:p>
    <w:p w14:paraId="1921A8E7" w14:textId="77777777" w:rsidR="00A2416E" w:rsidRDefault="00A2416E">
      <w:pPr>
        <w:pStyle w:val="Brdtext"/>
        <w:rPr>
          <w:sz w:val="26"/>
        </w:rPr>
      </w:pPr>
    </w:p>
    <w:p w14:paraId="3B5954AD" w14:textId="77777777" w:rsidR="00A2416E" w:rsidRDefault="00A2416E">
      <w:pPr>
        <w:pStyle w:val="Brdtext"/>
        <w:rPr>
          <w:sz w:val="26"/>
        </w:rPr>
      </w:pPr>
    </w:p>
    <w:p w14:paraId="6D123182" w14:textId="77777777" w:rsidR="00A2416E" w:rsidRDefault="00A2416E">
      <w:pPr>
        <w:pStyle w:val="Brdtext"/>
        <w:rPr>
          <w:sz w:val="26"/>
        </w:rPr>
      </w:pPr>
    </w:p>
    <w:p w14:paraId="6E023F0F" w14:textId="77777777" w:rsidR="00A2416E" w:rsidRDefault="00A2416E">
      <w:pPr>
        <w:pStyle w:val="Brdtext"/>
        <w:rPr>
          <w:sz w:val="26"/>
        </w:rPr>
      </w:pPr>
    </w:p>
    <w:p w14:paraId="673A25F2" w14:textId="77777777" w:rsidR="00A2416E" w:rsidRDefault="00A2416E">
      <w:pPr>
        <w:pStyle w:val="Brdtext"/>
        <w:rPr>
          <w:sz w:val="26"/>
        </w:rPr>
      </w:pPr>
    </w:p>
    <w:p w14:paraId="3CCEACBA" w14:textId="77777777" w:rsidR="00A2416E" w:rsidRDefault="00A2416E">
      <w:pPr>
        <w:pStyle w:val="Brdtext"/>
        <w:rPr>
          <w:sz w:val="26"/>
        </w:rPr>
      </w:pPr>
    </w:p>
    <w:p w14:paraId="5FC5200E" w14:textId="77777777" w:rsidR="00A2416E" w:rsidRDefault="00A2416E">
      <w:pPr>
        <w:pStyle w:val="Brdtext"/>
        <w:rPr>
          <w:sz w:val="26"/>
        </w:rPr>
      </w:pPr>
    </w:p>
    <w:p w14:paraId="286B93AD" w14:textId="77777777" w:rsidR="00A2416E" w:rsidRDefault="00A2416E">
      <w:pPr>
        <w:pStyle w:val="Brdtext"/>
        <w:rPr>
          <w:sz w:val="26"/>
        </w:rPr>
      </w:pPr>
    </w:p>
    <w:p w14:paraId="420D1E7A" w14:textId="77777777" w:rsidR="00A2416E" w:rsidRDefault="00A2416E">
      <w:pPr>
        <w:pStyle w:val="Brdtext"/>
        <w:rPr>
          <w:sz w:val="26"/>
        </w:rPr>
      </w:pPr>
    </w:p>
    <w:p w14:paraId="0C5704DE" w14:textId="77777777" w:rsidR="00A2416E" w:rsidRDefault="00A2416E">
      <w:pPr>
        <w:pStyle w:val="Brdtext"/>
        <w:rPr>
          <w:sz w:val="26"/>
        </w:rPr>
      </w:pPr>
    </w:p>
    <w:p w14:paraId="01626443" w14:textId="77777777" w:rsidR="00A2416E" w:rsidRDefault="00A2416E">
      <w:pPr>
        <w:pStyle w:val="Brdtext"/>
        <w:rPr>
          <w:sz w:val="26"/>
        </w:rPr>
      </w:pPr>
    </w:p>
    <w:p w14:paraId="36AD06E0" w14:textId="77777777" w:rsidR="00A2416E" w:rsidRDefault="00A2416E">
      <w:pPr>
        <w:pStyle w:val="Brdtext"/>
        <w:rPr>
          <w:sz w:val="26"/>
        </w:rPr>
      </w:pPr>
    </w:p>
    <w:p w14:paraId="26EDA37B" w14:textId="77777777" w:rsidR="00A2416E" w:rsidRDefault="00A2416E">
      <w:pPr>
        <w:pStyle w:val="Brdtext"/>
        <w:rPr>
          <w:sz w:val="26"/>
        </w:rPr>
      </w:pPr>
    </w:p>
    <w:p w14:paraId="05A57E67" w14:textId="77777777" w:rsidR="00A2416E" w:rsidRDefault="00A2416E">
      <w:pPr>
        <w:pStyle w:val="Brdtext"/>
        <w:rPr>
          <w:sz w:val="26"/>
        </w:rPr>
      </w:pPr>
    </w:p>
    <w:p w14:paraId="38EEEB4B" w14:textId="77777777" w:rsidR="00A2416E" w:rsidRDefault="00A2416E">
      <w:pPr>
        <w:pStyle w:val="Brdtext"/>
        <w:rPr>
          <w:sz w:val="26"/>
        </w:rPr>
      </w:pPr>
    </w:p>
    <w:p w14:paraId="40C566BA" w14:textId="77777777" w:rsidR="00A2416E" w:rsidRDefault="00A2416E">
      <w:pPr>
        <w:pStyle w:val="Brdtext"/>
        <w:rPr>
          <w:sz w:val="26"/>
        </w:rPr>
      </w:pPr>
    </w:p>
    <w:p w14:paraId="7002B62C" w14:textId="77777777" w:rsidR="00A2416E" w:rsidRDefault="00A2416E">
      <w:pPr>
        <w:pStyle w:val="Brdtext"/>
        <w:rPr>
          <w:sz w:val="26"/>
        </w:rPr>
      </w:pPr>
    </w:p>
    <w:p w14:paraId="3313B690" w14:textId="77777777" w:rsidR="00A2416E" w:rsidRDefault="00A2416E">
      <w:pPr>
        <w:pStyle w:val="Brdtext"/>
        <w:rPr>
          <w:sz w:val="26"/>
        </w:rPr>
      </w:pPr>
    </w:p>
    <w:p w14:paraId="164F8077" w14:textId="77777777" w:rsidR="00A2416E" w:rsidRDefault="00A2416E">
      <w:pPr>
        <w:pStyle w:val="Brdtext"/>
        <w:rPr>
          <w:sz w:val="26"/>
        </w:rPr>
      </w:pPr>
    </w:p>
    <w:p w14:paraId="03001A05" w14:textId="77777777" w:rsidR="00A2416E" w:rsidRDefault="00A2416E">
      <w:pPr>
        <w:pStyle w:val="Brdtext"/>
        <w:rPr>
          <w:sz w:val="26"/>
        </w:rPr>
      </w:pPr>
    </w:p>
    <w:p w14:paraId="35F2DB8D" w14:textId="77777777" w:rsidR="00A2416E" w:rsidRDefault="00A2416E">
      <w:pPr>
        <w:pStyle w:val="Brdtext"/>
        <w:rPr>
          <w:sz w:val="26"/>
        </w:rPr>
      </w:pPr>
    </w:p>
    <w:p w14:paraId="40DD90BC" w14:textId="77777777" w:rsidR="00A2416E" w:rsidRDefault="00534832">
      <w:pPr>
        <w:pStyle w:val="Rubrik3"/>
        <w:spacing w:before="224"/>
      </w:pPr>
      <w:r>
        <w:t>6</w:t>
      </w:r>
    </w:p>
    <w:p w14:paraId="0F0644FB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E910C00" w14:textId="77777777" w:rsidR="00A2416E" w:rsidRDefault="00A2416E">
      <w:pPr>
        <w:pStyle w:val="Brdtext"/>
        <w:spacing w:before="5"/>
        <w:rPr>
          <w:rFonts w:ascii="HelveticaNeueLT Std Cn"/>
          <w:sz w:val="17"/>
        </w:rPr>
      </w:pPr>
    </w:p>
    <w:p w14:paraId="1D864C65" w14:textId="77777777" w:rsidR="00A2416E" w:rsidRDefault="00A2416E">
      <w:pPr>
        <w:rPr>
          <w:rFonts w:ascii="HelveticaNeueLT Std Cn"/>
          <w:sz w:val="17"/>
        </w:rPr>
        <w:sectPr w:rsidR="00A2416E">
          <w:pgSz w:w="9360" w:h="13720"/>
          <w:pgMar w:top="1280" w:right="580" w:bottom="280" w:left="620" w:header="720" w:footer="720" w:gutter="0"/>
          <w:cols w:space="720"/>
        </w:sectPr>
      </w:pPr>
    </w:p>
    <w:p w14:paraId="442D83D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1280EC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8CB8DD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0CFE4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1845BE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C5E8B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C7E42E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D939C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B1C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D21BD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083FCE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E27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51DFAC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A2B0D4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A8100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A7B330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61A1F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38FFF7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649281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F92DC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0327EA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C32F2E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9CDD4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E205C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705398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E7BCDE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E96DEB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CEA537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90DF5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D5B22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521357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60C531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DCA327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86BC4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4DA32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79245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C74010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57219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B0BC7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D3A12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7EB7451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DA141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F4286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61E477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A8064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06BE0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B49D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1BA4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F896C4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60C6538" w14:textId="77777777" w:rsidR="00A2416E" w:rsidRDefault="00A2416E">
      <w:pPr>
        <w:pStyle w:val="Brdtext"/>
        <w:spacing w:before="5"/>
        <w:rPr>
          <w:rFonts w:ascii="HelveticaNeueLT Std Cn"/>
          <w:sz w:val="16"/>
        </w:rPr>
      </w:pPr>
    </w:p>
    <w:p w14:paraId="6493E55E" w14:textId="77777777" w:rsidR="00A2416E" w:rsidRDefault="00534832">
      <w:pPr>
        <w:spacing w:before="94"/>
        <w:ind w:left="3265" w:right="3303"/>
        <w:jc w:val="center"/>
        <w:rPr>
          <w:sz w:val="16"/>
        </w:rPr>
      </w:pPr>
      <w:r>
        <w:rPr>
          <w:sz w:val="16"/>
        </w:rPr>
        <w:t>Arkitektkopia AB, 2021</w:t>
      </w:r>
    </w:p>
    <w:sectPr w:rsidR="00A2416E">
      <w:pgSz w:w="9360" w:h="13720"/>
      <w:pgMar w:top="1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022"/>
    <w:multiLevelType w:val="hybridMultilevel"/>
    <w:tmpl w:val="9C32ADD2"/>
    <w:lvl w:ilvl="0" w:tplc="DCE0122A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4634938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CC300154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9C20834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65016F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BD2233C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3E8E58BE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D1A2B188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2B70E1B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1" w15:restartNumberingAfterBreak="0">
    <w:nsid w:val="481C1347"/>
    <w:multiLevelType w:val="hybridMultilevel"/>
    <w:tmpl w:val="9C7E1930"/>
    <w:lvl w:ilvl="0" w:tplc="C744F9C0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FEB4DD82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50BA73C2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ED00D5E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064126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A4BE9D08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CCC41658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905C7B2E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A20BB10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2" w15:restartNumberingAfterBreak="0">
    <w:nsid w:val="5BD660CD"/>
    <w:multiLevelType w:val="hybridMultilevel"/>
    <w:tmpl w:val="E2CC420E"/>
    <w:lvl w:ilvl="0" w:tplc="87C8823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D8EA215C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2D1CE9CC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F2682940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7582D3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C42FF80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8EB06906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A57C080A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D0B8D752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3" w15:restartNumberingAfterBreak="0">
    <w:nsid w:val="75B322EB"/>
    <w:multiLevelType w:val="hybridMultilevel"/>
    <w:tmpl w:val="9434F28E"/>
    <w:lvl w:ilvl="0" w:tplc="B284F896">
      <w:start w:val="4"/>
      <w:numFmt w:val="decimal"/>
      <w:lvlText w:val="%1"/>
      <w:lvlJc w:val="left"/>
      <w:pPr>
        <w:ind w:left="117" w:hanging="19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9"/>
        <w:szCs w:val="19"/>
        <w:lang w:val="sv-SE" w:eastAsia="sv-SE" w:bidi="sv-SE"/>
      </w:rPr>
    </w:lvl>
    <w:lvl w:ilvl="1" w:tplc="393E4A44">
      <w:numFmt w:val="bullet"/>
      <w:lvlText w:val="•"/>
      <w:lvlJc w:val="left"/>
      <w:pPr>
        <w:ind w:left="400" w:hanging="191"/>
      </w:pPr>
      <w:rPr>
        <w:rFonts w:hint="default"/>
        <w:lang w:val="sv-SE" w:eastAsia="sv-SE" w:bidi="sv-SE"/>
      </w:rPr>
    </w:lvl>
    <w:lvl w:ilvl="2" w:tplc="6742EC7E">
      <w:numFmt w:val="bullet"/>
      <w:lvlText w:val="•"/>
      <w:lvlJc w:val="left"/>
      <w:pPr>
        <w:ind w:left="892" w:hanging="191"/>
      </w:pPr>
      <w:rPr>
        <w:rFonts w:hint="default"/>
        <w:lang w:val="sv-SE" w:eastAsia="sv-SE" w:bidi="sv-SE"/>
      </w:rPr>
    </w:lvl>
    <w:lvl w:ilvl="3" w:tplc="458C596A">
      <w:numFmt w:val="bullet"/>
      <w:lvlText w:val="•"/>
      <w:lvlJc w:val="left"/>
      <w:pPr>
        <w:ind w:left="1385" w:hanging="191"/>
      </w:pPr>
      <w:rPr>
        <w:rFonts w:hint="default"/>
        <w:lang w:val="sv-SE" w:eastAsia="sv-SE" w:bidi="sv-SE"/>
      </w:rPr>
    </w:lvl>
    <w:lvl w:ilvl="4" w:tplc="A57C0292">
      <w:numFmt w:val="bullet"/>
      <w:lvlText w:val="•"/>
      <w:lvlJc w:val="left"/>
      <w:pPr>
        <w:ind w:left="1878" w:hanging="191"/>
      </w:pPr>
      <w:rPr>
        <w:rFonts w:hint="default"/>
        <w:lang w:val="sv-SE" w:eastAsia="sv-SE" w:bidi="sv-SE"/>
      </w:rPr>
    </w:lvl>
    <w:lvl w:ilvl="5" w:tplc="EAD81622">
      <w:numFmt w:val="bullet"/>
      <w:lvlText w:val="•"/>
      <w:lvlJc w:val="left"/>
      <w:pPr>
        <w:ind w:left="2371" w:hanging="191"/>
      </w:pPr>
      <w:rPr>
        <w:rFonts w:hint="default"/>
        <w:lang w:val="sv-SE" w:eastAsia="sv-SE" w:bidi="sv-SE"/>
      </w:rPr>
    </w:lvl>
    <w:lvl w:ilvl="6" w:tplc="79FE8E66">
      <w:numFmt w:val="bullet"/>
      <w:lvlText w:val="•"/>
      <w:lvlJc w:val="left"/>
      <w:pPr>
        <w:ind w:left="2864" w:hanging="191"/>
      </w:pPr>
      <w:rPr>
        <w:rFonts w:hint="default"/>
        <w:lang w:val="sv-SE" w:eastAsia="sv-SE" w:bidi="sv-SE"/>
      </w:rPr>
    </w:lvl>
    <w:lvl w:ilvl="7" w:tplc="48705B1C">
      <w:numFmt w:val="bullet"/>
      <w:lvlText w:val="•"/>
      <w:lvlJc w:val="left"/>
      <w:pPr>
        <w:ind w:left="3357" w:hanging="191"/>
      </w:pPr>
      <w:rPr>
        <w:rFonts w:hint="default"/>
        <w:lang w:val="sv-SE" w:eastAsia="sv-SE" w:bidi="sv-SE"/>
      </w:rPr>
    </w:lvl>
    <w:lvl w:ilvl="8" w:tplc="9DD4479E">
      <w:numFmt w:val="bullet"/>
      <w:lvlText w:val="•"/>
      <w:lvlJc w:val="left"/>
      <w:pPr>
        <w:ind w:left="3850" w:hanging="191"/>
      </w:pPr>
      <w:rPr>
        <w:rFonts w:hint="default"/>
        <w:lang w:val="sv-SE" w:eastAsia="sv-SE" w:bidi="sv-SE"/>
      </w:rPr>
    </w:lvl>
  </w:abstractNum>
  <w:abstractNum w:abstractNumId="4" w15:restartNumberingAfterBreak="0">
    <w:nsid w:val="781053DB"/>
    <w:multiLevelType w:val="hybridMultilevel"/>
    <w:tmpl w:val="78DE761A"/>
    <w:lvl w:ilvl="0" w:tplc="46523CC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0C92987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1D466E7E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7B32C61C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C2A008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BFD03AA2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BFA48664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4F0CD3C6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0F4FAC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6E"/>
    <w:rsid w:val="00016DD9"/>
    <w:rsid w:val="00534832"/>
    <w:rsid w:val="00581354"/>
    <w:rsid w:val="00A2416E"/>
    <w:rsid w:val="00F1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978AA5"/>
  <w15:docId w15:val="{3431FC6E-06A0-4218-8771-913709B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sv-SE" w:bidi="sv-SE"/>
    </w:rPr>
  </w:style>
  <w:style w:type="paragraph" w:styleId="Rubrik1">
    <w:name w:val="heading 1"/>
    <w:basedOn w:val="Normal"/>
    <w:uiPriority w:val="9"/>
    <w:qFormat/>
    <w:pPr>
      <w:spacing w:before="71"/>
      <w:ind w:right="33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73"/>
      <w:ind w:left="117"/>
      <w:outlineLvl w:val="1"/>
    </w:pPr>
    <w:rPr>
      <w:b/>
      <w:bCs/>
      <w:sz w:val="21"/>
      <w:szCs w:val="21"/>
    </w:rPr>
  </w:style>
  <w:style w:type="paragraph" w:styleId="Rubrik3">
    <w:name w:val="heading 3"/>
    <w:basedOn w:val="Normal"/>
    <w:uiPriority w:val="9"/>
    <w:unhideWhenUsed/>
    <w:qFormat/>
    <w:pPr>
      <w:spacing w:before="1"/>
      <w:ind w:left="117"/>
      <w:outlineLvl w:val="2"/>
    </w:pPr>
    <w:rPr>
      <w:rFonts w:ascii="HelveticaNeueLT Std Cn" w:eastAsia="HelveticaNeueLT Std Cn" w:hAnsi="HelveticaNeueLT Std Cn" w:cs="HelveticaNeueLT Std C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spacing w:before="68"/>
      <w:ind w:left="315" w:hanging="19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1589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STEMFS 2021:2 Föreskrifter om ändring av Statens energimyndighets föreskrifter (STEMFS 2017:3) om rapportering och beräkning enligt drivmedelslagen</vt:lpstr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STEMFS 2021:2 Föreskrifter om ändring av Statens energimyndighets föreskrifter (STEMFS 2017:3) om rapportering och beräkning enligt drivmedelslagen</dc:title>
  <dc:creator>Rikard Janson (chefsjurist)</dc:creator>
  <cp:keywords>STEMFS 2021:2 Föreskrifter om ändring av Statens energimyndighets föreskrifter (STEMFS 2017:3) om rapportering och beräkning enligt drivmedelslagen</cp:keywords>
  <cp:lastModifiedBy>Edison Moises Parraga Chica</cp:lastModifiedBy>
  <cp:revision>4</cp:revision>
  <dcterms:created xsi:type="dcterms:W3CDTF">2021-04-07T09:34:00Z</dcterms:created>
  <dcterms:modified xsi:type="dcterms:W3CDTF">2022-01-17T20:37:00Z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2021-04-07T00:00:00Z</vt:filetime>
  </property>
</Properties>
</file>