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2446C3" w:rsidRDefault="00833243" w:rsidP="00275360">
      <w:pPr>
        <w:pStyle w:val="18AbbildungoderObjekt"/>
        <w:jc w:val="center"/>
      </w:pPr>
      <w:r w:rsidRPr="002446C3">
        <w:rPr>
          <w:noProof/>
          <w:lang w:val="en-US" w:eastAsia="zh-CN"/>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2446C3" w:rsidTr="0069392C">
        <w:tc>
          <w:tcPr>
            <w:tcW w:w="4247" w:type="dxa"/>
          </w:tcPr>
          <w:p w:rsidR="0069392C" w:rsidRPr="002446C3" w:rsidRDefault="0069392C" w:rsidP="0069392C">
            <w:pPr>
              <w:pStyle w:val="51Abs"/>
              <w:ind w:firstLine="0"/>
            </w:pPr>
            <w:r w:rsidRPr="002446C3">
              <w:t>LAND TIROL</w:t>
            </w:r>
          </w:p>
        </w:tc>
        <w:tc>
          <w:tcPr>
            <w:tcW w:w="4248" w:type="dxa"/>
          </w:tcPr>
          <w:p w:rsidR="0069392C" w:rsidRPr="002446C3" w:rsidRDefault="0069392C" w:rsidP="0069392C">
            <w:pPr>
              <w:pStyle w:val="51Abs"/>
              <w:ind w:firstLine="0"/>
            </w:pPr>
            <w:r w:rsidRPr="002446C3">
              <w:t>TIROOLI LIIDUMAA</w:t>
            </w:r>
          </w:p>
        </w:tc>
      </w:tr>
      <w:tr w:rsidR="0069392C" w:rsidRPr="002446C3" w:rsidTr="0069392C">
        <w:tc>
          <w:tcPr>
            <w:tcW w:w="4247" w:type="dxa"/>
          </w:tcPr>
          <w:p w:rsidR="0069392C" w:rsidRPr="002446C3" w:rsidRDefault="0069392C" w:rsidP="0069392C">
            <w:pPr>
              <w:pStyle w:val="51Abs"/>
              <w:ind w:firstLine="0"/>
            </w:pPr>
            <w:proofErr w:type="spellStart"/>
            <w:r w:rsidRPr="002446C3">
              <w:t>Landesgesetzblatt</w:t>
            </w:r>
            <w:proofErr w:type="spellEnd"/>
            <w:r w:rsidRPr="002446C3">
              <w:t xml:space="preserve"> </w:t>
            </w:r>
            <w:proofErr w:type="spellStart"/>
            <w:r w:rsidRPr="002446C3">
              <w:t>für</w:t>
            </w:r>
            <w:proofErr w:type="spellEnd"/>
            <w:r w:rsidRPr="002446C3">
              <w:t xml:space="preserve"> </w:t>
            </w:r>
            <w:proofErr w:type="spellStart"/>
            <w:r w:rsidRPr="002446C3">
              <w:t>Tirol</w:t>
            </w:r>
            <w:proofErr w:type="spellEnd"/>
          </w:p>
        </w:tc>
        <w:tc>
          <w:tcPr>
            <w:tcW w:w="4248" w:type="dxa"/>
          </w:tcPr>
          <w:p w:rsidR="0069392C" w:rsidRPr="002446C3" w:rsidRDefault="0069392C" w:rsidP="0069392C">
            <w:pPr>
              <w:pStyle w:val="51Abs"/>
              <w:ind w:firstLine="0"/>
            </w:pPr>
            <w:r w:rsidRPr="002446C3">
              <w:t>Tirooli liidumaa ametlik väljaanne</w:t>
            </w:r>
          </w:p>
        </w:tc>
      </w:tr>
    </w:tbl>
    <w:p w:rsidR="007828B1" w:rsidRPr="002446C3" w:rsidRDefault="007828B1" w:rsidP="007828B1">
      <w:pPr>
        <w:rPr>
          <w:rFonts w:ascii="Courier New" w:eastAsiaTheme="minorHAnsi" w:hAnsi="Courier New" w:cs="Courier New"/>
          <w:sz w:val="20"/>
        </w:rPr>
      </w:pPr>
      <w:r w:rsidRPr="002446C3">
        <w:rPr>
          <w:rFonts w:ascii="Courier New" w:hAnsi="Courier New" w:cs="Courier New"/>
          <w:sz w:val="20"/>
        </w:rPr>
        <w:t>1. ---</w:t>
      </w:r>
      <w:r w:rsidR="002446C3" w:rsidRPr="002446C3">
        <w:rPr>
          <w:rFonts w:ascii="Courier New" w:hAnsi="Courier New" w:cs="Courier New"/>
          <w:sz w:val="20"/>
        </w:rPr>
        <w:t>-</w:t>
      </w:r>
      <w:r w:rsidRPr="002446C3">
        <w:rPr>
          <w:rFonts w:ascii="Courier New" w:hAnsi="Courier New" w:cs="Courier New"/>
          <w:sz w:val="20"/>
        </w:rPr>
        <w:t>--IND- 2019 0651</w:t>
      </w:r>
      <w:bookmarkStart w:id="0" w:name="_GoBack"/>
      <w:bookmarkEnd w:id="0"/>
      <w:r w:rsidRPr="002446C3">
        <w:rPr>
          <w:rFonts w:ascii="Courier New" w:hAnsi="Courier New" w:cs="Courier New"/>
          <w:sz w:val="20"/>
        </w:rPr>
        <w:t xml:space="preserve"> A-- ET- ------ </w:t>
      </w:r>
      <w:r w:rsidRPr="002446C3">
        <w:rPr>
          <w:rFonts w:ascii="Courier New" w:hAnsi="Courier New" w:cs="Courier New"/>
          <w:color w:val="000000"/>
          <w:sz w:val="20"/>
        </w:rPr>
        <w:t>20200930</w:t>
      </w:r>
      <w:r w:rsidRPr="002446C3">
        <w:rPr>
          <w:rFonts w:ascii="Courier New" w:hAnsi="Courier New" w:cs="Courier New"/>
          <w:sz w:val="20"/>
        </w:rPr>
        <w:t xml:space="preserve"> --- --- FINAL</w:t>
      </w:r>
    </w:p>
    <w:p w:rsidR="0069392C" w:rsidRPr="002446C3" w:rsidRDefault="0069392C" w:rsidP="0069392C">
      <w:pPr>
        <w:pStyle w:val="51Abs"/>
      </w:pPr>
    </w:p>
    <w:p w:rsidR="00275360" w:rsidRPr="002446C3" w:rsidRDefault="00275360" w:rsidP="0069392C">
      <w:pPr>
        <w:pStyle w:val="04AusgabeDaten"/>
        <w:tabs>
          <w:tab w:val="clear" w:pos="4253"/>
        </w:tabs>
      </w:pPr>
      <w:r w:rsidRPr="002446C3">
        <w:t>2020. aasta</w:t>
      </w:r>
      <w:r w:rsidRPr="002446C3">
        <w:tab/>
        <w:t>Välja antud 30. juunil 2020</w:t>
      </w:r>
    </w:p>
    <w:p w:rsidR="00275360" w:rsidRPr="002446C3" w:rsidRDefault="00275360" w:rsidP="00275360">
      <w:pPr>
        <w:pStyle w:val="05Kurztitel"/>
      </w:pPr>
      <w:r w:rsidRPr="002446C3">
        <w:t>70.</w:t>
      </w:r>
      <w:r w:rsidRPr="002446C3">
        <w:tab/>
        <w:t>Tirooli 2014. aasta gaasi-, kütte- ja kliimaseadmete määruse muudatus</w:t>
      </w:r>
    </w:p>
    <w:p w:rsidR="003B4FF6" w:rsidRPr="002446C3" w:rsidRDefault="00275360" w:rsidP="009A6CCA">
      <w:pPr>
        <w:pStyle w:val="11Titel"/>
      </w:pPr>
      <w:r w:rsidRPr="002446C3">
        <w:t>Liidumaa valitsuse 23. juuni 2020. aasta 70. määrus, millega muudetakse Tirooli 2014. aasta gaasi-, kütte- ja kliimaseadmete määrust</w:t>
      </w:r>
    </w:p>
    <w:p w:rsidR="00390CD2" w:rsidRPr="002446C3" w:rsidRDefault="00390CD2" w:rsidP="009A6CCA">
      <w:pPr>
        <w:pStyle w:val="12PromKlEinlSatz"/>
      </w:pPr>
      <w:r w:rsidRPr="002446C3">
        <w:t>Tulenevalt Tirooli 2013. aasta gaasi-, kütte- ja kliimaseadmete seaduse paragrahvi 3 lõikest 2 (liidumaa ametlik väljaanne nr 111/2013), viimati muudetud seadusega liidumaa ametlikus väljaandes nr 144/2018, sätestatakse järgmine:</w:t>
      </w:r>
    </w:p>
    <w:p w:rsidR="009000A8" w:rsidRPr="002446C3" w:rsidRDefault="009000A8" w:rsidP="009831A5">
      <w:pPr>
        <w:pStyle w:val="41UeberschrG1"/>
      </w:pPr>
      <w:r w:rsidRPr="002446C3">
        <w:t>Artikkel I</w:t>
      </w:r>
    </w:p>
    <w:p w:rsidR="007E62E6" w:rsidRPr="002446C3" w:rsidRDefault="007E62E6" w:rsidP="009A6CCA">
      <w:pPr>
        <w:pStyle w:val="12PromKlEinlSatz"/>
      </w:pPr>
      <w:r w:rsidRPr="002446C3">
        <w:t>Tirooli 2014. aasta gaasi-, kütte- ja kliimaseadmete määrust (liidumaa ametlik väljaanne nr 80/2014), määruse liidumaa ametlikus väljaandes nr 9/2018, muudetakse järgmiselt:</w:t>
      </w:r>
    </w:p>
    <w:p w:rsidR="003D2AFA" w:rsidRPr="002446C3" w:rsidRDefault="00ED638A" w:rsidP="009747D0">
      <w:pPr>
        <w:pStyle w:val="21NovAo1"/>
      </w:pPr>
      <w:r w:rsidRPr="002446C3">
        <w:t>1. Paragrahvis 2 lisatakse pärast lõiget 5 järgmised sätted lõigetena 6, 7 ja 8:</w:t>
      </w:r>
    </w:p>
    <w:p w:rsidR="00223A75" w:rsidRPr="002446C3" w:rsidRDefault="008D4BF2" w:rsidP="009A6CCA">
      <w:pPr>
        <w:pStyle w:val="51Abs"/>
      </w:pPr>
      <w:r w:rsidRPr="002446C3">
        <w:t>„6) Uutes hoonetes Tirooli 2018. aasta ehituseeskirja paragrahvi 2 lõike 7 tähenduses (liidumaa ametlik väljaanne nr 28/2018, muudetud kujul) ei ole lubatud keskküttesüsteemides kasutada tahkeid fossiilkütuseid vastavalt 1. lisale ja vedelaid fossiilkütuseid vastavalt 2. lisale.</w:t>
      </w:r>
    </w:p>
    <w:p w:rsidR="00103351" w:rsidRPr="002446C3" w:rsidRDefault="00223A75" w:rsidP="009A6CCA">
      <w:pPr>
        <w:pStyle w:val="51Abs"/>
      </w:pPr>
      <w:r w:rsidRPr="002446C3">
        <w:t>7) Ulatuslike renoveerimiste korral 2018. aasta Tirooli ehituseeskirja paragrahvi 2 lõike 27 tähenduses ei ole lubatud keskküttesüsteemides kasutada tahkeid fossiilkütuseid vastavalt 1. lisale ja vedelaid fossiilkütuseid vastavalt 2. lisale.“ Sellest hoolimata on tahkete fossiilkütuste kasutamine vastavalt 1. lisale ja vedelate fossiilkütuste kasutamine vastavalt 2. lisale keskküttesüsteemides endiselt lubatud, kui 2018. aasta Tirooli ehitusseadustiku paragrahvi 2 lõike 27 tähenduses taotletakse ehitusametilt kapitaalremonti 31. detsembriks 2024 ja asjaomase keskküttesüsteemi olemasolev boiler ei ole taotluse esitamise ajal vanem kui kümme aastat.</w:t>
      </w:r>
    </w:p>
    <w:p w:rsidR="003D2AFA" w:rsidRPr="002446C3" w:rsidRDefault="000A6F7A" w:rsidP="000A6F7A">
      <w:pPr>
        <w:pStyle w:val="51Abs"/>
      </w:pPr>
      <w:r w:rsidRPr="002446C3">
        <w:t>8) Lõikeid 6 ja 7 ei kohaldata keskküttesüsteemide suhtes, mille vastuvõtmise aruanne esitatakse ametiasutusele hiljemalt 31. detsembriks 2020.“</w:t>
      </w:r>
    </w:p>
    <w:p w:rsidR="00092EA6" w:rsidRPr="002446C3" w:rsidRDefault="00ED638A" w:rsidP="009747D0">
      <w:pPr>
        <w:pStyle w:val="21NovAo1"/>
      </w:pPr>
      <w:r w:rsidRPr="002446C3">
        <w:t>2. Paragrahvi 3 lõige 7 ja lõige 8 sõnastatakse järgmiselt:</w:t>
      </w:r>
    </w:p>
    <w:p w:rsidR="002B5E92" w:rsidRPr="002446C3" w:rsidRDefault="00092EA6" w:rsidP="00543EC7">
      <w:pPr>
        <w:pStyle w:val="51Abs"/>
        <w:keepNext/>
      </w:pPr>
      <w:r w:rsidRPr="002446C3">
        <w:t xml:space="preserve">„7) Kütte- ja kliimaseadmed tuleb paigaldada ja käitada viisil, et välditakse naabrite lubamatut mürasaastet. Lubamatut mürasaastet ei esine eelkõige siis, kui sellest põhjustatud püsiva müra A-kaalutud helirõhutase kinnistu piiril vabas õhus naabruses olevate kinnitustele, mis vastavalt Tirooli 2018. aasta ehituseeskirja paragrahvi 2 lõikele 21 ei ole liiklusalad, ei ületa vastavas töörežiimis järgmisi </w:t>
      </w:r>
      <w:proofErr w:type="spellStart"/>
      <w:r w:rsidRPr="002446C3">
        <w:t>dB</w:t>
      </w:r>
      <w:proofErr w:type="spellEnd"/>
      <w:r w:rsidRPr="002446C3">
        <w:t>-väärtusi:</w:t>
      </w:r>
    </w:p>
    <w:p w:rsidR="00BD226C" w:rsidRPr="002446C3"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2446C3" w:rsidTr="0069392C">
        <w:tc>
          <w:tcPr>
            <w:tcW w:w="3150" w:type="dxa"/>
            <w:vAlign w:val="center"/>
          </w:tcPr>
          <w:p w:rsidR="00520582" w:rsidRPr="002446C3" w:rsidRDefault="00520582" w:rsidP="00543EC7">
            <w:pPr>
              <w:pStyle w:val="09Abstand"/>
              <w:keepNext/>
            </w:pPr>
          </w:p>
        </w:tc>
        <w:tc>
          <w:tcPr>
            <w:tcW w:w="1750" w:type="dxa"/>
            <w:vAlign w:val="center"/>
          </w:tcPr>
          <w:p w:rsidR="00520582" w:rsidRPr="002446C3" w:rsidRDefault="00520582" w:rsidP="00543EC7">
            <w:pPr>
              <w:pStyle w:val="61bTabTextZentriert"/>
              <w:keepNext/>
            </w:pPr>
            <w:r w:rsidRPr="002446C3">
              <w:t>Päev</w:t>
            </w:r>
          </w:p>
          <w:p w:rsidR="00520582" w:rsidRPr="002446C3" w:rsidRDefault="00520582" w:rsidP="00543EC7">
            <w:pPr>
              <w:pStyle w:val="61bTabTextZentriert"/>
              <w:keepNext/>
            </w:pPr>
            <w:r w:rsidRPr="002446C3">
              <w:t>Kell 6.00 kuni 19.00</w:t>
            </w:r>
          </w:p>
        </w:tc>
        <w:tc>
          <w:tcPr>
            <w:tcW w:w="1922" w:type="dxa"/>
            <w:vAlign w:val="center"/>
          </w:tcPr>
          <w:p w:rsidR="00520582" w:rsidRPr="002446C3" w:rsidRDefault="00520582" w:rsidP="00543EC7">
            <w:pPr>
              <w:pStyle w:val="61bTabTextZentriert"/>
              <w:keepNext/>
            </w:pPr>
            <w:r w:rsidRPr="002446C3">
              <w:t>Õhtu</w:t>
            </w:r>
          </w:p>
          <w:p w:rsidR="00520582" w:rsidRPr="002446C3" w:rsidRDefault="00520582" w:rsidP="00543EC7">
            <w:pPr>
              <w:pStyle w:val="61bTabTextZentriert"/>
              <w:keepNext/>
            </w:pPr>
            <w:r w:rsidRPr="002446C3">
              <w:t>Kell 19.00 kuni 22.00</w:t>
            </w:r>
          </w:p>
        </w:tc>
        <w:tc>
          <w:tcPr>
            <w:tcW w:w="1801" w:type="dxa"/>
            <w:vAlign w:val="center"/>
          </w:tcPr>
          <w:p w:rsidR="00520582" w:rsidRPr="002446C3" w:rsidRDefault="00520582" w:rsidP="00543EC7">
            <w:pPr>
              <w:pStyle w:val="61bTabTextZentriert"/>
              <w:keepNext/>
            </w:pPr>
            <w:r w:rsidRPr="002446C3">
              <w:t>Öö</w:t>
            </w:r>
          </w:p>
          <w:p w:rsidR="00520582" w:rsidRPr="002446C3" w:rsidRDefault="00520582" w:rsidP="00543EC7">
            <w:pPr>
              <w:pStyle w:val="61bTabTextZentriert"/>
              <w:keepNext/>
            </w:pPr>
            <w:r w:rsidRPr="002446C3">
              <w:t>Kell 22.00 kuni 6.00</w:t>
            </w:r>
          </w:p>
        </w:tc>
      </w:tr>
      <w:tr w:rsidR="00922276" w:rsidRPr="002446C3" w:rsidTr="0069392C">
        <w:tc>
          <w:tcPr>
            <w:tcW w:w="3150" w:type="dxa"/>
            <w:vAlign w:val="center"/>
          </w:tcPr>
          <w:p w:rsidR="00520582" w:rsidRPr="002446C3" w:rsidRDefault="00520582" w:rsidP="006B308D">
            <w:pPr>
              <w:pStyle w:val="61TabText"/>
            </w:pPr>
            <w:r w:rsidRPr="002446C3">
              <w:t>Elurajoon</w:t>
            </w:r>
          </w:p>
        </w:tc>
        <w:tc>
          <w:tcPr>
            <w:tcW w:w="1750" w:type="dxa"/>
            <w:vAlign w:val="center"/>
          </w:tcPr>
          <w:p w:rsidR="00520582" w:rsidRPr="002446C3" w:rsidRDefault="00520582" w:rsidP="006B308D">
            <w:pPr>
              <w:pStyle w:val="61bTabTextZentriert"/>
            </w:pPr>
            <w:r w:rsidRPr="002446C3">
              <w:t xml:space="preserve">40 </w:t>
            </w:r>
            <w:proofErr w:type="spellStart"/>
            <w:r w:rsidRPr="002446C3">
              <w:t>dB</w:t>
            </w:r>
            <w:proofErr w:type="spellEnd"/>
          </w:p>
        </w:tc>
        <w:tc>
          <w:tcPr>
            <w:tcW w:w="1922" w:type="dxa"/>
            <w:vAlign w:val="center"/>
          </w:tcPr>
          <w:p w:rsidR="00520582" w:rsidRPr="002446C3" w:rsidRDefault="00520582" w:rsidP="006B308D">
            <w:pPr>
              <w:pStyle w:val="61bTabTextZentriert"/>
            </w:pPr>
            <w:r w:rsidRPr="002446C3">
              <w:t xml:space="preserve">35 </w:t>
            </w:r>
            <w:proofErr w:type="spellStart"/>
            <w:r w:rsidRPr="002446C3">
              <w:t>dB</w:t>
            </w:r>
            <w:proofErr w:type="spellEnd"/>
          </w:p>
        </w:tc>
        <w:tc>
          <w:tcPr>
            <w:tcW w:w="1801" w:type="dxa"/>
            <w:vAlign w:val="center"/>
          </w:tcPr>
          <w:p w:rsidR="00520582" w:rsidRPr="002446C3" w:rsidRDefault="00520582" w:rsidP="006B308D">
            <w:pPr>
              <w:pStyle w:val="61bTabTextZentriert"/>
            </w:pPr>
            <w:r w:rsidRPr="002446C3">
              <w:t xml:space="preserve">30 </w:t>
            </w:r>
            <w:proofErr w:type="spellStart"/>
            <w:r w:rsidRPr="002446C3">
              <w:t>dB</w:t>
            </w:r>
            <w:proofErr w:type="spellEnd"/>
          </w:p>
        </w:tc>
      </w:tr>
      <w:tr w:rsidR="00922276" w:rsidRPr="002446C3" w:rsidTr="0069392C">
        <w:tc>
          <w:tcPr>
            <w:tcW w:w="3150" w:type="dxa"/>
            <w:vAlign w:val="center"/>
          </w:tcPr>
          <w:p w:rsidR="00520582" w:rsidRPr="002446C3" w:rsidRDefault="00520582" w:rsidP="006B308D">
            <w:pPr>
              <w:pStyle w:val="61TabText"/>
            </w:pPr>
            <w:proofErr w:type="spellStart"/>
            <w:r w:rsidRPr="002446C3">
              <w:lastRenderedPageBreak/>
              <w:t>Segaelurajoon</w:t>
            </w:r>
            <w:proofErr w:type="spellEnd"/>
            <w:r w:rsidRPr="002446C3">
              <w:t xml:space="preserve"> või turismipiirkond</w:t>
            </w:r>
          </w:p>
        </w:tc>
        <w:tc>
          <w:tcPr>
            <w:tcW w:w="1750" w:type="dxa"/>
            <w:vAlign w:val="center"/>
          </w:tcPr>
          <w:p w:rsidR="00520582" w:rsidRPr="002446C3" w:rsidRDefault="00520582" w:rsidP="006B308D">
            <w:pPr>
              <w:pStyle w:val="61bTabTextZentriert"/>
            </w:pPr>
            <w:r w:rsidRPr="002446C3">
              <w:t xml:space="preserve">45 </w:t>
            </w:r>
            <w:proofErr w:type="spellStart"/>
            <w:r w:rsidRPr="002446C3">
              <w:t>dB</w:t>
            </w:r>
            <w:proofErr w:type="spellEnd"/>
          </w:p>
        </w:tc>
        <w:tc>
          <w:tcPr>
            <w:tcW w:w="1922" w:type="dxa"/>
            <w:vAlign w:val="center"/>
          </w:tcPr>
          <w:p w:rsidR="00520582" w:rsidRPr="002446C3" w:rsidRDefault="00520582" w:rsidP="006B308D">
            <w:pPr>
              <w:pStyle w:val="61bTabTextZentriert"/>
            </w:pPr>
            <w:r w:rsidRPr="002446C3">
              <w:t xml:space="preserve">40 </w:t>
            </w:r>
            <w:proofErr w:type="spellStart"/>
            <w:r w:rsidRPr="002446C3">
              <w:t>dB</w:t>
            </w:r>
            <w:proofErr w:type="spellEnd"/>
          </w:p>
        </w:tc>
        <w:tc>
          <w:tcPr>
            <w:tcW w:w="1801" w:type="dxa"/>
            <w:vAlign w:val="center"/>
          </w:tcPr>
          <w:p w:rsidR="00520582" w:rsidRPr="002446C3" w:rsidRDefault="00520582" w:rsidP="006B308D">
            <w:pPr>
              <w:pStyle w:val="61bTabTextZentriert"/>
            </w:pPr>
            <w:r w:rsidRPr="002446C3">
              <w:t xml:space="preserve">35 </w:t>
            </w:r>
            <w:proofErr w:type="spellStart"/>
            <w:r w:rsidRPr="002446C3">
              <w:t>dB</w:t>
            </w:r>
            <w:proofErr w:type="spellEnd"/>
          </w:p>
        </w:tc>
      </w:tr>
      <w:tr w:rsidR="00922276" w:rsidRPr="002446C3" w:rsidTr="0069392C">
        <w:tc>
          <w:tcPr>
            <w:tcW w:w="3150" w:type="dxa"/>
            <w:vAlign w:val="center"/>
          </w:tcPr>
          <w:p w:rsidR="00520582" w:rsidRPr="002446C3" w:rsidRDefault="00520582" w:rsidP="006B308D">
            <w:pPr>
              <w:pStyle w:val="61TabText"/>
            </w:pPr>
            <w:r w:rsidRPr="002446C3">
              <w:t xml:space="preserve">Põhiala, põllumajanduslik ja üldine </w:t>
            </w:r>
            <w:proofErr w:type="spellStart"/>
            <w:r w:rsidRPr="002446C3">
              <w:t>segapiirkond</w:t>
            </w:r>
            <w:proofErr w:type="spellEnd"/>
          </w:p>
        </w:tc>
        <w:tc>
          <w:tcPr>
            <w:tcW w:w="1750" w:type="dxa"/>
            <w:vAlign w:val="center"/>
          </w:tcPr>
          <w:p w:rsidR="00520582" w:rsidRPr="002446C3" w:rsidRDefault="00520582" w:rsidP="006B308D">
            <w:pPr>
              <w:pStyle w:val="61bTabTextZentriert"/>
            </w:pPr>
            <w:r w:rsidRPr="002446C3">
              <w:t xml:space="preserve">50 </w:t>
            </w:r>
            <w:proofErr w:type="spellStart"/>
            <w:r w:rsidRPr="002446C3">
              <w:t>dB</w:t>
            </w:r>
            <w:proofErr w:type="spellEnd"/>
          </w:p>
        </w:tc>
        <w:tc>
          <w:tcPr>
            <w:tcW w:w="1922" w:type="dxa"/>
            <w:vAlign w:val="center"/>
          </w:tcPr>
          <w:p w:rsidR="00520582" w:rsidRPr="002446C3" w:rsidRDefault="00520582" w:rsidP="006B308D">
            <w:pPr>
              <w:pStyle w:val="61bTabTextZentriert"/>
            </w:pPr>
            <w:r w:rsidRPr="002446C3">
              <w:t xml:space="preserve">45 </w:t>
            </w:r>
            <w:proofErr w:type="spellStart"/>
            <w:r w:rsidRPr="002446C3">
              <w:t>dB</w:t>
            </w:r>
            <w:proofErr w:type="spellEnd"/>
          </w:p>
        </w:tc>
        <w:tc>
          <w:tcPr>
            <w:tcW w:w="1801" w:type="dxa"/>
            <w:vAlign w:val="center"/>
          </w:tcPr>
          <w:p w:rsidR="00520582" w:rsidRPr="002446C3" w:rsidRDefault="00520582" w:rsidP="006B308D">
            <w:pPr>
              <w:pStyle w:val="61bTabTextZentriert"/>
            </w:pPr>
            <w:r w:rsidRPr="002446C3">
              <w:t xml:space="preserve">40 </w:t>
            </w:r>
            <w:proofErr w:type="spellStart"/>
            <w:r w:rsidRPr="002446C3">
              <w:t>dB</w:t>
            </w:r>
            <w:proofErr w:type="spellEnd"/>
          </w:p>
        </w:tc>
      </w:tr>
    </w:tbl>
    <w:p w:rsidR="00BD226C" w:rsidRPr="002446C3" w:rsidRDefault="00BD226C" w:rsidP="00BD226C">
      <w:pPr>
        <w:pStyle w:val="09Abstand"/>
      </w:pPr>
    </w:p>
    <w:p w:rsidR="002B5E92" w:rsidRPr="002446C3" w:rsidRDefault="002B5E92" w:rsidP="009A6CCA">
      <w:pPr>
        <w:pStyle w:val="58Schlussteile0Abs"/>
      </w:pPr>
      <w:r w:rsidRPr="002446C3">
        <w:t xml:space="preserve">Võrreldes eripiirkondadega vastavalt 2016. aasta Tirooli </w:t>
      </w:r>
      <w:proofErr w:type="spellStart"/>
      <w:r w:rsidRPr="002446C3">
        <w:t>ruumilise</w:t>
      </w:r>
      <w:proofErr w:type="spellEnd"/>
      <w:r w:rsidRPr="002446C3">
        <w:t xml:space="preserve"> planeerimise seaduse paragrahvi 43 (liidumaa ametlik väljaanne nr 101/2016, muudetud kujul) ja võrreldes hoonestatud kruntidega avatud maal vastavalt 2016. aasta Tirooli </w:t>
      </w:r>
      <w:proofErr w:type="spellStart"/>
      <w:r w:rsidRPr="002446C3">
        <w:t>ruumilise</w:t>
      </w:r>
      <w:proofErr w:type="spellEnd"/>
      <w:r w:rsidRPr="002446C3">
        <w:t xml:space="preserve"> planeerimise seaduse paragrahvi 41, tuleb kasutada </w:t>
      </w:r>
      <w:proofErr w:type="spellStart"/>
      <w:r w:rsidRPr="002446C3">
        <w:t>dB</w:t>
      </w:r>
      <w:proofErr w:type="spellEnd"/>
      <w:r w:rsidRPr="002446C3">
        <w:t>-väärtusi sellist tüüpi ehitusmaadele, mille kasutusotstarve on lähim eripiirkonnas määratletud sihtotstarbele.</w:t>
      </w:r>
    </w:p>
    <w:p w:rsidR="00423184" w:rsidRPr="002446C3" w:rsidRDefault="00423184" w:rsidP="00423184">
      <w:pPr>
        <w:pStyle w:val="51Abs"/>
      </w:pPr>
      <w:r w:rsidRPr="002446C3">
        <w:t xml:space="preserve">8) Lõikes 7 sätestatud piirväärtusi võib ületada, kui tehnika taseme kohaselt määratud baastaset kinnistu piiril ei suurendata rohkem kui 3 </w:t>
      </w:r>
      <w:proofErr w:type="spellStart"/>
      <w:r w:rsidRPr="002446C3">
        <w:t>dB</w:t>
      </w:r>
      <w:proofErr w:type="spellEnd"/>
      <w:r w:rsidRPr="002446C3">
        <w:t>.“</w:t>
      </w:r>
    </w:p>
    <w:p w:rsidR="00727A43" w:rsidRPr="002446C3" w:rsidRDefault="00ED638A" w:rsidP="009747D0">
      <w:pPr>
        <w:pStyle w:val="21NovAo1"/>
      </w:pPr>
      <w:r w:rsidRPr="002446C3">
        <w:t>3. Paragrahvi 6 lõige 4 sõnastatakse järgmiselt:</w:t>
      </w:r>
    </w:p>
    <w:p w:rsidR="00727A43" w:rsidRPr="002446C3" w:rsidRDefault="00727A43" w:rsidP="00727A43">
      <w:pPr>
        <w:pStyle w:val="51Abs"/>
      </w:pPr>
      <w:r w:rsidRPr="002446C3">
        <w:t>„4) Küttesüsteemid peavad olema varustatud isereguleerivate seadmetega temperatuuri eraldi reguleerimiseks igas toas või, kui see on tehniliselt asjakohane, hooneosa konkreetsel köetaval alal, kui see on tehniliselt ja majanduslikult teostatav.“</w:t>
      </w:r>
    </w:p>
    <w:p w:rsidR="00846ADA" w:rsidRPr="002446C3" w:rsidRDefault="00ED638A" w:rsidP="009747D0">
      <w:pPr>
        <w:pStyle w:val="22NovAo2"/>
      </w:pPr>
      <w:r w:rsidRPr="002446C3">
        <w:t>4. Paragrahvi 6 lõige 5 tunnistatakse kehtetuks.</w:t>
      </w:r>
    </w:p>
    <w:p w:rsidR="00846ADA" w:rsidRPr="002446C3" w:rsidRDefault="00ED638A" w:rsidP="009747D0">
      <w:pPr>
        <w:pStyle w:val="22NovAo2"/>
      </w:pPr>
      <w:r w:rsidRPr="002446C3">
        <w:t xml:space="preserve">5. Paragrahvi 6 varasem lõige 6 kannab lõigetähist </w:t>
      </w:r>
      <w:r w:rsidRPr="002446C3">
        <w:rPr>
          <w:i w:val="0"/>
        </w:rPr>
        <w:t>„5)“</w:t>
      </w:r>
      <w:r w:rsidRPr="002446C3">
        <w:t>.</w:t>
      </w:r>
    </w:p>
    <w:p w:rsidR="00846ADA" w:rsidRPr="002446C3" w:rsidRDefault="00ED638A" w:rsidP="009747D0">
      <w:pPr>
        <w:pStyle w:val="21NovAo1"/>
      </w:pPr>
      <w:r w:rsidRPr="002446C3">
        <w:t>6. Paragrahvi 6 praegune lõige 5 sõnastatakse järgmiselt:</w:t>
      </w:r>
    </w:p>
    <w:p w:rsidR="00E1201E" w:rsidRPr="002446C3" w:rsidRDefault="00E1201E" w:rsidP="00ED638A">
      <w:pPr>
        <w:pStyle w:val="51Abs"/>
      </w:pPr>
      <w:r w:rsidRPr="002446C3">
        <w:t xml:space="preserve">„5) Uutes hoonetes peavad gaasiga töötavad keskküttesüsteemid, mis on väikesed põletusseadmed, olema varustatud kondensatsioonitehnoloogiaga ja seadistatud nii, et neid saaks kütteväärtuse vahemikus võimalikult sageli kasutada. Gaasiga töötavate keskküttesüsteemide väljavahetamise korral kehtib see ainult juhul, kui olemasolev süsteem oli juba varustatud kondensatsioonitehnoloogiaga või muul viisil, kui see on ilma ebaproportsionaalsete lisapingutusteta tehniliselt võimalik. Teine lause kehtib õliga töötavate keskküttesüsteemide suhtes </w:t>
      </w:r>
      <w:proofErr w:type="spellStart"/>
      <w:r w:rsidRPr="002446C3">
        <w:rPr>
          <w:i/>
          <w:iCs/>
        </w:rPr>
        <w:t>mutatis</w:t>
      </w:r>
      <w:proofErr w:type="spellEnd"/>
      <w:r w:rsidRPr="002446C3">
        <w:rPr>
          <w:i/>
          <w:iCs/>
        </w:rPr>
        <w:t xml:space="preserve"> mutandis</w:t>
      </w:r>
      <w:r w:rsidRPr="002446C3">
        <w:t>, tingimusel et selliseid keskküttesüsteeme saab asendada.“</w:t>
      </w:r>
    </w:p>
    <w:p w:rsidR="003A4ED8" w:rsidRPr="002446C3" w:rsidRDefault="00ED638A" w:rsidP="009747D0">
      <w:pPr>
        <w:pStyle w:val="21NovAo1"/>
      </w:pPr>
      <w:r w:rsidRPr="002446C3">
        <w:t>7. Paragrahvi 28 lõige 2 sõnastatakse järgmiselt:</w:t>
      </w:r>
    </w:p>
    <w:p w:rsidR="009A6CCA" w:rsidRPr="002446C3" w:rsidRDefault="009A6CCA" w:rsidP="00543EC7">
      <w:pPr>
        <w:pStyle w:val="51Abs"/>
        <w:keepNext/>
        <w:ind w:firstLine="403"/>
      </w:pPr>
      <w:r w:rsidRPr="002446C3">
        <w:t>„(2) Kõnealune määrus</w:t>
      </w:r>
    </w:p>
    <w:p w:rsidR="009A6CCA" w:rsidRPr="002446C3" w:rsidRDefault="009A6CCA" w:rsidP="009A6CCA">
      <w:pPr>
        <w:pStyle w:val="52Aufzaehle1Ziffer"/>
      </w:pPr>
      <w:r w:rsidRPr="002446C3">
        <w:tab/>
        <w:t>a)</w:t>
      </w:r>
      <w:r w:rsidRPr="002446C3">
        <w:tab/>
        <w:t>tehti teatavaks kooskõlas Euroopa Parlamendi ja nõukogu direktiiviga 98/34/EÜ, millega nähakse ette tehnilistest standarditest ja eeskirjadest ning infoühiskonna teenuste eeskirjadest teatamise kord (EÜT L 204, 1998, lk 37), mida viimati muudeti määrusega (EL) nr 1025/2012 (ELT L 316, 2012, lk 12) (teatise number 2013/0703/A);</w:t>
      </w:r>
    </w:p>
    <w:p w:rsidR="009A6CCA" w:rsidRPr="002446C3" w:rsidRDefault="009A6CCA" w:rsidP="009A6CCA">
      <w:pPr>
        <w:pStyle w:val="52Aufzaehle1Ziffer"/>
      </w:pPr>
      <w:r w:rsidRPr="002446C3">
        <w:tab/>
        <w:t>b)</w:t>
      </w:r>
      <w:r w:rsidRPr="002446C3">
        <w:tab/>
        <w:t>tehti teatavaks kooskõlas Euroopa Parlamendi ja nõukogu direktiiviga (EL) 2015/1535, millega nähakse ette tehnilistest eeskirjadest ning infoühiskonna teenuste eeskirjadest teatamise kord (ELT L 241, 2015, lk 1) (teatise number 2019/651/A).“</w:t>
      </w:r>
    </w:p>
    <w:p w:rsidR="00423184" w:rsidRPr="002446C3" w:rsidRDefault="00423184" w:rsidP="00BD226C">
      <w:pPr>
        <w:pStyle w:val="41UeberschrG1"/>
      </w:pPr>
      <w:r w:rsidRPr="002446C3">
        <w:t>Artikkel II</w:t>
      </w:r>
    </w:p>
    <w:p w:rsidR="00423184" w:rsidRPr="002446C3" w:rsidRDefault="00423184" w:rsidP="00BD226C">
      <w:pPr>
        <w:pStyle w:val="51Abs"/>
      </w:pPr>
      <w:r w:rsidRPr="002446C3">
        <w:t>Antud määrus jõustub selle väljakuulutamisele järgneva esimese päeva lõpus.</w:t>
      </w:r>
    </w:p>
    <w:p w:rsidR="00275360" w:rsidRPr="002446C3" w:rsidRDefault="00275360" w:rsidP="00275360">
      <w:pPr>
        <w:pStyle w:val="09Abstand"/>
      </w:pPr>
    </w:p>
    <w:p w:rsidR="00981D6C" w:rsidRPr="002446C3" w:rsidRDefault="00981D6C" w:rsidP="009747D0">
      <w:pPr>
        <w:pStyle w:val="69UnterschrM"/>
      </w:pPr>
      <w:r w:rsidRPr="002446C3">
        <w:t>Liidumaa valitsusjuht:</w:t>
      </w:r>
    </w:p>
    <w:p w:rsidR="00275360" w:rsidRPr="002446C3" w:rsidRDefault="00275360" w:rsidP="009747D0">
      <w:pPr>
        <w:pStyle w:val="69UnterschrM"/>
      </w:pPr>
      <w:proofErr w:type="spellStart"/>
      <w:r w:rsidRPr="002446C3">
        <w:t>Platter</w:t>
      </w:r>
      <w:proofErr w:type="spellEnd"/>
    </w:p>
    <w:p w:rsidR="00981D6C" w:rsidRPr="002446C3" w:rsidRDefault="00981D6C" w:rsidP="009747D0">
      <w:pPr>
        <w:pStyle w:val="69UnterschrM"/>
      </w:pPr>
      <w:r w:rsidRPr="002446C3">
        <w:t>Liidumaa ameti direktor:</w:t>
      </w:r>
    </w:p>
    <w:p w:rsidR="00275360" w:rsidRPr="0069392C" w:rsidRDefault="00275360" w:rsidP="009747D0">
      <w:pPr>
        <w:pStyle w:val="69UnterschrM"/>
      </w:pPr>
      <w:proofErr w:type="spellStart"/>
      <w:r w:rsidRPr="002446C3">
        <w:t>Forster</w:t>
      </w:r>
      <w:proofErr w:type="spellEnd"/>
    </w:p>
    <w:sectPr w:rsidR="00275360" w:rsidRPr="0069392C"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448" w:rsidRDefault="00982448">
      <w:r>
        <w:separator/>
      </w:r>
    </w:p>
  </w:endnote>
  <w:endnote w:type="continuationSeparator" w:id="0">
    <w:p w:rsidR="00982448" w:rsidRDefault="00982448">
      <w:r>
        <w:continuationSeparator/>
      </w:r>
    </w:p>
  </w:endnote>
  <w:endnote w:type="continuationNotice" w:id="1">
    <w:p w:rsidR="00982448" w:rsidRDefault="00982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448" w:rsidRDefault="00982448">
      <w:r>
        <w:separator/>
      </w:r>
    </w:p>
  </w:footnote>
  <w:footnote w:type="continuationSeparator" w:id="0">
    <w:p w:rsidR="00982448" w:rsidRDefault="00982448">
      <w:r>
        <w:continuationSeparator/>
      </w:r>
    </w:p>
  </w:footnote>
  <w:footnote w:type="continuationNotice" w:id="1">
    <w:p w:rsidR="00982448" w:rsidRDefault="009824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Tirooli liidumaa ametlik väljaanne - Välja antud 30. juunil 2020 - Nr 70/2020</w:t>
    </w:r>
    <w:r>
      <w:tab/>
    </w:r>
    <w:r>
      <w:fldChar w:fldCharType="begin"/>
    </w:r>
    <w:r>
      <w:instrText xml:space="preserve"> PAGE  \* Arabic  \* MERGEFORMAT </w:instrText>
    </w:r>
    <w:r>
      <w:fldChar w:fldCharType="separate"/>
    </w:r>
    <w:r w:rsidR="00833243">
      <w:t>2</w:t>
    </w:r>
    <w:r>
      <w:fldChar w:fldCharType="end"/>
    </w:r>
    <w:r>
      <w:t xml:space="preserve"> / </w:t>
    </w:r>
    <w:fldSimple w:instr=" NUMPAGES  \* Arabic  \* MERGEFORMAT ">
      <w:r w:rsidR="00833243">
        <w:t>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t>Tirooli liidumaa ametlik väljaanne - Välja antud 30. juunil 2020 - Nr 70</w:t>
    </w:r>
    <w:r>
      <w:tab/>
    </w:r>
    <w:r>
      <w:fldChar w:fldCharType="begin"/>
    </w:r>
    <w:r>
      <w:instrText xml:space="preserve"> PAGE  \* Arabic  \* MERGEFORMAT </w:instrText>
    </w:r>
    <w:r>
      <w:fldChar w:fldCharType="separate"/>
    </w:r>
    <w:r w:rsidR="002446C3">
      <w:rPr>
        <w:noProof/>
      </w:rPr>
      <w:t>2</w:t>
    </w:r>
    <w:r>
      <w:fldChar w:fldCharType="end"/>
    </w:r>
    <w:r>
      <w:t xml:space="preserve"> / </w:t>
    </w:r>
    <w:fldSimple w:instr=" NUMPAGES  \* Arabic  \* MERGEFORMAT ">
      <w:r w:rsidR="002446C3">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6C3"/>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2448"/>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t-EE"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et-EE"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et-EE"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et-EE"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et-EE"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et-EE"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2.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B6BEE4-7493-4B25-A55D-9B28B9EC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