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4C4922" w:rsidRDefault="00833243" w:rsidP="00275360">
      <w:pPr>
        <w:pStyle w:val="18AbbildungoderObjekt"/>
        <w:jc w:val="center"/>
      </w:pPr>
      <w:r w:rsidRPr="004C4922">
        <w:rPr>
          <w:noProof/>
          <w:lang w:val="en-US" w:eastAsia="zh-CN"/>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4C4922" w:rsidTr="0069392C">
        <w:tc>
          <w:tcPr>
            <w:tcW w:w="4247" w:type="dxa"/>
          </w:tcPr>
          <w:p w:rsidR="0069392C" w:rsidRPr="004C4922" w:rsidRDefault="0069392C" w:rsidP="0069392C">
            <w:pPr>
              <w:pStyle w:val="51Abs"/>
              <w:ind w:firstLine="0"/>
            </w:pPr>
            <w:r w:rsidRPr="004C4922">
              <w:t>LAND TIROL</w:t>
            </w:r>
          </w:p>
        </w:tc>
        <w:tc>
          <w:tcPr>
            <w:tcW w:w="4248" w:type="dxa"/>
          </w:tcPr>
          <w:p w:rsidR="0069392C" w:rsidRPr="004C4922" w:rsidRDefault="0069392C" w:rsidP="0069392C">
            <w:pPr>
              <w:pStyle w:val="51Abs"/>
              <w:ind w:firstLine="0"/>
            </w:pPr>
            <w:r w:rsidRPr="004C4922">
              <w:t>ESTADO FEDERADO DO TIROL</w:t>
            </w:r>
          </w:p>
        </w:tc>
      </w:tr>
      <w:tr w:rsidR="0069392C" w:rsidRPr="004C4922" w:rsidTr="0069392C">
        <w:tc>
          <w:tcPr>
            <w:tcW w:w="4247" w:type="dxa"/>
          </w:tcPr>
          <w:p w:rsidR="0069392C" w:rsidRPr="004C4922" w:rsidRDefault="0069392C" w:rsidP="0069392C">
            <w:pPr>
              <w:pStyle w:val="51Abs"/>
              <w:ind w:firstLine="0"/>
            </w:pPr>
            <w:r w:rsidRPr="004C4922">
              <w:t>Landesgesetzblatt für Tirol</w:t>
            </w:r>
          </w:p>
        </w:tc>
        <w:tc>
          <w:tcPr>
            <w:tcW w:w="4248" w:type="dxa"/>
          </w:tcPr>
          <w:p w:rsidR="0069392C" w:rsidRPr="004C4922" w:rsidRDefault="0069392C" w:rsidP="0069392C">
            <w:pPr>
              <w:pStyle w:val="51Abs"/>
              <w:ind w:firstLine="0"/>
            </w:pPr>
            <w:r w:rsidRPr="004C4922">
              <w:t>Diário Oficial Regional do Tirol</w:t>
            </w:r>
          </w:p>
        </w:tc>
      </w:tr>
    </w:tbl>
    <w:p w:rsidR="007828B1" w:rsidRPr="004C4922" w:rsidRDefault="007828B1" w:rsidP="007828B1">
      <w:pPr>
        <w:rPr>
          <w:rFonts w:ascii="Courier New" w:eastAsiaTheme="minorHAnsi" w:hAnsi="Courier New" w:cs="Courier New"/>
          <w:sz w:val="20"/>
        </w:rPr>
      </w:pPr>
      <w:r w:rsidRPr="004C4922">
        <w:rPr>
          <w:rFonts w:ascii="Courier New" w:hAnsi="Courier New" w:cs="Courier New"/>
          <w:sz w:val="20"/>
        </w:rPr>
        <w:t>1. ---</w:t>
      </w:r>
      <w:r w:rsidR="004C4922">
        <w:rPr>
          <w:rFonts w:ascii="Courier New" w:hAnsi="Courier New" w:cs="Courier New"/>
          <w:sz w:val="20"/>
        </w:rPr>
        <w:t>-</w:t>
      </w:r>
      <w:bookmarkStart w:id="0" w:name="_GoBack"/>
      <w:bookmarkEnd w:id="0"/>
      <w:r w:rsidRPr="004C4922">
        <w:rPr>
          <w:rFonts w:ascii="Courier New" w:hAnsi="Courier New" w:cs="Courier New"/>
          <w:sz w:val="20"/>
        </w:rPr>
        <w:t xml:space="preserve">--IND- 2019 0651 A-- PT- ------ </w:t>
      </w:r>
      <w:r w:rsidRPr="004C4922">
        <w:rPr>
          <w:rFonts w:ascii="Courier New" w:hAnsi="Courier New" w:cs="Courier New"/>
          <w:color w:val="000000"/>
          <w:sz w:val="20"/>
        </w:rPr>
        <w:t>20200930</w:t>
      </w:r>
      <w:r w:rsidRPr="004C4922">
        <w:rPr>
          <w:rFonts w:ascii="Courier New" w:hAnsi="Courier New" w:cs="Courier New"/>
          <w:sz w:val="20"/>
        </w:rPr>
        <w:t xml:space="preserve"> --- --- FINAL</w:t>
      </w:r>
    </w:p>
    <w:p w:rsidR="0069392C" w:rsidRPr="004C4922" w:rsidRDefault="0069392C" w:rsidP="0069392C">
      <w:pPr>
        <w:pStyle w:val="51Abs"/>
      </w:pPr>
    </w:p>
    <w:p w:rsidR="00275360" w:rsidRPr="004C4922" w:rsidRDefault="00275360" w:rsidP="0069392C">
      <w:pPr>
        <w:pStyle w:val="04AusgabeDaten"/>
        <w:tabs>
          <w:tab w:val="clear" w:pos="4253"/>
        </w:tabs>
      </w:pPr>
      <w:r w:rsidRPr="004C4922">
        <w:t>Ano de 2020</w:t>
      </w:r>
      <w:r w:rsidRPr="004C4922">
        <w:tab/>
        <w:t>Publicado em 30 de junho de 2020</w:t>
      </w:r>
    </w:p>
    <w:p w:rsidR="00275360" w:rsidRPr="004C4922" w:rsidRDefault="00275360" w:rsidP="00275360">
      <w:pPr>
        <w:pStyle w:val="05Kurztitel"/>
      </w:pPr>
      <w:r w:rsidRPr="004C4922">
        <w:t>70.</w:t>
      </w:r>
      <w:r w:rsidRPr="004C4922">
        <w:tab/>
        <w:t>Alteração do Decreto do Tirol relativo a instalações de gás, instalações de aquecimento e sistemas de ar condicionado, de 2014</w:t>
      </w:r>
    </w:p>
    <w:p w:rsidR="003B4FF6" w:rsidRPr="004C4922" w:rsidRDefault="00275360" w:rsidP="009A6CCA">
      <w:pPr>
        <w:pStyle w:val="11Titel"/>
      </w:pPr>
      <w:r w:rsidRPr="004C4922">
        <w:t>70.</w:t>
      </w:r>
      <w:r w:rsidRPr="004C4922">
        <w:tab/>
        <w:t>Decreto do Governo Regional, de 23 de junho de 2020, que altera o Decreto do Tirol relativo a instalações de gás, instalações de aquecimento e sistemas de ar condicionado, de 2014</w:t>
      </w:r>
    </w:p>
    <w:p w:rsidR="00390CD2" w:rsidRPr="004C4922" w:rsidRDefault="00390CD2" w:rsidP="009A6CCA">
      <w:pPr>
        <w:pStyle w:val="12PromKlEinlSatz"/>
      </w:pPr>
      <w:r w:rsidRPr="004C4922">
        <w:t>Com base no artigo 3.º, n.º 2, da Lei do Tirol relativa a instalações de gás, instalações de aquecimento e sistemas de ar condicionado, de 2013, DO Regional n.º 111/2013, com a última redação que lhe foi dada pela Lei publicada no DO Regional n.º 144/2018, é decretado o seguinte:</w:t>
      </w:r>
    </w:p>
    <w:p w:rsidR="009000A8" w:rsidRPr="004C4922" w:rsidRDefault="009000A8" w:rsidP="009831A5">
      <w:pPr>
        <w:pStyle w:val="41UeberschrG1"/>
      </w:pPr>
      <w:r w:rsidRPr="004C4922">
        <w:t>Artigo 1.º</w:t>
      </w:r>
    </w:p>
    <w:p w:rsidR="007E62E6" w:rsidRPr="004C4922" w:rsidRDefault="007E62E6" w:rsidP="009A6CCA">
      <w:pPr>
        <w:pStyle w:val="12PromKlEinlSatz"/>
      </w:pPr>
      <w:r w:rsidRPr="004C4922">
        <w:t>O Decreto do Tirol relativo a instalações de gás, instalações de aquecimento e sistemas de ar condicionado, de 2014, DO Regional n.º 80/2014, na redação do Decreto publicado no DO Regional n.º 9/2018, é alterado do seguinte modo:</w:t>
      </w:r>
    </w:p>
    <w:p w:rsidR="003D2AFA" w:rsidRPr="004C4922" w:rsidRDefault="00ED638A" w:rsidP="009747D0">
      <w:pPr>
        <w:pStyle w:val="21NovAo1"/>
      </w:pPr>
      <w:r w:rsidRPr="004C4922">
        <w:t>1) No artigo 2.º, após o n.º 5, são aditadas as seguintes disposições enquanto n.</w:t>
      </w:r>
      <w:r w:rsidRPr="004C4922">
        <w:rPr>
          <w:vertAlign w:val="superscript"/>
        </w:rPr>
        <w:t>os</w:t>
      </w:r>
      <w:r w:rsidRPr="004C4922">
        <w:t xml:space="preserve"> 6, 7 e 8:</w:t>
      </w:r>
    </w:p>
    <w:p w:rsidR="00223A75" w:rsidRPr="004C4922" w:rsidRDefault="008D4BF2" w:rsidP="009A6CCA">
      <w:pPr>
        <w:pStyle w:val="51Abs"/>
      </w:pPr>
      <w:r w:rsidRPr="004C4922">
        <w:t>«6. A utilização de combustíveis fósseis sólidos nos termos do anexo 1 e de combustíveis fósseis líquidos nos termos do anexo 2 em instalações de aquecimento central não é permitida numa nova construção na aceção do artigo 2.º, n.º 7, do Regime de construção do Tirol, de 2018, DO Regional n.º 28/2018, na respetiva versão em vigor.</w:t>
      </w:r>
    </w:p>
    <w:p w:rsidR="00103351" w:rsidRPr="004C4922" w:rsidRDefault="00223A75" w:rsidP="009A6CCA">
      <w:pPr>
        <w:pStyle w:val="51Abs"/>
      </w:pPr>
      <w:r w:rsidRPr="004C4922">
        <w:t>7. A utilização de combustíveis fósseis sólidos nos termos do anexo 1 e de combustíveis fósseis líquidos nos termos do anexo 2 em instalações de aquecimento central não é permitida em grandes renovações na aceção do artigo 2.º, n.º 27, do Regime de construção do Tirol, de 2018. Em derrogação do que precede, a utilização de combustíveis fósseis sólidos nos termos do anexo 1 e de combustíveis fósseis líquidos nos termos do anexo 2 em instalações de aquecimento central continua a ser admitida, se a grande renovação na aceção do artigo 2.º, n.º 27, do Regime de construção do Tirol, de 2018, for objeto de um pedido junto da autoridade de construção até 31 de dezembro de 2024 e se a caldeira de aquecimento já existente da instalação de aquecimento central em causa não tiver mais de dez anos à data do pedido.</w:t>
      </w:r>
    </w:p>
    <w:p w:rsidR="003D2AFA" w:rsidRPr="004C4922" w:rsidRDefault="000A6F7A" w:rsidP="000A6F7A">
      <w:pPr>
        <w:pStyle w:val="51Abs"/>
      </w:pPr>
      <w:r w:rsidRPr="004C4922">
        <w:t>8. Os n.</w:t>
      </w:r>
      <w:r w:rsidRPr="004C4922">
        <w:rPr>
          <w:vertAlign w:val="superscript"/>
        </w:rPr>
        <w:t>os</w:t>
      </w:r>
      <w:r w:rsidRPr="004C4922">
        <w:t xml:space="preserve"> 6 e 7 não são aplicáveis a instalações de aquecimento central cujo relatório de aceitação seja apresentado à autoridade, o mais tardar, até 31 de dezembro de 2020.»;</w:t>
      </w:r>
    </w:p>
    <w:p w:rsidR="00092EA6" w:rsidRPr="004C4922" w:rsidRDefault="00ED638A" w:rsidP="009747D0">
      <w:pPr>
        <w:pStyle w:val="21NovAo1"/>
      </w:pPr>
      <w:r w:rsidRPr="004C4922">
        <w:t>2) O artigo 3.º, n.</w:t>
      </w:r>
      <w:r w:rsidRPr="004C4922">
        <w:rPr>
          <w:vertAlign w:val="superscript"/>
        </w:rPr>
        <w:t>os</w:t>
      </w:r>
      <w:r w:rsidRPr="004C4922">
        <w:t xml:space="preserve"> 7 e 8, deve ler-se da seguinte forma:</w:t>
      </w:r>
    </w:p>
    <w:p w:rsidR="002B5E92" w:rsidRPr="004C4922" w:rsidRDefault="00092EA6" w:rsidP="00543EC7">
      <w:pPr>
        <w:pStyle w:val="51Abs"/>
        <w:keepNext/>
      </w:pPr>
      <w:r w:rsidRPr="004C4922">
        <w:t xml:space="preserve">«7. As instalações de aquecimento e os sistemas de ar condicionado devem ser montados e operados de tal modo que se evite uma poluição sonora inaceitável para os vizinhos. Uma poluição sonora inaceitável não se verifica, nomeadamente, se o nível de pressão acústica ponderado A dos ruídos permanentes produzidos pelas instalações ou pelos sistemas em causa nos limites do terreno, no exterior, relativamente </w:t>
      </w:r>
      <w:r w:rsidRPr="004C4922">
        <w:lastRenderedPageBreak/>
        <w:t>a terrenos vizinhos que não constituam vias de circulação nos termos do artigo 2.º, n.º 21, do Regime de construção do Tirol, de 2018, não ultrapassar os seguintes valores de dB no respetivo modo de operação:</w:t>
      </w:r>
    </w:p>
    <w:p w:rsidR="00BD226C" w:rsidRPr="004C4922"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4C4922" w:rsidTr="0069392C">
        <w:tc>
          <w:tcPr>
            <w:tcW w:w="3150" w:type="dxa"/>
            <w:vAlign w:val="center"/>
          </w:tcPr>
          <w:p w:rsidR="00520582" w:rsidRPr="004C4922" w:rsidRDefault="00520582" w:rsidP="00543EC7">
            <w:pPr>
              <w:pStyle w:val="09Abstand"/>
              <w:keepNext/>
            </w:pPr>
          </w:p>
        </w:tc>
        <w:tc>
          <w:tcPr>
            <w:tcW w:w="1750" w:type="dxa"/>
            <w:vAlign w:val="center"/>
          </w:tcPr>
          <w:p w:rsidR="00520582" w:rsidRPr="004C4922" w:rsidRDefault="00520582" w:rsidP="00543EC7">
            <w:pPr>
              <w:pStyle w:val="61bTabTextZentriert"/>
              <w:keepNext/>
            </w:pPr>
            <w:r w:rsidRPr="004C4922">
              <w:t>Dia</w:t>
            </w:r>
          </w:p>
          <w:p w:rsidR="00520582" w:rsidRPr="004C4922" w:rsidRDefault="00520582" w:rsidP="00543EC7">
            <w:pPr>
              <w:pStyle w:val="61bTabTextZentriert"/>
              <w:keepNext/>
            </w:pPr>
            <w:r w:rsidRPr="004C4922">
              <w:t>6h00 às 19h00</w:t>
            </w:r>
          </w:p>
        </w:tc>
        <w:tc>
          <w:tcPr>
            <w:tcW w:w="1922" w:type="dxa"/>
            <w:vAlign w:val="center"/>
          </w:tcPr>
          <w:p w:rsidR="00520582" w:rsidRPr="004C4922" w:rsidRDefault="00520582" w:rsidP="00543EC7">
            <w:pPr>
              <w:pStyle w:val="61bTabTextZentriert"/>
              <w:keepNext/>
            </w:pPr>
            <w:r w:rsidRPr="004C4922">
              <w:t>Início da noite</w:t>
            </w:r>
          </w:p>
          <w:p w:rsidR="00520582" w:rsidRPr="004C4922" w:rsidRDefault="00520582" w:rsidP="00543EC7">
            <w:pPr>
              <w:pStyle w:val="61bTabTextZentriert"/>
              <w:keepNext/>
            </w:pPr>
            <w:r w:rsidRPr="004C4922">
              <w:t>19h00 às 22h00</w:t>
            </w:r>
          </w:p>
        </w:tc>
        <w:tc>
          <w:tcPr>
            <w:tcW w:w="1801" w:type="dxa"/>
            <w:vAlign w:val="center"/>
          </w:tcPr>
          <w:p w:rsidR="00520582" w:rsidRPr="004C4922" w:rsidRDefault="00520582" w:rsidP="00543EC7">
            <w:pPr>
              <w:pStyle w:val="61bTabTextZentriert"/>
              <w:keepNext/>
            </w:pPr>
            <w:r w:rsidRPr="004C4922">
              <w:t>Noite</w:t>
            </w:r>
          </w:p>
          <w:p w:rsidR="00520582" w:rsidRPr="004C4922" w:rsidRDefault="00520582" w:rsidP="00543EC7">
            <w:pPr>
              <w:pStyle w:val="61bTabTextZentriert"/>
              <w:keepNext/>
            </w:pPr>
            <w:r w:rsidRPr="004C4922">
              <w:t>22h00 às 6h00</w:t>
            </w:r>
          </w:p>
        </w:tc>
      </w:tr>
      <w:tr w:rsidR="00922276" w:rsidRPr="004C4922" w:rsidTr="0069392C">
        <w:tc>
          <w:tcPr>
            <w:tcW w:w="3150" w:type="dxa"/>
            <w:vAlign w:val="center"/>
          </w:tcPr>
          <w:p w:rsidR="00520582" w:rsidRPr="004C4922" w:rsidRDefault="00520582" w:rsidP="006B308D">
            <w:pPr>
              <w:pStyle w:val="61TabText"/>
            </w:pPr>
            <w:r w:rsidRPr="004C4922">
              <w:t>Zona habitacional</w:t>
            </w:r>
          </w:p>
        </w:tc>
        <w:tc>
          <w:tcPr>
            <w:tcW w:w="1750" w:type="dxa"/>
            <w:vAlign w:val="center"/>
          </w:tcPr>
          <w:p w:rsidR="00520582" w:rsidRPr="004C4922" w:rsidRDefault="00520582" w:rsidP="006B308D">
            <w:pPr>
              <w:pStyle w:val="61bTabTextZentriert"/>
            </w:pPr>
            <w:r w:rsidRPr="004C4922">
              <w:t>40 dB</w:t>
            </w:r>
          </w:p>
        </w:tc>
        <w:tc>
          <w:tcPr>
            <w:tcW w:w="1922" w:type="dxa"/>
            <w:vAlign w:val="center"/>
          </w:tcPr>
          <w:p w:rsidR="00520582" w:rsidRPr="004C4922" w:rsidRDefault="00520582" w:rsidP="006B308D">
            <w:pPr>
              <w:pStyle w:val="61bTabTextZentriert"/>
            </w:pPr>
            <w:r w:rsidRPr="004C4922">
              <w:t>35 dB</w:t>
            </w:r>
          </w:p>
        </w:tc>
        <w:tc>
          <w:tcPr>
            <w:tcW w:w="1801" w:type="dxa"/>
            <w:vAlign w:val="center"/>
          </w:tcPr>
          <w:p w:rsidR="00520582" w:rsidRPr="004C4922" w:rsidRDefault="00520582" w:rsidP="006B308D">
            <w:pPr>
              <w:pStyle w:val="61bTabTextZentriert"/>
            </w:pPr>
            <w:r w:rsidRPr="004C4922">
              <w:t>30 dB</w:t>
            </w:r>
          </w:p>
        </w:tc>
      </w:tr>
      <w:tr w:rsidR="00922276" w:rsidRPr="004C4922" w:rsidTr="0069392C">
        <w:tc>
          <w:tcPr>
            <w:tcW w:w="3150" w:type="dxa"/>
            <w:vAlign w:val="center"/>
          </w:tcPr>
          <w:p w:rsidR="00520582" w:rsidRPr="004C4922" w:rsidRDefault="00520582" w:rsidP="006B308D">
            <w:pPr>
              <w:pStyle w:val="61TabText"/>
            </w:pPr>
            <w:r w:rsidRPr="004C4922">
              <w:t>Zona habitacional mista ou zona turística</w:t>
            </w:r>
          </w:p>
        </w:tc>
        <w:tc>
          <w:tcPr>
            <w:tcW w:w="1750" w:type="dxa"/>
            <w:vAlign w:val="center"/>
          </w:tcPr>
          <w:p w:rsidR="00520582" w:rsidRPr="004C4922" w:rsidRDefault="00520582" w:rsidP="006B308D">
            <w:pPr>
              <w:pStyle w:val="61bTabTextZentriert"/>
            </w:pPr>
            <w:r w:rsidRPr="004C4922">
              <w:t>45 dB</w:t>
            </w:r>
          </w:p>
        </w:tc>
        <w:tc>
          <w:tcPr>
            <w:tcW w:w="1922" w:type="dxa"/>
            <w:vAlign w:val="center"/>
          </w:tcPr>
          <w:p w:rsidR="00520582" w:rsidRPr="004C4922" w:rsidRDefault="00520582" w:rsidP="006B308D">
            <w:pPr>
              <w:pStyle w:val="61bTabTextZentriert"/>
            </w:pPr>
            <w:r w:rsidRPr="004C4922">
              <w:t>40 dB</w:t>
            </w:r>
          </w:p>
        </w:tc>
        <w:tc>
          <w:tcPr>
            <w:tcW w:w="1801" w:type="dxa"/>
            <w:vAlign w:val="center"/>
          </w:tcPr>
          <w:p w:rsidR="00520582" w:rsidRPr="004C4922" w:rsidRDefault="00520582" w:rsidP="006B308D">
            <w:pPr>
              <w:pStyle w:val="61bTabTextZentriert"/>
            </w:pPr>
            <w:r w:rsidRPr="004C4922">
              <w:t>35 dB</w:t>
            </w:r>
          </w:p>
        </w:tc>
      </w:tr>
      <w:tr w:rsidR="00922276" w:rsidRPr="004C4922" w:rsidTr="0069392C">
        <w:tc>
          <w:tcPr>
            <w:tcW w:w="3150" w:type="dxa"/>
            <w:vAlign w:val="center"/>
          </w:tcPr>
          <w:p w:rsidR="00520582" w:rsidRPr="004C4922" w:rsidRDefault="00520582" w:rsidP="006B308D">
            <w:pPr>
              <w:pStyle w:val="61TabText"/>
            </w:pPr>
            <w:r w:rsidRPr="004C4922">
              <w:t>Zona central, zona mista rural e geral</w:t>
            </w:r>
          </w:p>
        </w:tc>
        <w:tc>
          <w:tcPr>
            <w:tcW w:w="1750" w:type="dxa"/>
            <w:vAlign w:val="center"/>
          </w:tcPr>
          <w:p w:rsidR="00520582" w:rsidRPr="004C4922" w:rsidRDefault="00520582" w:rsidP="006B308D">
            <w:pPr>
              <w:pStyle w:val="61bTabTextZentriert"/>
            </w:pPr>
            <w:r w:rsidRPr="004C4922">
              <w:t>50 dB</w:t>
            </w:r>
          </w:p>
        </w:tc>
        <w:tc>
          <w:tcPr>
            <w:tcW w:w="1922" w:type="dxa"/>
            <w:vAlign w:val="center"/>
          </w:tcPr>
          <w:p w:rsidR="00520582" w:rsidRPr="004C4922" w:rsidRDefault="00520582" w:rsidP="006B308D">
            <w:pPr>
              <w:pStyle w:val="61bTabTextZentriert"/>
            </w:pPr>
            <w:r w:rsidRPr="004C4922">
              <w:t>45 dB</w:t>
            </w:r>
          </w:p>
        </w:tc>
        <w:tc>
          <w:tcPr>
            <w:tcW w:w="1801" w:type="dxa"/>
            <w:vAlign w:val="center"/>
          </w:tcPr>
          <w:p w:rsidR="00520582" w:rsidRPr="004C4922" w:rsidRDefault="00520582" w:rsidP="006B308D">
            <w:pPr>
              <w:pStyle w:val="61bTabTextZentriert"/>
            </w:pPr>
            <w:r w:rsidRPr="004C4922">
              <w:t>40 dB</w:t>
            </w:r>
          </w:p>
        </w:tc>
      </w:tr>
    </w:tbl>
    <w:p w:rsidR="00BD226C" w:rsidRPr="004C4922" w:rsidRDefault="00BD226C" w:rsidP="00BD226C">
      <w:pPr>
        <w:pStyle w:val="09Abstand"/>
      </w:pPr>
    </w:p>
    <w:p w:rsidR="002B5E92" w:rsidRPr="004C4922" w:rsidRDefault="002B5E92" w:rsidP="009A6CCA">
      <w:pPr>
        <w:pStyle w:val="58Schlussteile0Abs"/>
      </w:pPr>
      <w:r w:rsidRPr="004C4922">
        <w:t>Relativamente às áreas especiais nos termos do artigo 43.º da Lei do Tirol relativa ao ordenamento do território, de 2016, DO Regional n.º 101/2016, na respetiva versão em vigor, e relativamente aos terrenos edificados no campo nos termos do artigo 41.º da Lei do Tirol relativa ao ordenamento do território, de 2016, devem ser utilizados os valores de dB para cada tipo da afetação como terreno de construção que mais se aproxima da utilização prevista estabelecida na área especial.</w:t>
      </w:r>
    </w:p>
    <w:p w:rsidR="00423184" w:rsidRPr="004C4922" w:rsidRDefault="00423184" w:rsidP="00423184">
      <w:pPr>
        <w:pStyle w:val="51Abs"/>
      </w:pPr>
      <w:r w:rsidRPr="004C4922">
        <w:t>8. Os valores-limite estabelecidos no n.º 7 podem ser ultrapassados, se o nível de base determinado nos limites do terreno de acordo com o estado da técnica não aumentar em mais de 3 dB.»;</w:t>
      </w:r>
    </w:p>
    <w:p w:rsidR="00727A43" w:rsidRPr="004C4922" w:rsidRDefault="00ED638A" w:rsidP="009747D0">
      <w:pPr>
        <w:pStyle w:val="21NovAo1"/>
      </w:pPr>
      <w:r w:rsidRPr="004C4922">
        <w:t>3) O artigo 6.º, n.º 4, deve ler-se da seguinte forma:</w:t>
      </w:r>
    </w:p>
    <w:p w:rsidR="00727A43" w:rsidRPr="004C4922" w:rsidRDefault="00727A43" w:rsidP="00727A43">
      <w:pPr>
        <w:pStyle w:val="51Abs"/>
      </w:pPr>
      <w:r w:rsidRPr="004C4922">
        <w:t>«4. As instalações de aquecimento devem ser dotadas de dispositivos de autorregulação para a regulação separada da temperatura para cada divisão, ou, na medida em que tal seja tecnicamente adequado, numa área aquecida específica da parte do edifício, desde que tal seja viável do ponto de vista técnico e económico.»;</w:t>
      </w:r>
    </w:p>
    <w:p w:rsidR="00846ADA" w:rsidRPr="004C4922" w:rsidRDefault="00ED638A" w:rsidP="009747D0">
      <w:pPr>
        <w:pStyle w:val="22NovAo2"/>
      </w:pPr>
      <w:r w:rsidRPr="004C4922">
        <w:t>4) O artigo 6.º, n.º 5, é revogado;</w:t>
      </w:r>
    </w:p>
    <w:p w:rsidR="00846ADA" w:rsidRPr="004C4922" w:rsidRDefault="00ED638A" w:rsidP="009747D0">
      <w:pPr>
        <w:pStyle w:val="22NovAo2"/>
      </w:pPr>
      <w:r w:rsidRPr="004C4922">
        <w:t xml:space="preserve">5) O anterior artigo 6.º, n.º 6, passa a ter a designação de número </w:t>
      </w:r>
      <w:r w:rsidRPr="004C4922">
        <w:rPr>
          <w:i w:val="0"/>
        </w:rPr>
        <w:t>«5.»</w:t>
      </w:r>
      <w:r w:rsidRPr="004C4922">
        <w:t>;</w:t>
      </w:r>
    </w:p>
    <w:p w:rsidR="00846ADA" w:rsidRPr="004C4922" w:rsidRDefault="00ED638A" w:rsidP="009747D0">
      <w:pPr>
        <w:pStyle w:val="21NovAo1"/>
      </w:pPr>
      <w:r w:rsidRPr="004C4922">
        <w:t>6) O agora artigo 6.º, n.º 5, deve ler-se da seguinte forma:</w:t>
      </w:r>
    </w:p>
    <w:p w:rsidR="00E1201E" w:rsidRPr="004C4922" w:rsidRDefault="00E1201E" w:rsidP="00ED638A">
      <w:pPr>
        <w:pStyle w:val="51Abs"/>
      </w:pPr>
      <w:r w:rsidRPr="004C4922">
        <w:t>«5. Em novas construções, as instalações de aquecimento central a gás que sejam pequenas instalações de combustão devem estar dotadas de tecnologia de condensação e ser configuradas de forma a poderem ser operadas tão frequentemente quanto possível no intervalo de condensação. Em caso de substituição de instalações de aquecimento central a gás, o que precede apenas se aplica se a instalação existente já estivesse dotada de tecnologia de condensação, ou, caso contrário, se tal for tecnicamente possível sem custos adicionais desproporcionados. No caso de instalações de aquecimento central a óleo, o segundo período é aplicável por analogia, desde que a substituição de uma tal instalação de aquecimento central seja admitida.»;</w:t>
      </w:r>
    </w:p>
    <w:p w:rsidR="003A4ED8" w:rsidRPr="004C4922" w:rsidRDefault="00ED638A" w:rsidP="009747D0">
      <w:pPr>
        <w:pStyle w:val="21NovAo1"/>
      </w:pPr>
      <w:r w:rsidRPr="004C4922">
        <w:t>7) O artigo 28.º, n.º 2, deve ler-se da seguinte forma:</w:t>
      </w:r>
    </w:p>
    <w:p w:rsidR="009A6CCA" w:rsidRPr="004C4922" w:rsidRDefault="009A6CCA" w:rsidP="00543EC7">
      <w:pPr>
        <w:pStyle w:val="51Abs"/>
        <w:keepNext/>
        <w:ind w:firstLine="403"/>
      </w:pPr>
      <w:r w:rsidRPr="004C4922">
        <w:t>«2. O presente decreto foi:</w:t>
      </w:r>
    </w:p>
    <w:p w:rsidR="009A6CCA" w:rsidRPr="004C4922" w:rsidRDefault="009A6CCA" w:rsidP="009A6CCA">
      <w:pPr>
        <w:pStyle w:val="52Aufzaehle1Ziffer"/>
      </w:pPr>
      <w:r w:rsidRPr="004C4922">
        <w:tab/>
        <w:t>a)</w:t>
      </w:r>
      <w:r w:rsidRPr="004C4922">
        <w:tab/>
        <w:t>notificado à Comissão em cumprimento das disposições da Diretiva 98/34/CE do Parlamento Europeu e do Conselho relativa a um procedimento de informação no domínio das normas e regulamentações técnicas e das regras relativas aos serviços da sociedade da informação, JO L 204, de 1998, p. 37, com a última redação que lhe foi dada pelo Regulamento (UE) n.º 1025/2012, JO L 316, de 2012, p. 12 (notificação número 2013/0703/A); e</w:t>
      </w:r>
    </w:p>
    <w:p w:rsidR="009A6CCA" w:rsidRPr="004C4922" w:rsidRDefault="009A6CCA" w:rsidP="009A6CCA">
      <w:pPr>
        <w:pStyle w:val="52Aufzaehle1Ziffer"/>
      </w:pPr>
      <w:r w:rsidRPr="004C4922">
        <w:tab/>
        <w:t>b)</w:t>
      </w:r>
      <w:r w:rsidRPr="004C4922">
        <w:tab/>
        <w:t>notificado em cumprimento das disposições da Diretiva (UE) 2015/1535 relativa a um procedimento de informação no domínio das regulamentações técnicas e das regras relativas aos serviços da sociedade da informação, JO L 241, de 2015, p. 1 (notificação número 2019/651/A).»</w:t>
      </w:r>
    </w:p>
    <w:p w:rsidR="00423184" w:rsidRPr="004C4922" w:rsidRDefault="00423184" w:rsidP="00BD226C">
      <w:pPr>
        <w:pStyle w:val="41UeberschrG1"/>
      </w:pPr>
      <w:r w:rsidRPr="004C4922">
        <w:t>Artigo 2.º</w:t>
      </w:r>
    </w:p>
    <w:p w:rsidR="00423184" w:rsidRPr="004C4922" w:rsidRDefault="00423184" w:rsidP="00BD226C">
      <w:pPr>
        <w:pStyle w:val="51Abs"/>
      </w:pPr>
      <w:r w:rsidRPr="004C4922">
        <w:t>O presente decreto entra em vigor no dia seguinte ao da sua publicação.</w:t>
      </w:r>
    </w:p>
    <w:p w:rsidR="00275360" w:rsidRPr="004C4922" w:rsidRDefault="00275360" w:rsidP="00275360">
      <w:pPr>
        <w:pStyle w:val="09Abstand"/>
      </w:pPr>
    </w:p>
    <w:p w:rsidR="00981D6C" w:rsidRPr="004C4922" w:rsidRDefault="00981D6C" w:rsidP="009747D0">
      <w:pPr>
        <w:pStyle w:val="69UnterschrM"/>
      </w:pPr>
      <w:r w:rsidRPr="004C4922">
        <w:t>O chefe do Governo Regional:</w:t>
      </w:r>
    </w:p>
    <w:p w:rsidR="00275360" w:rsidRPr="004C4922" w:rsidRDefault="00275360" w:rsidP="009747D0">
      <w:pPr>
        <w:pStyle w:val="69UnterschrM"/>
      </w:pPr>
      <w:r w:rsidRPr="004C4922">
        <w:t>Platter</w:t>
      </w:r>
    </w:p>
    <w:p w:rsidR="00981D6C" w:rsidRPr="004C4922" w:rsidRDefault="00981D6C" w:rsidP="009747D0">
      <w:pPr>
        <w:pStyle w:val="69UnterschrM"/>
      </w:pPr>
      <w:r w:rsidRPr="004C4922">
        <w:t>O diretor do Gabinete do Governo Regional:</w:t>
      </w:r>
    </w:p>
    <w:p w:rsidR="00275360" w:rsidRPr="0069392C" w:rsidRDefault="00275360" w:rsidP="009747D0">
      <w:pPr>
        <w:pStyle w:val="69UnterschrM"/>
      </w:pPr>
      <w:r w:rsidRPr="004C4922">
        <w:lastRenderedPageBreak/>
        <w:t>Forster</w:t>
      </w:r>
    </w:p>
    <w:sectPr w:rsidR="00275360" w:rsidRPr="0069392C" w:rsidSect="00275360">
      <w:headerReference w:type="even" r:id="rId12"/>
      <w:headerReference w:type="default" r:id="rId13"/>
      <w:footerReference w:type="even" r:id="rId14"/>
      <w:footerReference w:type="default" r:id="rId15"/>
      <w:footerReference w:type="first" r:id="rId16"/>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B06" w:rsidRDefault="001A6B06">
      <w:r>
        <w:separator/>
      </w:r>
    </w:p>
  </w:endnote>
  <w:endnote w:type="continuationSeparator" w:id="0">
    <w:p w:rsidR="001A6B06" w:rsidRDefault="001A6B06">
      <w:r>
        <w:continuationSeparator/>
      </w:r>
    </w:p>
  </w:endnote>
  <w:endnote w:type="continuationNotice" w:id="1">
    <w:p w:rsidR="001A6B06" w:rsidRDefault="001A6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B06" w:rsidRDefault="001A6B06">
      <w:r>
        <w:separator/>
      </w:r>
    </w:p>
  </w:footnote>
  <w:footnote w:type="continuationSeparator" w:id="0">
    <w:p w:rsidR="001A6B06" w:rsidRDefault="001A6B06">
      <w:r>
        <w:continuationSeparator/>
      </w:r>
    </w:p>
  </w:footnote>
  <w:footnote w:type="continuationNotice" w:id="1">
    <w:p w:rsidR="001A6B06" w:rsidRDefault="001A6B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t>DO Regional do Tirol - Publicado em 30 de junho de 2020 - N.º 70/2020</w:t>
    </w:r>
    <w:r>
      <w:tab/>
    </w:r>
    <w:r>
      <w:fldChar w:fldCharType="begin"/>
    </w:r>
    <w:r>
      <w:instrText xml:space="preserve"> PAGE  \* Arabic  \* MERGEFORMAT </w:instrText>
    </w:r>
    <w:r>
      <w:fldChar w:fldCharType="separate"/>
    </w:r>
    <w:r w:rsidR="00833243">
      <w:rPr>
        <w:noProof/>
      </w:rPr>
      <w:t>2</w:t>
    </w:r>
    <w:r>
      <w:fldChar w:fldCharType="end"/>
    </w:r>
    <w:r>
      <w:t xml:space="preserve"> de </w:t>
    </w:r>
    <w:r w:rsidR="001A6B06">
      <w:rPr>
        <w:noProof/>
      </w:rPr>
      <w:fldChar w:fldCharType="begin"/>
    </w:r>
    <w:r w:rsidR="001A6B06">
      <w:rPr>
        <w:noProof/>
      </w:rPr>
      <w:instrText xml:space="preserve"> NUMPAGES  \* Arabic  \* MERGEFORMAT </w:instrText>
    </w:r>
    <w:r w:rsidR="001A6B06">
      <w:rPr>
        <w:noProof/>
      </w:rPr>
      <w:fldChar w:fldCharType="separate"/>
    </w:r>
    <w:r w:rsidR="00193FCC">
      <w:rPr>
        <w:noProof/>
      </w:rPr>
      <w:t>1</w:t>
    </w:r>
    <w:r w:rsidR="001A6B0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ab/>
      <w:t>DO Regional do Tirol - Publicado em 30 de junho de 2020 - N.º 70</w:t>
    </w:r>
    <w:r>
      <w:tab/>
    </w:r>
    <w:r>
      <w:fldChar w:fldCharType="begin"/>
    </w:r>
    <w:r>
      <w:instrText xml:space="preserve"> PAGE  \* Arabic  \* MERGEFORMAT </w:instrText>
    </w:r>
    <w:r>
      <w:fldChar w:fldCharType="separate"/>
    </w:r>
    <w:r w:rsidR="004C4922">
      <w:rPr>
        <w:noProof/>
      </w:rPr>
      <w:t>2</w:t>
    </w:r>
    <w:r>
      <w:fldChar w:fldCharType="end"/>
    </w:r>
    <w:r>
      <w:t xml:space="preserve"> de </w:t>
    </w:r>
    <w:r w:rsidR="001A6B06">
      <w:rPr>
        <w:noProof/>
      </w:rPr>
      <w:fldChar w:fldCharType="begin"/>
    </w:r>
    <w:r w:rsidR="001A6B06">
      <w:rPr>
        <w:noProof/>
      </w:rPr>
      <w:instrText xml:space="preserve"> NUMPAGES  \* Arabic  \* MERGEFOR</w:instrText>
    </w:r>
    <w:r w:rsidR="001A6B06">
      <w:rPr>
        <w:noProof/>
      </w:rPr>
      <w:instrText xml:space="preserve">MAT </w:instrText>
    </w:r>
    <w:r w:rsidR="001A6B06">
      <w:rPr>
        <w:noProof/>
      </w:rPr>
      <w:fldChar w:fldCharType="separate"/>
    </w:r>
    <w:r w:rsidR="004C4922">
      <w:rPr>
        <w:noProof/>
      </w:rPr>
      <w:t>3</w:t>
    </w:r>
    <w:r w:rsidR="001A6B0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3FCC"/>
    <w:rsid w:val="0019688B"/>
    <w:rsid w:val="00196A49"/>
    <w:rsid w:val="001A0B88"/>
    <w:rsid w:val="001A1FA3"/>
    <w:rsid w:val="001A3A05"/>
    <w:rsid w:val="001A4D6B"/>
    <w:rsid w:val="001A6B06"/>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B5C"/>
    <w:rsid w:val="00245399"/>
    <w:rsid w:val="00262F1C"/>
    <w:rsid w:val="00264E91"/>
    <w:rsid w:val="002666CF"/>
    <w:rsid w:val="00266E0B"/>
    <w:rsid w:val="00274EB5"/>
    <w:rsid w:val="00275360"/>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922"/>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862"/>
    <w:rsid w:val="005C5D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31A5"/>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t-PT"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pt-PT"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pt-PT"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pt-PT"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pt-PT"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pt-PT"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4.xml><?xml version="1.0" encoding="utf-8"?>
<ds:datastoreItem xmlns:ds="http://schemas.openxmlformats.org/officeDocument/2006/customXml" ds:itemID="{9F786F63-B0A3-467F-94F9-2B78668F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