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4128" w14:textId="77777777" w:rsidR="0040649C" w:rsidRDefault="0040649C" w:rsidP="0040649C">
      <w:pPr>
        <w:autoSpaceDE w:val="0"/>
        <w:autoSpaceDN w:val="0"/>
        <w:adjustRightInd w:val="0"/>
        <w:spacing w:after="0" w:line="240" w:lineRule="auto"/>
        <w:jc w:val="center"/>
        <w:rPr>
          <w:b/>
          <w:bCs/>
          <w:sz w:val="44"/>
          <w:szCs w:val="44"/>
          <w:rFonts w:ascii="Times New Roman" w:hAnsi="Times New Roman" w:cs="Times New Roman"/>
        </w:rPr>
      </w:pPr>
      <w:r>
        <w:rPr>
          <w:b/>
          <w:sz w:val="44"/>
          <w:rFonts w:ascii="Times New Roman" w:hAnsi="Times New Roman"/>
        </w:rPr>
        <w:t xml:space="preserve">FÖRSLAG TILL LAG</w:t>
      </w:r>
    </w:p>
    <w:p w14:paraId="2BDC59CC"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44"/>
          <w:szCs w:val="44"/>
        </w:rPr>
      </w:pPr>
    </w:p>
    <w:p w14:paraId="3F6DBEC7" w14:textId="2E4AB870" w:rsidR="00A57D62" w:rsidRDefault="0040649C" w:rsidP="0040649C">
      <w:pPr>
        <w:jc w:val="center"/>
        <w:rPr>
          <w:i/>
          <w:iCs/>
          <w:sz w:val="28"/>
          <w:szCs w:val="28"/>
          <w:rFonts w:ascii="Times New Roman" w:hAnsi="Times New Roman" w:cs="Times New Roman"/>
        </w:rPr>
      </w:pPr>
      <w:r>
        <w:rPr>
          <w:sz w:val="28"/>
          <w:i/>
          <w:rFonts w:ascii="Times New Roman" w:hAnsi="Times New Roman"/>
        </w:rPr>
        <w:t xml:space="preserve">om att </w:t>
      </w:r>
      <w:r>
        <w:rPr>
          <w:sz w:val="28"/>
          <w:b/>
          <w:rFonts w:ascii="Times New Roman" w:hAnsi="Times New Roman"/>
        </w:rPr>
        <w:t xml:space="preserve">stärka</w:t>
      </w:r>
      <w:r>
        <w:rPr>
          <w:sz w:val="28"/>
          <w:i/>
          <w:rFonts w:ascii="Times New Roman" w:hAnsi="Times New Roman"/>
        </w:rPr>
        <w:t xml:space="preserve"> </w:t>
      </w:r>
      <w:r>
        <w:rPr>
          <w:sz w:val="28"/>
          <w:b/>
          <w:rFonts w:ascii="Times New Roman" w:hAnsi="Times New Roman"/>
        </w:rPr>
        <w:t xml:space="preserve">föräldrakontrollen </w:t>
      </w:r>
      <w:r>
        <w:rPr>
          <w:sz w:val="28"/>
          <w:i/>
          <w:rFonts w:ascii="Times New Roman" w:hAnsi="Times New Roman"/>
        </w:rPr>
        <w:t xml:space="preserve">över </w:t>
      </w:r>
      <w:r>
        <w:rPr>
          <w:sz w:val="28"/>
          <w:b/>
          <w:rFonts w:ascii="Times New Roman" w:hAnsi="Times New Roman"/>
        </w:rPr>
        <w:t xml:space="preserve">medel </w:t>
      </w:r>
      <w:r>
        <w:rPr>
          <w:sz w:val="28"/>
          <w:i/>
          <w:rFonts w:ascii="Times New Roman" w:hAnsi="Times New Roman"/>
        </w:rPr>
        <w:t xml:space="preserve">för </w:t>
      </w:r>
      <w:r>
        <w:rPr>
          <w:sz w:val="28"/>
          <w:b/>
          <w:rFonts w:ascii="Times New Roman" w:hAnsi="Times New Roman"/>
        </w:rPr>
        <w:t xml:space="preserve">tillgång till Internet</w:t>
      </w:r>
      <w:r>
        <w:rPr>
          <w:sz w:val="28"/>
          <w:i/>
          <w:rFonts w:ascii="Times New Roman" w:hAnsi="Times New Roman"/>
        </w:rPr>
        <w:t xml:space="preserve">,</w:t>
      </w:r>
    </w:p>
    <w:p w14:paraId="703C9FB2" w14:textId="77777777" w:rsidR="0040649C" w:rsidRDefault="0040649C" w:rsidP="0040649C">
      <w:pPr>
        <w:jc w:val="both"/>
        <w:rPr>
          <w:rFonts w:ascii="Times New Roman" w:hAnsi="Times New Roman" w:cs="Times New Roman"/>
          <w:i/>
          <w:iCs/>
          <w:sz w:val="28"/>
          <w:szCs w:val="28"/>
        </w:rPr>
      </w:pPr>
    </w:p>
    <w:p w14:paraId="60C773D6" w14:textId="77777777" w:rsidR="0040649C" w:rsidRDefault="0040649C" w:rsidP="0040649C">
      <w:pPr>
        <w:jc w:val="both"/>
        <w:rPr>
          <w:rFonts w:ascii="Times New Roman" w:hAnsi="Times New Roman" w:cs="Times New Roman"/>
          <w:i/>
          <w:iCs/>
          <w:sz w:val="28"/>
          <w:szCs w:val="28"/>
        </w:rPr>
      </w:pPr>
    </w:p>
    <w:p w14:paraId="5EB3C277" w14:textId="77777777" w:rsidR="0040649C" w:rsidRDefault="0040649C" w:rsidP="0040649C">
      <w:pPr>
        <w:autoSpaceDE w:val="0"/>
        <w:autoSpaceDN w:val="0"/>
        <w:adjustRightInd w:val="0"/>
        <w:spacing w:after="0" w:line="240" w:lineRule="auto"/>
        <w:jc w:val="center"/>
        <w:rPr>
          <w:b/>
          <w:bCs/>
          <w:sz w:val="18"/>
          <w:szCs w:val="18"/>
          <w:rFonts w:ascii="Times New Roman" w:hAnsi="Times New Roman" w:cs="Times New Roman"/>
        </w:rPr>
      </w:pPr>
      <w:r>
        <w:rPr>
          <w:b/>
          <w:sz w:val="28"/>
          <w:rFonts w:ascii="Times New Roman" w:hAnsi="Times New Roman"/>
        </w:rPr>
        <w:t xml:space="preserve">Artikel 1</w:t>
      </w:r>
    </w:p>
    <w:p w14:paraId="31383463"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18"/>
          <w:szCs w:val="18"/>
        </w:rPr>
      </w:pPr>
    </w:p>
    <w:p w14:paraId="543E75AF"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 – Avsnitt 5 i kapitel II i titel I i bok II i lagen om posttjänster och elektronisk kommunikation kompletteras med artikel L. 34–9-3 på följande sätt:</w:t>
      </w:r>
    </w:p>
    <w:p w14:paraId="7B358B7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035679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w:t>
      </w:r>
      <w:r>
        <w:rPr>
          <w:sz w:val="28"/>
          <w:i/>
          <w:rFonts w:ascii="Times New Roman" w:hAnsi="Times New Roman"/>
        </w:rPr>
        <w:t xml:space="preserve">Artikel L. 34–9-3</w:t>
      </w:r>
      <w:r>
        <w:rPr>
          <w:sz w:val="28"/>
          <w:rFonts w:ascii="Times New Roman" w:hAnsi="Times New Roman"/>
        </w:rPr>
        <w:t xml:space="preserve">.</w:t>
      </w:r>
      <w:r>
        <w:rPr>
          <w:sz w:val="28"/>
          <w:rFonts w:ascii="Times New Roman" w:hAnsi="Times New Roman"/>
        </w:rPr>
        <w:t xml:space="preserve"> </w:t>
      </w:r>
      <w:r>
        <w:rPr>
          <w:sz w:val="28"/>
          <w:rFonts w:ascii="Times New Roman" w:hAnsi="Times New Roman"/>
        </w:rPr>
        <w:t xml:space="preserve">– I. – Terminalutrustning avsedd för användning av offentliga kommunikationstjänster online som ger tillgång till tjänster och innehåll som kan skada den fysiska, mentala eller själsliga utvecklingen hos minderåriga ska vara utrustad med ett lättillgängligt och begripligt system som gör det möjligt för användare att begränsa eller kontrollera minderårigas tillgång till sådana tjänster och sådant innehåll.</w:t>
      </w:r>
    </w:p>
    <w:p w14:paraId="2BD31D30"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D13896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Aktiveringen av det system som avses i det första stycket av I ska erbjudas användaren när utrustningen tas i bruk för första gången.</w:t>
      </w:r>
      <w:r>
        <w:rPr>
          <w:sz w:val="28"/>
          <w:rFonts w:ascii="Times New Roman" w:hAnsi="Times New Roman"/>
        </w:rPr>
        <w:t xml:space="preserve"> </w:t>
      </w:r>
      <w:r>
        <w:rPr>
          <w:sz w:val="28"/>
          <w:rFonts w:ascii="Times New Roman" w:hAnsi="Times New Roman"/>
        </w:rPr>
        <w:t xml:space="preserve">Personuppgifter om minderåriga som samlas in eller genereras under aktiveringen av detta system får inte användas för kommersiella ändamål, t.ex. direktmarknadsföring, profilering och beteendeinriktad reklam, även efter det att de berörda personerna blivit myndiga.</w:t>
      </w:r>
    </w:p>
    <w:p w14:paraId="518B6C3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C3697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Tillverkarna ska, när de släpper ut sin terminalutrustning på marknaden, se till att de operativsystem som installerats på utrustningen innehåller det system som avses i det första stycket.</w:t>
      </w:r>
      <w:r>
        <w:rPr>
          <w:sz w:val="28"/>
          <w:rFonts w:ascii="Times New Roman" w:hAnsi="Times New Roman"/>
        </w:rPr>
        <w:t xml:space="preserve"> </w:t>
      </w:r>
      <w:r>
        <w:rPr>
          <w:sz w:val="28"/>
          <w:rFonts w:ascii="Times New Roman" w:hAnsi="Times New Roman"/>
        </w:rPr>
        <w:t xml:space="preserve">Aktivering, användning och, i förekommande fall, avinstallation av detta system ska tillåtas utan extra kostnad för användaren.</w:t>
      </w:r>
    </w:p>
    <w:p w14:paraId="1FB22B9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13EF13D"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 tillämpliga fall ska leverantören av operativsystemet garantera och intyga för tillverkaren, när denne så begär, att det operativsystem som är avsett att installeras på terminalutrustningen innehåller det system som avses i det första stycket.</w:t>
      </w:r>
    </w:p>
    <w:p w14:paraId="36B9592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9EC6A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Tillverkarna ska garantera importörer, distributörer och tjänsteleverantörer att terminalutrustning som släpps ut på marknaden innehåller det system som avses i det första stycket.</w:t>
      </w:r>
      <w:r>
        <w:rPr>
          <w:sz w:val="28"/>
          <w:rFonts w:ascii="Times New Roman" w:hAnsi="Times New Roman"/>
        </w:rPr>
        <w:t xml:space="preserve"> </w:t>
      </w:r>
      <w:r>
        <w:rPr>
          <w:sz w:val="28"/>
          <w:rFonts w:ascii="Times New Roman" w:hAnsi="Times New Roman"/>
        </w:rPr>
        <w:t xml:space="preserve">I det fall som avses i fjärde stycket av I, ska tillverkaren överlämna intyget från leverantören av operativsystemet till dessa personer.</w:t>
      </w:r>
    </w:p>
    <w:p w14:paraId="09389E9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C289BC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Importörer, distributörer och tjänsteleverantörer ska kontrollera att terminalutrustningen är certifierad av tillverkarna eller, i förekommande fall, av leverantören av operativsystemet enligt de villkor som anges i femte stycket av I.</w:t>
      </w:r>
    </w:p>
    <w:p w14:paraId="1CEC5551" w14:textId="77777777" w:rsidR="0040649C" w:rsidRP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3191D73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 </w:t>
      </w:r>
      <w:r>
        <w:rPr>
          <w:sz w:val="28"/>
          <w:rFonts w:ascii="Times New Roman" w:hAnsi="Times New Roman"/>
        </w:rPr>
        <w:t xml:space="preserve">Det system som avses i första stycket av I ska inte tillämpas på utrustning som släpps ut på marknaden utan operativsystem.</w:t>
      </w:r>
    </w:p>
    <w:p w14:paraId="42FA7488"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D55628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De skyldigheter som fastställs i tredje och femte styckena av I ska i förekommande fall gälla tillverkarens representant.</w:t>
      </w:r>
    </w:p>
    <w:p w14:paraId="6FB23FD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4490B88"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Personer som släpper ut den terminalutrustning som avses i första stycket av I på marknaden, när den räknas som använd utrustning enligt definitionen i artikel L. 321–1 tredje stycket i handelslagen, ska se till att sådan utrustning innehåller det system som föreskrivs i första stycket av I.</w:t>
      </w:r>
    </w:p>
    <w:p w14:paraId="214C18D4"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614E3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 Ett dekret från statsrådet, som utfärdats efter yttrande från den nationella kommissionen för informationsteknik och fri- och rättigheter, ska fastställa:</w:t>
      </w:r>
    </w:p>
    <w:p w14:paraId="5303501A"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4124DC79" w14:textId="6FCBA180"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 Genomförandemetoderna för I, inbegripet minimikraven på funktioner och tekniska egenskaper hos det system som avses i första stycket av I, och de metoder som tillverkaren använder för att underlätta användningen av detta system;</w:t>
      </w:r>
    </w:p>
    <w:p w14:paraId="3E2ADE6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0DA3FEF3"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w:t>
      </w:r>
      <w:r>
        <w:rPr>
          <w:sz w:val="28"/>
          <w:i/>
          <w:rFonts w:ascii="Times New Roman" w:hAnsi="Times New Roman"/>
        </w:rPr>
        <w:t xml:space="preserve">(a) </w:t>
      </w:r>
      <w:r>
        <w:rPr>
          <w:sz w:val="28"/>
          <w:rFonts w:ascii="Times New Roman" w:hAnsi="Times New Roman"/>
        </w:rPr>
        <w:t xml:space="preserve">Det sätt på vilket tillverkare och, i tillämpliga fall, leverantören av operativsystem ska intyga att de operativsystem som installerats på terminalutrustningen omfattar det system som avses i första stycket;</w:t>
      </w:r>
    </w:p>
    <w:p w14:paraId="677873B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2FBF93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”(2) De villkor enligt vilka den behöriga myndigheten får begränsa eller förbjuda utsläppandet på marknaden av den terminalutrustning som avses i första stycket och som utgör en risk eller inte uppfyller kraven, samt de villkor på vilka den behöriga myndigheten kan få den återkallad;</w:t>
      </w:r>
    </w:p>
    <w:p w14:paraId="6795771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07B18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”(3) Hur tillverkarna bidrar till spridningen av tillgänglig information om risker i samband med minderårigas användning av offentliga kommunikationstjänster online, barns tidiga exponering för skärmar och metoder för att förebygga sådana risker.”</w:t>
      </w:r>
    </w:p>
    <w:p w14:paraId="7E3397DB"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C55B5C1"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 Sista stycket av I i artikel L. 34–9-3 i lagen om posttjänster och elektronisk kommunikation är tillämplig på terminalutrustning som först släpps ut på marknaden efter offentliggörandet av statsrådets dekret enligt artikel L. 34–9-3.</w:t>
      </w:r>
    </w:p>
    <w:p w14:paraId="1F2A7712" w14:textId="77777777" w:rsidR="0040649C" w:rsidRDefault="0040649C" w:rsidP="0040649C">
      <w:pPr>
        <w:autoSpaceDE w:val="0"/>
        <w:autoSpaceDN w:val="0"/>
        <w:adjustRightInd w:val="0"/>
        <w:spacing w:after="0" w:line="240" w:lineRule="auto"/>
        <w:jc w:val="both"/>
        <w:rPr>
          <w:rFonts w:ascii="Numero" w:eastAsia="Numero" w:hAnsi="Times New Roman" w:cs="Numero"/>
          <w:sz w:val="34"/>
          <w:szCs w:val="34"/>
        </w:rPr>
      </w:pPr>
    </w:p>
    <w:p w14:paraId="3B26AB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 ett dekret från statsrådet fastställs de villkor under vilka de personer som avses i sista stycket av I i ovannämnda artikel L. 34–9-3, när det gäller utrustning som först släppts ut på marknaden före offentliggörandet av statsrådets dekret enligt artikel L. 34–9-3, ska informera användaren om att det finns system som gör det möjligt för denne att begränsa eller kontrollera minderårigas tillgång till tjänster och innehåll som kan skada minderårigas fysiska, mentala eller själsliga utveckling.</w:t>
      </w:r>
    </w:p>
    <w:p w14:paraId="5596F5A1" w14:textId="77777777" w:rsidR="0040649C" w:rsidRDefault="0040649C" w:rsidP="0040649C">
      <w:pPr>
        <w:autoSpaceDE w:val="0"/>
        <w:autoSpaceDN w:val="0"/>
        <w:adjustRightInd w:val="0"/>
        <w:spacing w:after="0" w:line="240" w:lineRule="auto"/>
        <w:jc w:val="both"/>
        <w:rPr>
          <w:rFonts w:ascii="Times New Roman" w:hAnsi="Times New Roman" w:cs="Times New Roman"/>
          <w:sz w:val="24"/>
          <w:szCs w:val="24"/>
        </w:rPr>
      </w:pPr>
    </w:p>
    <w:p w14:paraId="1B5A1362" w14:textId="77777777" w:rsidR="0040649C" w:rsidRDefault="0040649C" w:rsidP="0040649C">
      <w:pPr>
        <w:autoSpaceDE w:val="0"/>
        <w:autoSpaceDN w:val="0"/>
        <w:adjustRightInd w:val="0"/>
        <w:spacing w:after="0" w:line="240" w:lineRule="auto"/>
        <w:jc w:val="center"/>
        <w:rPr>
          <w:b/>
          <w:bCs/>
          <w:i/>
          <w:iCs/>
          <w:sz w:val="28"/>
          <w:szCs w:val="28"/>
          <w:rFonts w:ascii="Times New Roman" w:hAnsi="Times New Roman" w:cs="Times New Roman"/>
        </w:rPr>
      </w:pPr>
      <w:r>
        <w:rPr>
          <w:b/>
          <w:sz w:val="28"/>
          <w:rFonts w:ascii="Times New Roman" w:hAnsi="Times New Roman"/>
        </w:rPr>
        <w:t xml:space="preserve">Artikel 3</w:t>
      </w:r>
      <w:r>
        <w:rPr>
          <w:b/>
          <w:sz w:val="28"/>
          <w:i/>
          <w:rFonts w:ascii="Times New Roman" w:hAnsi="Times New Roman"/>
        </w:rPr>
        <w:t xml:space="preserve">(a)</w:t>
      </w:r>
    </w:p>
    <w:p w14:paraId="69A64DA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BFEAC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Denna lag träder i kraft vid en tidpunkt som fastställs genom dekret och som inte får vara mer än tre månader senare än den dag då regeringen mottog Europeiska kommissionens svar, vilket gör det möjligt för regeringen att anse att de bestämmelser som anmälts till den är förenliga med unionsrätten.</w:t>
      </w:r>
    </w:p>
    <w:p w14:paraId="64355554" w14:textId="77777777" w:rsidR="0040649C" w:rsidRDefault="0040649C" w:rsidP="0040649C">
      <w:pPr>
        <w:jc w:val="both"/>
      </w:pPr>
    </w:p>
    <w:sectPr w:rsidR="00406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mero">
    <w:altName w:val="Microsoft JhengHei"/>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9C"/>
    <w:rsid w:val="000868C1"/>
    <w:rsid w:val="001246BF"/>
    <w:rsid w:val="0040649C"/>
    <w:rsid w:val="00A57D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36BD"/>
  <w15:chartTrackingRefBased/>
  <w15:docId w15:val="{F0E58F22-4C65-4FF2-AC15-9BE63125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766</Words>
  <Characters>4372</Characters>
  <Application>Microsoft Office Word</Application>
  <DocSecurity>0</DocSecurity>
  <Lines>36</Lines>
  <Paragraphs>10</Paragraphs>
  <ScaleCrop>false</ScaleCrop>
  <Company>Secrétariat Général</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BORTOLUZZI Noemie</dc:creator>
  <cp:keywords/>
  <dc:description/>
  <cp:lastModifiedBy>Liana Brili</cp:lastModifiedBy>
  <cp:revision>4</cp:revision>
  <dcterms:created xsi:type="dcterms:W3CDTF">2022-02-22T14:47:00Z</dcterms:created>
  <dcterms:modified xsi:type="dcterms:W3CDTF">2022-02-25T08:34:00Z</dcterms:modified>
</cp:coreProperties>
</file>