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32" w:rsidRPr="00174C70" w:rsidRDefault="00107532" w:rsidP="00107532">
      <w:pPr>
        <w:jc w:val="center"/>
        <w:textAlignment w:val="baseline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------IND- 2018 9010 N-- FR- ------ 20180711 --- --- PROJET</w:t>
      </w:r>
    </w:p>
    <w:p w:rsidR="00155849" w:rsidRPr="000878C7" w:rsidRDefault="001D17D1" w:rsidP="0025293C">
      <w:pPr>
        <w:pStyle w:val="Hovedtittel"/>
        <w:jc w:val="both"/>
        <w:rPr>
          <w:rFonts w:cs="Arial"/>
          <w:szCs w:val="28"/>
        </w:rPr>
      </w:pPr>
      <w:r>
        <w:t>Projet de règlement (certaines substances autres que les vitamines ou les minéraux) portant modification du règlement relatif à l</w:t>
      </w:r>
      <w:r w:rsidR="008F4A3D">
        <w:t>’</w:t>
      </w:r>
      <w:r>
        <w:t>adjonction de vitamines, de substances minérales et de certaines autres substances aux denrées alimentaires</w:t>
      </w:r>
    </w:p>
    <w:p w:rsidR="00155849" w:rsidRPr="000878C7" w:rsidRDefault="00155849" w:rsidP="0025293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4A09B9" w:rsidRPr="000878C7" w:rsidRDefault="004A09B9" w:rsidP="0025293C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155849" w:rsidRPr="000878C7" w:rsidRDefault="00155849" w:rsidP="0025293C">
      <w:pPr>
        <w:pStyle w:val="hjemmel"/>
        <w:jc w:val="both"/>
        <w:rPr>
          <w:rFonts w:cs="Arial"/>
          <w:sz w:val="22"/>
          <w:szCs w:val="22"/>
        </w:rPr>
      </w:pPr>
      <w:r>
        <w:rPr>
          <w:b/>
          <w:sz w:val="22"/>
        </w:rPr>
        <w:t>Autorité légale:</w:t>
      </w:r>
      <w:r w:rsidR="00735B0C">
        <w:rPr>
          <w:b/>
          <w:sz w:val="22"/>
        </w:rPr>
        <w:t xml:space="preserve"> </w:t>
      </w:r>
      <w:r w:rsidR="00735B0C" w:rsidRPr="00735B0C">
        <w:rPr>
          <w:sz w:val="22"/>
        </w:rPr>
        <w:t>p</w:t>
      </w:r>
      <w:r>
        <w:rPr>
          <w:sz w:val="22"/>
        </w:rPr>
        <w:t>roposé par le ministère des services de santé le XX XXXX 20XX, conformément à l</w:t>
      </w:r>
      <w:r w:rsidR="008F4A3D">
        <w:rPr>
          <w:sz w:val="22"/>
        </w:rPr>
        <w:t>’</w:t>
      </w:r>
      <w:r>
        <w:rPr>
          <w:sz w:val="22"/>
        </w:rPr>
        <w:t>article 9, paragraphe 1, l</w:t>
      </w:r>
      <w:r w:rsidR="008F4A3D">
        <w:rPr>
          <w:sz w:val="22"/>
        </w:rPr>
        <w:t>’</w:t>
      </w:r>
      <w:r>
        <w:rPr>
          <w:sz w:val="22"/>
        </w:rPr>
        <w:t>article 10, paragraphe 2 et l</w:t>
      </w:r>
      <w:r w:rsidR="008F4A3D">
        <w:rPr>
          <w:sz w:val="22"/>
        </w:rPr>
        <w:t>’</w:t>
      </w:r>
      <w:r>
        <w:rPr>
          <w:sz w:val="22"/>
        </w:rPr>
        <w:t>article 15 de la loi nº 124 du 19 décembre 2003 relative à la production alimentaire et à la sécurité alimentaire, etc. (loi sur les denrées alimentaires), cf. Décision de la délégation nº 1790 du 19 décembre 2003.</w:t>
      </w:r>
    </w:p>
    <w:p w:rsidR="00155849" w:rsidRPr="000878C7" w:rsidRDefault="00155849" w:rsidP="0025293C">
      <w:pPr>
        <w:pStyle w:val="hjemmel"/>
        <w:jc w:val="both"/>
        <w:rPr>
          <w:rFonts w:cs="Arial"/>
          <w:sz w:val="22"/>
          <w:szCs w:val="22"/>
        </w:rPr>
      </w:pPr>
    </w:p>
    <w:p w:rsidR="00155849" w:rsidRPr="000878C7" w:rsidRDefault="00155849" w:rsidP="0025293C">
      <w:pPr>
        <w:pStyle w:val="hjemmel"/>
        <w:jc w:val="both"/>
        <w:rPr>
          <w:rFonts w:cs="Arial"/>
          <w:sz w:val="22"/>
          <w:szCs w:val="22"/>
        </w:rPr>
      </w:pPr>
      <w:r>
        <w:rPr>
          <w:b/>
          <w:sz w:val="22"/>
        </w:rPr>
        <w:t xml:space="preserve">Référence EEE: </w:t>
      </w:r>
      <w:r w:rsidR="00735B0C">
        <w:rPr>
          <w:sz w:val="22"/>
        </w:rPr>
        <w:t>l</w:t>
      </w:r>
      <w:r>
        <w:rPr>
          <w:sz w:val="22"/>
        </w:rPr>
        <w:t>e règlement a été communiqué à l</w:t>
      </w:r>
      <w:r w:rsidR="008F4A3D">
        <w:rPr>
          <w:sz w:val="22"/>
        </w:rPr>
        <w:t>’</w:t>
      </w:r>
      <w:r>
        <w:rPr>
          <w:sz w:val="22"/>
        </w:rPr>
        <w:t>autorité de surveillance de l</w:t>
      </w:r>
      <w:r w:rsidR="008F4A3D">
        <w:rPr>
          <w:sz w:val="22"/>
        </w:rPr>
        <w:t>’</w:t>
      </w:r>
      <w:r>
        <w:rPr>
          <w:sz w:val="22"/>
        </w:rPr>
        <w:t>AELE conformément aux exigences de la loi nº 101 du 17 décembre 2004 relative à la notification européenne des règles techniques (loi sur l</w:t>
      </w:r>
      <w:r w:rsidR="008F4A3D">
        <w:rPr>
          <w:sz w:val="22"/>
        </w:rPr>
        <w:t>’</w:t>
      </w:r>
      <w:r>
        <w:rPr>
          <w:sz w:val="22"/>
        </w:rPr>
        <w:t>audition de l</w:t>
      </w:r>
      <w:r w:rsidR="008F4A3D">
        <w:rPr>
          <w:sz w:val="22"/>
        </w:rPr>
        <w:t>’</w:t>
      </w:r>
      <w:r>
        <w:rPr>
          <w:sz w:val="22"/>
        </w:rPr>
        <w:t>EEE) et à l</w:t>
      </w:r>
      <w:r w:rsidR="008F4A3D">
        <w:rPr>
          <w:sz w:val="22"/>
        </w:rPr>
        <w:t>’</w:t>
      </w:r>
      <w:r>
        <w:rPr>
          <w:sz w:val="22"/>
        </w:rPr>
        <w:t>annexe II, chapitre XIX, nº 1 de l</w:t>
      </w:r>
      <w:r w:rsidR="008F4A3D">
        <w:rPr>
          <w:sz w:val="22"/>
        </w:rPr>
        <w:t>’</w:t>
      </w:r>
      <w:r>
        <w:rPr>
          <w:sz w:val="22"/>
        </w:rPr>
        <w:t>accord EEE (directive 98/34/CE modifiée par la directive 98/48/CE).</w:t>
      </w:r>
    </w:p>
    <w:p w:rsidR="006A33AF" w:rsidRPr="000878C7" w:rsidRDefault="006A33AF" w:rsidP="00E877F7">
      <w:pPr>
        <w:pStyle w:val="hjemmel"/>
        <w:rPr>
          <w:rFonts w:cs="Arial"/>
          <w:sz w:val="22"/>
          <w:szCs w:val="22"/>
        </w:rPr>
      </w:pPr>
    </w:p>
    <w:p w:rsidR="001E4384" w:rsidRPr="000878C7" w:rsidRDefault="001E4384" w:rsidP="001E4384">
      <w:pPr>
        <w:pStyle w:val="hjemmel"/>
        <w:jc w:val="center"/>
        <w:rPr>
          <w:rFonts w:cs="Arial"/>
          <w:b/>
          <w:sz w:val="22"/>
          <w:szCs w:val="22"/>
        </w:rPr>
      </w:pPr>
      <w:r>
        <w:rPr>
          <w:b/>
          <w:sz w:val="22"/>
        </w:rPr>
        <w:t>I</w:t>
      </w:r>
    </w:p>
    <w:p w:rsidR="001E4384" w:rsidRPr="000878C7" w:rsidRDefault="001E4384" w:rsidP="00E877F7">
      <w:pPr>
        <w:pStyle w:val="hjemmel"/>
        <w:rPr>
          <w:rFonts w:cs="Arial"/>
          <w:sz w:val="22"/>
          <w:szCs w:val="22"/>
        </w:rPr>
      </w:pPr>
    </w:p>
    <w:p w:rsidR="00AE6BBD" w:rsidRPr="000878C7" w:rsidRDefault="00AE6BBD" w:rsidP="0025293C">
      <w:pPr>
        <w:pStyle w:val="hjemmel"/>
        <w:jc w:val="both"/>
        <w:rPr>
          <w:rFonts w:cs="Arial"/>
          <w:sz w:val="22"/>
          <w:szCs w:val="22"/>
        </w:rPr>
      </w:pPr>
      <w:r>
        <w:rPr>
          <w:sz w:val="22"/>
        </w:rPr>
        <w:t>Le règlement nº 247 du 26 février 2010 relatif à l</w:t>
      </w:r>
      <w:r w:rsidR="008F4A3D">
        <w:rPr>
          <w:sz w:val="22"/>
        </w:rPr>
        <w:t>’</w:t>
      </w:r>
      <w:r>
        <w:rPr>
          <w:sz w:val="22"/>
        </w:rPr>
        <w:t>adjonction de vitamines, de substances minérales et de certaines autres substances aux denrées alimentaires, a été modifié comme suit:</w:t>
      </w:r>
    </w:p>
    <w:p w:rsidR="00AE6BBD" w:rsidRPr="000878C7" w:rsidRDefault="00AE6BBD" w:rsidP="0025293C">
      <w:pPr>
        <w:pStyle w:val="hjemmel"/>
        <w:jc w:val="both"/>
        <w:rPr>
          <w:rFonts w:cs="Arial"/>
          <w:sz w:val="22"/>
          <w:szCs w:val="22"/>
        </w:rPr>
      </w:pPr>
    </w:p>
    <w:p w:rsidR="00AE6BBD" w:rsidRPr="000878C7" w:rsidRDefault="00AE6BBD" w:rsidP="0025293C">
      <w:pPr>
        <w:pStyle w:val="hjemmel"/>
        <w:jc w:val="both"/>
        <w:rPr>
          <w:rFonts w:cs="Arial"/>
          <w:b/>
          <w:sz w:val="22"/>
          <w:szCs w:val="22"/>
        </w:rPr>
      </w:pPr>
      <w:r>
        <w:rPr>
          <w:b/>
          <w:sz w:val="22"/>
        </w:rPr>
        <w:t>Le paragraphe suivant est inséré au bas des références EEE</w:t>
      </w:r>
    </w:p>
    <w:p w:rsidR="00AE6BBD" w:rsidRPr="000878C7" w:rsidRDefault="00AE6BBD" w:rsidP="0025293C">
      <w:pPr>
        <w:pStyle w:val="hjemmel"/>
        <w:jc w:val="both"/>
        <w:rPr>
          <w:rFonts w:cs="Arial"/>
          <w:sz w:val="22"/>
          <w:szCs w:val="22"/>
        </w:rPr>
      </w:pPr>
    </w:p>
    <w:p w:rsidR="00AE6BBD" w:rsidRPr="000878C7" w:rsidRDefault="001E4384" w:rsidP="0025293C">
      <w:pPr>
        <w:pStyle w:val="hjemmel"/>
        <w:jc w:val="both"/>
        <w:rPr>
          <w:rFonts w:cs="Arial"/>
          <w:i/>
          <w:sz w:val="22"/>
          <w:szCs w:val="22"/>
        </w:rPr>
      </w:pPr>
      <w:r>
        <w:rPr>
          <w:i/>
          <w:sz w:val="22"/>
        </w:rPr>
        <w:t>Les chapitres III et IV et les annexes 3 à 5 du règlement ont été communiqués à l</w:t>
      </w:r>
      <w:r w:rsidR="008F4A3D">
        <w:rPr>
          <w:i/>
          <w:sz w:val="22"/>
        </w:rPr>
        <w:t>’</w:t>
      </w:r>
      <w:r>
        <w:rPr>
          <w:i/>
          <w:sz w:val="22"/>
        </w:rPr>
        <w:t>autorité de surveillance de l</w:t>
      </w:r>
      <w:r w:rsidR="008F4A3D">
        <w:rPr>
          <w:i/>
          <w:sz w:val="22"/>
        </w:rPr>
        <w:t>’</w:t>
      </w:r>
      <w:r>
        <w:rPr>
          <w:i/>
          <w:sz w:val="22"/>
        </w:rPr>
        <w:t>AELE conformément aux exigences de la loi nº 101 du 17 décembre 2004 relative à la notification européenne des règles techniques (loi sur l</w:t>
      </w:r>
      <w:r w:rsidR="008F4A3D">
        <w:rPr>
          <w:i/>
          <w:sz w:val="22"/>
        </w:rPr>
        <w:t>’</w:t>
      </w:r>
      <w:r>
        <w:rPr>
          <w:i/>
          <w:sz w:val="22"/>
        </w:rPr>
        <w:t>audition de l</w:t>
      </w:r>
      <w:r w:rsidR="008F4A3D">
        <w:rPr>
          <w:i/>
          <w:sz w:val="22"/>
        </w:rPr>
        <w:t>’</w:t>
      </w:r>
      <w:r>
        <w:rPr>
          <w:i/>
          <w:sz w:val="22"/>
        </w:rPr>
        <w:t>EEE) et à l</w:t>
      </w:r>
      <w:r w:rsidR="008F4A3D">
        <w:rPr>
          <w:i/>
          <w:sz w:val="22"/>
        </w:rPr>
        <w:t>’</w:t>
      </w:r>
      <w:r>
        <w:rPr>
          <w:i/>
          <w:sz w:val="22"/>
        </w:rPr>
        <w:t>annexe II, chapitre XIX, nº 1 de l</w:t>
      </w:r>
      <w:r w:rsidR="008F4A3D">
        <w:rPr>
          <w:i/>
          <w:sz w:val="22"/>
        </w:rPr>
        <w:t>’</w:t>
      </w:r>
      <w:r>
        <w:rPr>
          <w:i/>
          <w:sz w:val="22"/>
        </w:rPr>
        <w:t>accord EEE (directive 98/34/CE modifiée par la directive 98/48/CE).</w:t>
      </w:r>
    </w:p>
    <w:p w:rsidR="00AE6BBD" w:rsidRPr="000878C7" w:rsidRDefault="00AE6BBD" w:rsidP="0025293C">
      <w:pPr>
        <w:pStyle w:val="hjemmel"/>
        <w:jc w:val="both"/>
        <w:rPr>
          <w:rFonts w:cs="Arial"/>
          <w:sz w:val="22"/>
          <w:szCs w:val="22"/>
        </w:rPr>
      </w:pPr>
    </w:p>
    <w:p w:rsidR="00F661C2" w:rsidRPr="000878C7" w:rsidRDefault="00F661C2" w:rsidP="0025293C">
      <w:pPr>
        <w:pStyle w:val="hjemmel"/>
        <w:jc w:val="both"/>
        <w:rPr>
          <w:rFonts w:cs="Arial"/>
          <w:b/>
          <w:sz w:val="22"/>
          <w:szCs w:val="22"/>
        </w:rPr>
      </w:pPr>
      <w:r>
        <w:rPr>
          <w:b/>
          <w:sz w:val="22"/>
        </w:rPr>
        <w:t>Le chapitre III est libellé comme suit:</w:t>
      </w:r>
    </w:p>
    <w:p w:rsidR="00F661C2" w:rsidRPr="000878C7" w:rsidRDefault="00F661C2" w:rsidP="0025293C">
      <w:pPr>
        <w:pStyle w:val="hjemmel"/>
        <w:jc w:val="both"/>
        <w:rPr>
          <w:rFonts w:cs="Arial"/>
          <w:sz w:val="22"/>
          <w:szCs w:val="22"/>
        </w:rPr>
      </w:pPr>
    </w:p>
    <w:p w:rsidR="00F661C2" w:rsidRPr="000878C7" w:rsidRDefault="00F661C2" w:rsidP="0025293C">
      <w:pPr>
        <w:pStyle w:val="hjemmel"/>
        <w:jc w:val="both"/>
        <w:rPr>
          <w:rFonts w:cs="Arial"/>
          <w:b/>
          <w:sz w:val="22"/>
          <w:szCs w:val="22"/>
        </w:rPr>
      </w:pPr>
      <w:r>
        <w:rPr>
          <w:b/>
          <w:sz w:val="22"/>
        </w:rPr>
        <w:t>Chapitre III. Dispositions nationales complémentaires concernant l</w:t>
      </w:r>
      <w:r w:rsidR="008F4A3D">
        <w:rPr>
          <w:b/>
          <w:sz w:val="22"/>
        </w:rPr>
        <w:t>’</w:t>
      </w:r>
      <w:r>
        <w:rPr>
          <w:b/>
          <w:sz w:val="22"/>
        </w:rPr>
        <w:t>adjonction de certaines «autres substances» aux denrées alimentaires, y compris aux compléments alimentaires</w:t>
      </w:r>
    </w:p>
    <w:p w:rsidR="00F661C2" w:rsidRPr="000878C7" w:rsidRDefault="00F661C2" w:rsidP="0025293C">
      <w:pPr>
        <w:pStyle w:val="hjemmel"/>
        <w:jc w:val="both"/>
        <w:rPr>
          <w:rFonts w:cs="Arial"/>
          <w:sz w:val="22"/>
          <w:szCs w:val="22"/>
        </w:rPr>
      </w:pPr>
    </w:p>
    <w:p w:rsidR="00F661C2" w:rsidRPr="000878C7" w:rsidRDefault="00F661C2" w:rsidP="0025293C">
      <w:pPr>
        <w:pStyle w:val="Paragraf"/>
        <w:numPr>
          <w:ilvl w:val="0"/>
          <w:numId w:val="0"/>
        </w:numPr>
        <w:spacing w:before="0"/>
        <w:jc w:val="both"/>
        <w:textAlignment w:val="auto"/>
        <w:rPr>
          <w:rFonts w:cs="Arial"/>
          <w:i w:val="0"/>
          <w:szCs w:val="22"/>
        </w:rPr>
      </w:pPr>
      <w:r>
        <w:rPr>
          <w:b/>
          <w:i w:val="0"/>
        </w:rPr>
        <w:t xml:space="preserve">Article 6. </w:t>
      </w:r>
      <w:r>
        <w:t>Champ d</w:t>
      </w:r>
      <w:r w:rsidR="008F4A3D">
        <w:t>’</w:t>
      </w:r>
      <w:r>
        <w:t>application du Chapitre</w:t>
      </w:r>
    </w:p>
    <w:p w:rsidR="00F661C2" w:rsidRPr="000878C7" w:rsidRDefault="00F661C2" w:rsidP="0025293C">
      <w:pPr>
        <w:pStyle w:val="Ledd"/>
        <w:spacing w:before="0"/>
        <w:ind w:firstLine="0"/>
        <w:jc w:val="both"/>
        <w:rPr>
          <w:rFonts w:cs="Arial"/>
          <w:szCs w:val="22"/>
        </w:rPr>
      </w:pPr>
    </w:p>
    <w:p w:rsidR="00F661C2" w:rsidRPr="000878C7" w:rsidRDefault="002F6278" w:rsidP="0025293C">
      <w:pPr>
        <w:pStyle w:val="Ledd"/>
        <w:spacing w:before="0"/>
        <w:ind w:firstLine="708"/>
        <w:jc w:val="both"/>
        <w:rPr>
          <w:rFonts w:cs="Arial"/>
          <w:szCs w:val="22"/>
        </w:rPr>
      </w:pPr>
      <w:r>
        <w:t>Le présent chapitre comporte des dispositions nationales complémentaires concernant l</w:t>
      </w:r>
      <w:r w:rsidR="008F4A3D">
        <w:t>’</w:t>
      </w:r>
      <w:r>
        <w:t>adjonction de certaines «autres substances» aux denrées alimentaires, y compris aux compléments alimentaires. Les présentes dispositions, tout en les complétant, viennent s</w:t>
      </w:r>
      <w:r w:rsidR="008F4A3D">
        <w:t>’</w:t>
      </w:r>
      <w:r>
        <w:t>ajouter aux dispositions en rapport avec l</w:t>
      </w:r>
      <w:r w:rsidR="008F4A3D">
        <w:t>’</w:t>
      </w:r>
      <w:r>
        <w:t>article 1</w:t>
      </w:r>
      <w:r>
        <w:rPr>
          <w:vertAlign w:val="superscript"/>
        </w:rPr>
        <w:t>er</w:t>
      </w:r>
      <w:r>
        <w:t>, cf. règlement (CE) nº 1925/2006.</w:t>
      </w:r>
    </w:p>
    <w:p w:rsidR="00F661C2" w:rsidRPr="000878C7" w:rsidRDefault="00297D25" w:rsidP="0025293C">
      <w:pPr>
        <w:pStyle w:val="Ledd"/>
        <w:jc w:val="both"/>
        <w:rPr>
          <w:rFonts w:cs="Arial"/>
          <w:szCs w:val="22"/>
        </w:rPr>
      </w:pPr>
      <w:r>
        <w:t>Les articles 7 à 10 ne s</w:t>
      </w:r>
      <w:r w:rsidR="008F4A3D">
        <w:t>’</w:t>
      </w:r>
      <w:r>
        <w:t>appliquent qu</w:t>
      </w:r>
      <w:r w:rsidR="008F4A3D">
        <w:t>’</w:t>
      </w:r>
      <w:r>
        <w:t>à l</w:t>
      </w:r>
      <w:r w:rsidR="008F4A3D">
        <w:t>’</w:t>
      </w:r>
      <w:r>
        <w:t>adjonction d</w:t>
      </w:r>
      <w:r w:rsidR="008F4A3D">
        <w:t>’</w:t>
      </w:r>
      <w:r>
        <w:t xml:space="preserve">«autres substances» aux denrées alimentaires, y compris celles: </w:t>
      </w:r>
    </w:p>
    <w:p w:rsidR="00F661C2" w:rsidRPr="000878C7" w:rsidRDefault="00F661C2" w:rsidP="0025293C">
      <w:pPr>
        <w:pStyle w:val="Ledd"/>
        <w:numPr>
          <w:ilvl w:val="0"/>
          <w:numId w:val="17"/>
        </w:numPr>
        <w:jc w:val="both"/>
        <w:rPr>
          <w:rFonts w:cs="Arial"/>
          <w:szCs w:val="22"/>
        </w:rPr>
      </w:pPr>
      <w:r>
        <w:t>dont la pureté est d</w:t>
      </w:r>
      <w:r w:rsidR="008F4A3D">
        <w:t>’</w:t>
      </w:r>
      <w:r>
        <w:t>au moins 50 % ou qui sont concentrées 40 fois ou plus, et</w:t>
      </w:r>
    </w:p>
    <w:p w:rsidR="00F661C2" w:rsidRPr="000878C7" w:rsidRDefault="00F661C2" w:rsidP="0025293C">
      <w:pPr>
        <w:pStyle w:val="Ledd"/>
        <w:numPr>
          <w:ilvl w:val="0"/>
          <w:numId w:val="17"/>
        </w:numPr>
        <w:jc w:val="both"/>
        <w:rPr>
          <w:rFonts w:cs="Arial"/>
          <w:szCs w:val="22"/>
        </w:rPr>
      </w:pPr>
      <w:r>
        <w:t>qui, habituellement, ne sont pas consommées en tant que denrée alimentaire à part entière, ni utilisées en tant qu</w:t>
      </w:r>
      <w:r w:rsidR="008F4A3D">
        <w:t>’</w:t>
      </w:r>
      <w:r>
        <w:t>ingrédient de denrées alimentaires.</w:t>
      </w:r>
    </w:p>
    <w:p w:rsidR="00F661C2" w:rsidRPr="000878C7" w:rsidRDefault="00F661C2" w:rsidP="0025293C">
      <w:pPr>
        <w:pStyle w:val="Ledd"/>
        <w:spacing w:before="0"/>
        <w:ind w:firstLine="0"/>
        <w:jc w:val="both"/>
        <w:rPr>
          <w:rFonts w:cs="Arial"/>
          <w:szCs w:val="22"/>
        </w:rPr>
      </w:pPr>
    </w:p>
    <w:p w:rsidR="00F661C2" w:rsidRPr="000878C7" w:rsidRDefault="002F6278" w:rsidP="0025293C">
      <w:pPr>
        <w:pStyle w:val="Ledd"/>
        <w:spacing w:before="0"/>
        <w:jc w:val="both"/>
        <w:rPr>
          <w:rFonts w:cs="Arial"/>
          <w:szCs w:val="22"/>
        </w:rPr>
      </w:pPr>
      <w:r>
        <w:lastRenderedPageBreak/>
        <w:t>Les articles 7 à 10 du projet de règlement ne s</w:t>
      </w:r>
      <w:r w:rsidR="008F4A3D">
        <w:t>’</w:t>
      </w:r>
      <w:r>
        <w:t>appliquent pas à l</w:t>
      </w:r>
      <w:r w:rsidR="008F4A3D">
        <w:t>’</w:t>
      </w:r>
      <w:r>
        <w:t>adjonction d</w:t>
      </w:r>
      <w:r w:rsidR="008F4A3D">
        <w:t>’</w:t>
      </w:r>
      <w:r>
        <w:t>«autres substances» aux denrées alimentaires, y compris, aux compléments alimentaires:</w:t>
      </w:r>
    </w:p>
    <w:p w:rsidR="00F661C2" w:rsidRPr="000878C7" w:rsidRDefault="00F661C2" w:rsidP="0025293C">
      <w:pPr>
        <w:pStyle w:val="Ledd"/>
        <w:spacing w:before="0"/>
        <w:ind w:firstLine="0"/>
        <w:jc w:val="both"/>
        <w:rPr>
          <w:rFonts w:cs="Arial"/>
          <w:szCs w:val="22"/>
        </w:rPr>
      </w:pPr>
    </w:p>
    <w:p w:rsidR="00F661C2" w:rsidRPr="000878C7" w:rsidRDefault="00F661C2" w:rsidP="0025293C">
      <w:pPr>
        <w:pStyle w:val="Ledd"/>
        <w:numPr>
          <w:ilvl w:val="0"/>
          <w:numId w:val="18"/>
        </w:numPr>
        <w:spacing w:before="0"/>
        <w:jc w:val="both"/>
        <w:rPr>
          <w:rFonts w:cs="Arial"/>
          <w:szCs w:val="22"/>
        </w:rPr>
      </w:pPr>
      <w:r>
        <w:t>de plantes ou parties de plantes sous forme fraîche, séchée, hachée, coupée ou en poudre,</w:t>
      </w:r>
    </w:p>
    <w:p w:rsidR="00F661C2" w:rsidRPr="000878C7" w:rsidRDefault="00F661C2" w:rsidP="0025293C">
      <w:pPr>
        <w:pStyle w:val="Ledd"/>
        <w:spacing w:before="0"/>
        <w:ind w:firstLine="0"/>
        <w:jc w:val="both"/>
        <w:rPr>
          <w:rFonts w:cs="Arial"/>
          <w:szCs w:val="22"/>
        </w:rPr>
      </w:pPr>
    </w:p>
    <w:p w:rsidR="00297D25" w:rsidRPr="000878C7" w:rsidRDefault="00F661C2" w:rsidP="0025293C">
      <w:pPr>
        <w:pStyle w:val="Ledd"/>
        <w:numPr>
          <w:ilvl w:val="0"/>
          <w:numId w:val="18"/>
        </w:numPr>
        <w:spacing w:before="0"/>
        <w:jc w:val="both"/>
        <w:rPr>
          <w:rFonts w:cs="Arial"/>
          <w:szCs w:val="22"/>
        </w:rPr>
      </w:pPr>
      <w:r>
        <w:t>d</w:t>
      </w:r>
      <w:r w:rsidR="008F4A3D">
        <w:t>’</w:t>
      </w:r>
      <w:r>
        <w:t>extraits de plantes ou de parties de plantes fabriqués exclusivement par extraction aqueuse basique, éventuellement suivie d</w:t>
      </w:r>
      <w:r w:rsidR="008F4A3D">
        <w:t>’</w:t>
      </w:r>
      <w:r>
        <w:t>une déshydratation,</w:t>
      </w:r>
    </w:p>
    <w:p w:rsidR="00297D25" w:rsidRPr="000878C7" w:rsidRDefault="00297D25" w:rsidP="0025293C">
      <w:pPr>
        <w:pStyle w:val="Paragraphedeliste"/>
        <w:jc w:val="both"/>
        <w:rPr>
          <w:rFonts w:cs="Arial"/>
          <w:szCs w:val="22"/>
        </w:rPr>
      </w:pPr>
    </w:p>
    <w:p w:rsidR="00F661C2" w:rsidRPr="000878C7" w:rsidRDefault="00297D25" w:rsidP="0025293C">
      <w:pPr>
        <w:pStyle w:val="Ledd"/>
        <w:numPr>
          <w:ilvl w:val="0"/>
          <w:numId w:val="18"/>
        </w:numPr>
        <w:spacing w:before="0"/>
        <w:jc w:val="both"/>
        <w:rPr>
          <w:rFonts w:cs="Arial"/>
          <w:szCs w:val="22"/>
        </w:rPr>
      </w:pPr>
      <w:r>
        <w:t>de microorganismes ou</w:t>
      </w:r>
    </w:p>
    <w:p w:rsidR="00F661C2" w:rsidRPr="000878C7" w:rsidRDefault="00F661C2" w:rsidP="0025293C">
      <w:pPr>
        <w:jc w:val="both"/>
        <w:rPr>
          <w:rFonts w:cs="Arial"/>
          <w:szCs w:val="22"/>
        </w:rPr>
      </w:pPr>
    </w:p>
    <w:p w:rsidR="00F661C2" w:rsidRPr="000878C7" w:rsidRDefault="00F661C2" w:rsidP="0025293C">
      <w:pPr>
        <w:pStyle w:val="Ledd"/>
        <w:numPr>
          <w:ilvl w:val="0"/>
          <w:numId w:val="18"/>
        </w:numPr>
        <w:spacing w:before="0"/>
        <w:jc w:val="both"/>
        <w:rPr>
          <w:rFonts w:cs="Arial"/>
          <w:szCs w:val="22"/>
        </w:rPr>
      </w:pPr>
      <w:r>
        <w:t>d</w:t>
      </w:r>
      <w:r w:rsidR="008F4A3D">
        <w:t>’</w:t>
      </w:r>
      <w:r>
        <w:t>«autres substances» énumérées à l</w:t>
      </w:r>
      <w:r w:rsidR="008F4A3D">
        <w:t>’</w:t>
      </w:r>
      <w:r>
        <w:t>annexe III, parties A et B, du règlement (CE) nº 1925/2006.</w:t>
      </w:r>
    </w:p>
    <w:p w:rsidR="00F43897" w:rsidRPr="000878C7" w:rsidRDefault="00F43897" w:rsidP="0025293C">
      <w:pPr>
        <w:pStyle w:val="Paragraphedeliste"/>
        <w:jc w:val="both"/>
        <w:rPr>
          <w:rFonts w:cs="Arial"/>
          <w:szCs w:val="22"/>
        </w:rPr>
      </w:pPr>
    </w:p>
    <w:p w:rsidR="00F43897" w:rsidRPr="000878C7" w:rsidRDefault="00F43897" w:rsidP="0025293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Concernant les «autres substances» qui, en vertu de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6, paragraphe 2 et 3, points a), b) et c), ne sont pas couvertes par les dispositions des articles 7 à 10,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Autorité norvégienne de sécurité des aliments peut adopter des règlements portant modification de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 5, interdisant ou imposant des restrictions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adjonction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autres substances aux denrées alimentaires, y compris aux compléments alimentaires.</w:t>
      </w:r>
    </w:p>
    <w:p w:rsidR="00F661C2" w:rsidRPr="000878C7" w:rsidRDefault="00F661C2" w:rsidP="0025293C">
      <w:pPr>
        <w:pStyle w:val="Ledd"/>
        <w:spacing w:before="0"/>
        <w:ind w:firstLine="0"/>
        <w:jc w:val="both"/>
        <w:rPr>
          <w:rFonts w:cs="Arial"/>
          <w:szCs w:val="22"/>
        </w:rPr>
      </w:pPr>
    </w:p>
    <w:p w:rsidR="00F661C2" w:rsidRPr="000878C7" w:rsidRDefault="00F661C2" w:rsidP="0025293C">
      <w:pPr>
        <w:pStyle w:val="Paragraf"/>
        <w:numPr>
          <w:ilvl w:val="0"/>
          <w:numId w:val="0"/>
        </w:numPr>
        <w:spacing w:before="0"/>
        <w:jc w:val="both"/>
        <w:textAlignment w:val="auto"/>
      </w:pPr>
      <w:r>
        <w:rPr>
          <w:b/>
          <w:i w:val="0"/>
        </w:rPr>
        <w:t xml:space="preserve">Article 7. </w:t>
      </w:r>
      <w:r>
        <w:t>Conditions d</w:t>
      </w:r>
      <w:r w:rsidR="008F4A3D">
        <w:t>’</w:t>
      </w:r>
      <w:r>
        <w:t>adjonction de certaines «autres substances», aux denrées alimentaires, y compris, aux compléments alimentaires.</w:t>
      </w:r>
    </w:p>
    <w:p w:rsidR="00F661C2" w:rsidRPr="000878C7" w:rsidRDefault="00F661C2" w:rsidP="0025293C">
      <w:pPr>
        <w:pStyle w:val="Paragraf"/>
        <w:numPr>
          <w:ilvl w:val="0"/>
          <w:numId w:val="0"/>
        </w:numPr>
        <w:spacing w:before="0"/>
        <w:jc w:val="both"/>
        <w:textAlignment w:val="auto"/>
      </w:pPr>
    </w:p>
    <w:p w:rsidR="00F661C2" w:rsidRPr="000878C7" w:rsidRDefault="00F661C2" w:rsidP="0025293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Seules les «autres substances» énumérées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 3 peuvent être ajoutées aux aliments, y compris aux compléments alimentaires. Cette adjonction aux denrées alimentaires doit être conforme aux conditions prévues dans la «liste positive» figurant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 3.</w:t>
      </w:r>
    </w:p>
    <w:p w:rsidR="00F661C2" w:rsidRPr="000878C7" w:rsidRDefault="00F661C2" w:rsidP="0025293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661C2" w:rsidRPr="000878C7" w:rsidRDefault="00F661C2" w:rsidP="0025293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Il est interdit de dépasser les valeurs et restrictions «maximales» fixées pour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adjonction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«autres substances» et énumérées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 3. Ceci s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applique quelle que soit la source et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objectif de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adjonction de la substance concernée.</w:t>
      </w:r>
    </w:p>
    <w:p w:rsidR="00F661C2" w:rsidRPr="000878C7" w:rsidRDefault="00F661C2" w:rsidP="0025293C">
      <w:pPr>
        <w:jc w:val="both"/>
        <w:rPr>
          <w:rFonts w:ascii="Arial" w:hAnsi="Arial" w:cs="Arial"/>
          <w:sz w:val="22"/>
          <w:szCs w:val="22"/>
        </w:rPr>
      </w:pPr>
    </w:p>
    <w:p w:rsidR="00F661C2" w:rsidRPr="000878C7" w:rsidRDefault="00F661C2" w:rsidP="0025293C">
      <w:pPr>
        <w:pStyle w:val="Paragraf"/>
        <w:numPr>
          <w:ilvl w:val="0"/>
          <w:numId w:val="0"/>
        </w:numPr>
        <w:spacing w:before="0"/>
        <w:jc w:val="both"/>
        <w:rPr>
          <w:rFonts w:cs="Arial"/>
          <w:i w:val="0"/>
          <w:szCs w:val="22"/>
        </w:rPr>
      </w:pPr>
      <w:r>
        <w:rPr>
          <w:b/>
          <w:i w:val="0"/>
        </w:rPr>
        <w:t xml:space="preserve">Article 8. </w:t>
      </w:r>
      <w:r>
        <w:t>Exigences relatives à l</w:t>
      </w:r>
      <w:r w:rsidR="008F4A3D">
        <w:t>’</w:t>
      </w:r>
      <w:r>
        <w:t>identité et à la pureté d</w:t>
      </w:r>
      <w:r w:rsidR="008F4A3D">
        <w:t>’</w:t>
      </w:r>
      <w:r>
        <w:t>«autres substances», énumérées à l</w:t>
      </w:r>
      <w:r w:rsidR="008F4A3D">
        <w:t>’</w:t>
      </w:r>
      <w:r>
        <w:t>annexe 3</w:t>
      </w:r>
    </w:p>
    <w:p w:rsidR="00F661C2" w:rsidRPr="000878C7" w:rsidRDefault="00F661C2" w:rsidP="0025293C">
      <w:pPr>
        <w:pStyle w:val="Ledd"/>
        <w:ind w:firstLine="0"/>
        <w:jc w:val="both"/>
      </w:pPr>
    </w:p>
    <w:p w:rsidR="00F661C2" w:rsidRPr="000878C7" w:rsidRDefault="00F661C2" w:rsidP="0025293C">
      <w:pPr>
        <w:pStyle w:val="Paragraf"/>
        <w:numPr>
          <w:ilvl w:val="0"/>
          <w:numId w:val="0"/>
        </w:numPr>
        <w:spacing w:before="0"/>
        <w:ind w:firstLine="708"/>
        <w:jc w:val="both"/>
        <w:rPr>
          <w:rFonts w:cs="Arial"/>
          <w:i w:val="0"/>
          <w:szCs w:val="22"/>
        </w:rPr>
      </w:pPr>
      <w:r>
        <w:rPr>
          <w:i w:val="0"/>
        </w:rPr>
        <w:t>Concernant les «autres substances» figurant à l</w:t>
      </w:r>
      <w:r w:rsidR="008F4A3D">
        <w:rPr>
          <w:i w:val="0"/>
        </w:rPr>
        <w:t>’</w:t>
      </w:r>
      <w:r>
        <w:rPr>
          <w:i w:val="0"/>
        </w:rPr>
        <w:t>annexe 3, devront s</w:t>
      </w:r>
      <w:r w:rsidR="008F4A3D">
        <w:rPr>
          <w:i w:val="0"/>
        </w:rPr>
        <w:t>’</w:t>
      </w:r>
      <w:r>
        <w:rPr>
          <w:i w:val="0"/>
        </w:rPr>
        <w:t>appliquer les exigences en matière d</w:t>
      </w:r>
      <w:r w:rsidR="008F4A3D">
        <w:rPr>
          <w:i w:val="0"/>
        </w:rPr>
        <w:t>’</w:t>
      </w:r>
      <w:r>
        <w:rPr>
          <w:i w:val="0"/>
        </w:rPr>
        <w:t>identité et de pureté prévues à tout moment par la législation pertinente à l</w:t>
      </w:r>
      <w:r w:rsidR="008F4A3D">
        <w:rPr>
          <w:i w:val="0"/>
        </w:rPr>
        <w:t>’</w:t>
      </w:r>
      <w:r>
        <w:rPr>
          <w:i w:val="0"/>
        </w:rPr>
        <w:t>EEE. Si aucune exigence n</w:t>
      </w:r>
      <w:r w:rsidR="008F4A3D">
        <w:rPr>
          <w:i w:val="0"/>
        </w:rPr>
        <w:t>’</w:t>
      </w:r>
      <w:r>
        <w:rPr>
          <w:i w:val="0"/>
        </w:rPr>
        <w:t>est prévue par d</w:t>
      </w:r>
      <w:r w:rsidR="008F4A3D">
        <w:rPr>
          <w:i w:val="0"/>
        </w:rPr>
        <w:t>’</w:t>
      </w:r>
      <w:r>
        <w:rPr>
          <w:i w:val="0"/>
        </w:rPr>
        <w:t>autres textes législatifs de l</w:t>
      </w:r>
      <w:r w:rsidR="008F4A3D">
        <w:rPr>
          <w:i w:val="0"/>
        </w:rPr>
        <w:t>’</w:t>
      </w:r>
      <w:r>
        <w:rPr>
          <w:i w:val="0"/>
        </w:rPr>
        <w:t>EEE concernant l</w:t>
      </w:r>
      <w:r w:rsidR="008F4A3D">
        <w:rPr>
          <w:i w:val="0"/>
        </w:rPr>
        <w:t>’</w:t>
      </w:r>
      <w:r>
        <w:rPr>
          <w:i w:val="0"/>
        </w:rPr>
        <w:t>identité et la pureté d</w:t>
      </w:r>
      <w:r w:rsidR="008F4A3D">
        <w:rPr>
          <w:i w:val="0"/>
        </w:rPr>
        <w:t>’</w:t>
      </w:r>
      <w:r>
        <w:rPr>
          <w:i w:val="0"/>
        </w:rPr>
        <w:t>une substance figurant à l</w:t>
      </w:r>
      <w:r w:rsidR="008F4A3D">
        <w:rPr>
          <w:i w:val="0"/>
        </w:rPr>
        <w:t>’</w:t>
      </w:r>
      <w:r>
        <w:rPr>
          <w:i w:val="0"/>
        </w:rPr>
        <w:t>annexe 3, devront alors s</w:t>
      </w:r>
      <w:r w:rsidR="008F4A3D">
        <w:rPr>
          <w:i w:val="0"/>
        </w:rPr>
        <w:t>’</w:t>
      </w:r>
      <w:r>
        <w:rPr>
          <w:i w:val="0"/>
        </w:rPr>
        <w:t>appliquer les exigences en matière d</w:t>
      </w:r>
      <w:r w:rsidR="008F4A3D">
        <w:rPr>
          <w:i w:val="0"/>
        </w:rPr>
        <w:t>’</w:t>
      </w:r>
      <w:r>
        <w:rPr>
          <w:i w:val="0"/>
        </w:rPr>
        <w:t>identité et de pureté généralement acceptées et recommandées à tout moment par les organismes internationaux. L</w:t>
      </w:r>
      <w:r w:rsidR="008F4A3D">
        <w:rPr>
          <w:i w:val="0"/>
        </w:rPr>
        <w:t>’</w:t>
      </w:r>
      <w:r>
        <w:rPr>
          <w:i w:val="0"/>
        </w:rPr>
        <w:t>Autorité norvégienne de sécurité des aliments peut fixer des exigences particulières concernant l</w:t>
      </w:r>
      <w:r w:rsidR="008F4A3D">
        <w:rPr>
          <w:i w:val="0"/>
        </w:rPr>
        <w:t>’</w:t>
      </w:r>
      <w:r>
        <w:rPr>
          <w:i w:val="0"/>
        </w:rPr>
        <w:t>identité et la pureté de certaines «autres substances» figurant à l</w:t>
      </w:r>
      <w:r w:rsidR="008F4A3D">
        <w:rPr>
          <w:i w:val="0"/>
        </w:rPr>
        <w:t>’</w:t>
      </w:r>
      <w:r>
        <w:rPr>
          <w:i w:val="0"/>
        </w:rPr>
        <w:t>annexe 3.</w:t>
      </w:r>
    </w:p>
    <w:p w:rsidR="00F661C2" w:rsidRPr="000878C7" w:rsidRDefault="00F661C2" w:rsidP="0025293C">
      <w:pPr>
        <w:jc w:val="both"/>
        <w:rPr>
          <w:rFonts w:ascii="Arial" w:hAnsi="Arial" w:cs="Arial"/>
          <w:color w:val="222222"/>
          <w:sz w:val="22"/>
          <w:szCs w:val="22"/>
        </w:rPr>
      </w:pPr>
    </w:p>
    <w:p w:rsidR="00F134CF" w:rsidRPr="000878C7" w:rsidRDefault="00F134CF" w:rsidP="0025293C">
      <w:pPr>
        <w:pStyle w:val="Paragraf"/>
        <w:numPr>
          <w:ilvl w:val="0"/>
          <w:numId w:val="0"/>
        </w:numPr>
        <w:spacing w:before="0"/>
        <w:jc w:val="both"/>
        <w:rPr>
          <w:rFonts w:cs="Arial"/>
          <w:i w:val="0"/>
          <w:szCs w:val="22"/>
        </w:rPr>
      </w:pPr>
      <w:r>
        <w:rPr>
          <w:b/>
          <w:i w:val="0"/>
        </w:rPr>
        <w:t xml:space="preserve">Article 9. </w:t>
      </w:r>
      <w:r>
        <w:t>Obligation de notification en cas d</w:t>
      </w:r>
      <w:r w:rsidR="008F4A3D">
        <w:t>’</w:t>
      </w:r>
      <w:r>
        <w:t>adjonction d</w:t>
      </w:r>
      <w:r w:rsidR="008F4A3D">
        <w:t>’</w:t>
      </w:r>
      <w:r>
        <w:t>une «autre substance» énumérée à l</w:t>
      </w:r>
      <w:r w:rsidR="008F4A3D">
        <w:t>’</w:t>
      </w:r>
      <w:r>
        <w:t>annexe 3, mais ne remplissant pas les conditions énoncées dans l</w:t>
      </w:r>
      <w:r w:rsidR="008F4A3D">
        <w:t>’</w:t>
      </w:r>
      <w:r>
        <w:t>annexe</w:t>
      </w:r>
    </w:p>
    <w:p w:rsidR="00F134CF" w:rsidRPr="000878C7" w:rsidRDefault="00F134CF" w:rsidP="0025293C">
      <w:pPr>
        <w:jc w:val="both"/>
        <w:rPr>
          <w:rFonts w:ascii="Arial" w:hAnsi="Arial" w:cs="Arial"/>
          <w:color w:val="222222"/>
          <w:sz w:val="22"/>
          <w:szCs w:val="22"/>
        </w:rPr>
      </w:pPr>
    </w:p>
    <w:p w:rsidR="005E09DA" w:rsidRPr="000878C7" w:rsidRDefault="000C336F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</w:rPr>
        <w:t>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une «autre substance» énumérée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annexe 3 qui n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est pas conforme aux conditions prévues par ladite annexe, doit être notifiée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 par tout exploitant du secteur alimentaire qui souhaite procéder à ladite adjonction. La notification doit inclure toutes les informations requises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annexe 4. La notification s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applique exclusivement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«autre substance» pertinente concernant un</w:t>
      </w:r>
      <w:r w:rsidR="006D31FC">
        <w:rPr>
          <w:rFonts w:ascii="Arial" w:hAnsi="Arial"/>
          <w:color w:val="222222"/>
          <w:sz w:val="22"/>
        </w:rPr>
        <w:t>e denrée alimentaire, y compris</w:t>
      </w:r>
      <w:r>
        <w:rPr>
          <w:rFonts w:ascii="Arial" w:hAnsi="Arial"/>
          <w:color w:val="222222"/>
          <w:sz w:val="22"/>
        </w:rPr>
        <w:t xml:space="preserve"> un complément alimentaire, spécifique. La notification est réputée avoir été présentée lorsque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 xml:space="preserve">Autorité norvégienne de sécurité des </w:t>
      </w:r>
      <w:r>
        <w:rPr>
          <w:rFonts w:ascii="Arial" w:hAnsi="Arial"/>
          <w:color w:val="222222"/>
          <w:sz w:val="22"/>
        </w:rPr>
        <w:lastRenderedPageBreak/>
        <w:t>aliments a confirmé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exploitant du secteur alimentaire la bonne réception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ensemble des informations requises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annexe 4.</w:t>
      </w:r>
    </w:p>
    <w:p w:rsidR="005E09DA" w:rsidRPr="000878C7" w:rsidRDefault="005E09DA" w:rsidP="0025293C">
      <w:pPr>
        <w:jc w:val="both"/>
        <w:rPr>
          <w:rFonts w:ascii="Arial" w:hAnsi="Arial" w:cs="Arial"/>
          <w:color w:val="222222"/>
          <w:sz w:val="22"/>
          <w:szCs w:val="22"/>
        </w:rPr>
      </w:pPr>
    </w:p>
    <w:p w:rsidR="005E09DA" w:rsidRPr="000878C7" w:rsidRDefault="000C336F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</w:rPr>
        <w:t>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exploitant du secteur alimentaire peut commencer à utiliser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issue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une période de six mois à compter de la date à laquelle la notification est réputée avoir été présentée. Si la notification comporte des données qui ont déjà été communiquées, évaluées et approuvées dans un autre pays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EEE et que cette évaluation a été transmise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aliments,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exploitant du secteur alimentaire peut utiliser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dans le délai de trois mois à compter de la date de notification, conformément au paragraphe 1. Si nécessaire,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 peut prolonger cette période de trois à six mois et doit en informer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exploitant du secteur alimentaire.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notifiée ne peut être utilisée que conformément aux informations figurant dans la notification et à condition que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 n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ait pas pris de décision individuelle interdisant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ou prévoyant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autres restrictions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adjonction, en plus de celles prévues dans la notification.</w:t>
      </w:r>
    </w:p>
    <w:p w:rsidR="005E09DA" w:rsidRPr="000878C7" w:rsidRDefault="005E09DA" w:rsidP="0025293C">
      <w:pPr>
        <w:jc w:val="both"/>
        <w:rPr>
          <w:rFonts w:ascii="Arial" w:hAnsi="Arial" w:cs="Arial"/>
          <w:color w:val="222222"/>
          <w:sz w:val="22"/>
          <w:szCs w:val="22"/>
        </w:rPr>
      </w:pPr>
    </w:p>
    <w:p w:rsidR="005E09DA" w:rsidRPr="000878C7" w:rsidRDefault="005E09DA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</w:rPr>
        <w:t>Avant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expiration des délais pendant lesquels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exploitant du secteur alimentaire est autorisé à utiliser une adjonction notifiée et à tout moment après le début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utilisation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adjonction,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sanitaire des aliments peut prendre une décision individuelle interdisant ou imposant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autres restrictions en plus de celles prévues par la notification, y compris concernant le délai ou la restriction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utilisation dans certaines catégories de denrées alimentaires.</w:t>
      </w:r>
    </w:p>
    <w:p w:rsidR="005E09DA" w:rsidRPr="000878C7" w:rsidRDefault="005E09DA" w:rsidP="0025293C">
      <w:pPr>
        <w:jc w:val="both"/>
        <w:rPr>
          <w:rFonts w:ascii="Arial" w:hAnsi="Arial" w:cs="Arial"/>
          <w:color w:val="222222"/>
          <w:sz w:val="22"/>
          <w:szCs w:val="22"/>
        </w:rPr>
      </w:pPr>
    </w:p>
    <w:p w:rsidR="004D3B01" w:rsidRPr="000878C7" w:rsidRDefault="004D3B01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</w:rPr>
        <w:t>Si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occasion du traitement des notifications conformément au paragraphe 1 visant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autres substances aux denrées alimentaires, y compris aux compléments alimentaires, originaires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EEE et commercialisées légalement dans un autre pays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EEE,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 conclut à la nécessité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une prise de décision individuelle interdisant ou imposant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autres restrictions en plus de celles prévues par la notification, devront alors s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appliquer les dispositions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article 1</w:t>
      </w:r>
      <w:r>
        <w:rPr>
          <w:rFonts w:ascii="Arial" w:hAnsi="Arial"/>
          <w:color w:val="222222"/>
          <w:sz w:val="22"/>
          <w:vertAlign w:val="superscript"/>
        </w:rPr>
        <w:t>er</w:t>
      </w:r>
      <w:r>
        <w:rPr>
          <w:rFonts w:ascii="Arial" w:hAnsi="Arial"/>
          <w:color w:val="222222"/>
          <w:sz w:val="22"/>
        </w:rPr>
        <w:t xml:space="preserve"> de la loi nº 13 du 12 avril 2013 relative à la libre circulation des marchandises dans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EEE (EEA Goods Act), cf.le règlement (CE) nº 764/2008.</w:t>
      </w:r>
    </w:p>
    <w:p w:rsidR="005E09DA" w:rsidRPr="000878C7" w:rsidRDefault="005E09DA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F134CF" w:rsidRPr="000878C7" w:rsidRDefault="00F134CF" w:rsidP="0025293C">
      <w:pPr>
        <w:pStyle w:val="Paragraf"/>
        <w:numPr>
          <w:ilvl w:val="0"/>
          <w:numId w:val="0"/>
        </w:numPr>
        <w:spacing w:before="0"/>
        <w:jc w:val="both"/>
        <w:rPr>
          <w:rFonts w:cs="Arial"/>
          <w:szCs w:val="22"/>
        </w:rPr>
      </w:pPr>
      <w:r>
        <w:rPr>
          <w:b/>
          <w:i w:val="0"/>
        </w:rPr>
        <w:t xml:space="preserve">Article 10. </w:t>
      </w:r>
      <w:r>
        <w:rPr>
          <w:color w:val="222222"/>
        </w:rPr>
        <w:t>Demande d</w:t>
      </w:r>
      <w:r w:rsidR="008F4A3D">
        <w:rPr>
          <w:color w:val="222222"/>
        </w:rPr>
        <w:t>’</w:t>
      </w:r>
      <w:r>
        <w:rPr>
          <w:color w:val="222222"/>
        </w:rPr>
        <w:t>autorisation d</w:t>
      </w:r>
      <w:r w:rsidR="008F4A3D">
        <w:rPr>
          <w:color w:val="222222"/>
        </w:rPr>
        <w:t>’</w:t>
      </w:r>
      <w:r>
        <w:rPr>
          <w:color w:val="222222"/>
        </w:rPr>
        <w:t>adjonction «d</w:t>
      </w:r>
      <w:r w:rsidR="008F4A3D">
        <w:rPr>
          <w:color w:val="222222"/>
        </w:rPr>
        <w:t>’</w:t>
      </w:r>
      <w:r>
        <w:rPr>
          <w:color w:val="222222"/>
        </w:rPr>
        <w:t>autres substances» qui ne figurent pas à l</w:t>
      </w:r>
      <w:r w:rsidR="008F4A3D">
        <w:rPr>
          <w:color w:val="222222"/>
        </w:rPr>
        <w:t>’</w:t>
      </w:r>
      <w:r>
        <w:rPr>
          <w:color w:val="222222"/>
        </w:rPr>
        <w:t>annexe 3</w:t>
      </w:r>
    </w:p>
    <w:p w:rsidR="00F134CF" w:rsidRPr="000878C7" w:rsidRDefault="00F134CF" w:rsidP="0025293C">
      <w:pPr>
        <w:jc w:val="both"/>
        <w:rPr>
          <w:rFonts w:ascii="Arial" w:hAnsi="Arial" w:cs="Arial"/>
          <w:color w:val="222222"/>
          <w:sz w:val="22"/>
          <w:szCs w:val="22"/>
        </w:rPr>
      </w:pPr>
    </w:p>
    <w:p w:rsidR="00F134CF" w:rsidRPr="000878C7" w:rsidRDefault="00F134CF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</w:rPr>
        <w:t>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aux denrées alimentaires, y compris aux compléments alimentaires,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«autres substances» ne figurant pas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annexe 3, n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est autorisé</w:t>
      </w:r>
      <w:r w:rsidR="006D31FC">
        <w:rPr>
          <w:rFonts w:ascii="Arial" w:hAnsi="Arial"/>
          <w:color w:val="222222"/>
          <w:sz w:val="22"/>
        </w:rPr>
        <w:t>e</w:t>
      </w:r>
      <w:r>
        <w:rPr>
          <w:rFonts w:ascii="Arial" w:hAnsi="Arial"/>
          <w:color w:val="222222"/>
          <w:sz w:val="22"/>
        </w:rPr>
        <w:t xml:space="preserve"> que sous réserve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autorisation accordée par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aliments. La demande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autorisation doit inclure toutes les informations exigées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annexe 4. La notification s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applique exclusivement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«autre substance» pertinente à un</w:t>
      </w:r>
      <w:r w:rsidR="006D31FC">
        <w:rPr>
          <w:rFonts w:ascii="Arial" w:hAnsi="Arial"/>
          <w:color w:val="222222"/>
          <w:sz w:val="22"/>
        </w:rPr>
        <w:t>e denrée alimentaire, y compris</w:t>
      </w:r>
      <w:r>
        <w:rPr>
          <w:rFonts w:ascii="Arial" w:hAnsi="Arial"/>
          <w:color w:val="222222"/>
          <w:sz w:val="22"/>
        </w:rPr>
        <w:t xml:space="preserve"> à un complément alimentaire spécifique. La notification est réputée avoir été présentée lorsque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 a confirmé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exploitant du secteur alimentaire la bonne réception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ensemble des informations exigées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annexe 4.</w:t>
      </w:r>
    </w:p>
    <w:p w:rsidR="00F134CF" w:rsidRPr="000878C7" w:rsidRDefault="00F134CF" w:rsidP="0025293C">
      <w:pPr>
        <w:jc w:val="both"/>
        <w:rPr>
          <w:rFonts w:ascii="Arial" w:hAnsi="Arial" w:cs="Arial"/>
          <w:color w:val="222222"/>
          <w:sz w:val="22"/>
          <w:szCs w:val="22"/>
        </w:rPr>
      </w:pPr>
    </w:p>
    <w:p w:rsidR="00F134CF" w:rsidRPr="000878C7" w:rsidRDefault="00F134CF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</w:rPr>
        <w:t>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 se prononce sur une demande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autorisation dans le délai de six mois à compter de la date à laquelle la demande est réputée avoir été présentée conformément au paragraphe 1. Si la demande comporte des données ayant déjà été communiquées, évaluées et approuvées dans un autre pays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EEE et que cette évaluation a été transmise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aliments, cette dernière rendra une décision concernant la demande dans un délai de trois mois à compter de la date à laquelle la demande est réputée avoir été présentée conformément au paragraphe 1. Si nécessaire,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 peut prolonger cette période de trois à six mois et en informer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exploitant du secteur alimentaire.</w:t>
      </w:r>
    </w:p>
    <w:p w:rsidR="00252EAE" w:rsidRPr="000878C7" w:rsidRDefault="00252EAE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252EAE" w:rsidRPr="000878C7" w:rsidRDefault="00252EAE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</w:rPr>
        <w:t>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 peut rendre une décision individuelle interdisant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ou la mise en place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autres restrictions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adjonction, en plus de celles figurant dans la demande, et notamment limiter la durée ou imposer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autres restrictions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utilisation dans certaines catégories de denrées alimentaires.</w:t>
      </w:r>
    </w:p>
    <w:p w:rsidR="004D3B01" w:rsidRPr="000878C7" w:rsidRDefault="004D3B01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4D3B01" w:rsidRPr="000878C7" w:rsidRDefault="004D3B01" w:rsidP="0025293C">
      <w:pPr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</w:rPr>
        <w:t>Si à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occasion du traitement des notifications conformément au paragraphe 1 visant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adjonction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autres substances aux denrées alimentaires, y compris aux compléments alimentaires, originaires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EEE et commercialisées légalement dans un autre pays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EEE,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Autorité norvégienne de sécurité des aliments estime que la demande ne peut être approuvée en partie ou en totalité ou qu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il est nécessaire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établir des conditions plus restrictives en matière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utilisation d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«autre substance» à celles précisées dans la demande, les dispositions de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article 1</w:t>
      </w:r>
      <w:r>
        <w:rPr>
          <w:rFonts w:ascii="Arial" w:hAnsi="Arial"/>
          <w:color w:val="222222"/>
          <w:sz w:val="22"/>
          <w:vertAlign w:val="superscript"/>
        </w:rPr>
        <w:t>er</w:t>
      </w:r>
      <w:r>
        <w:rPr>
          <w:rFonts w:ascii="Arial" w:hAnsi="Arial"/>
          <w:color w:val="222222"/>
          <w:sz w:val="22"/>
        </w:rPr>
        <w:t xml:space="preserve"> de la loi nº 13 du 12 avril 2013 relative à la libre circulation des marchandises dans l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EEE (EEA Goods Act), cf. le règlement (CE) nº 764/2008 devront alors s</w:t>
      </w:r>
      <w:r w:rsidR="008F4A3D">
        <w:rPr>
          <w:rFonts w:ascii="Arial" w:hAnsi="Arial"/>
          <w:color w:val="222222"/>
          <w:sz w:val="22"/>
        </w:rPr>
        <w:t>’</w:t>
      </w:r>
      <w:r>
        <w:rPr>
          <w:rFonts w:ascii="Arial" w:hAnsi="Arial"/>
          <w:color w:val="222222"/>
          <w:sz w:val="22"/>
        </w:rPr>
        <w:t>appliquer.</w:t>
      </w:r>
    </w:p>
    <w:p w:rsidR="00F661C2" w:rsidRPr="000878C7" w:rsidRDefault="00F661C2" w:rsidP="0025293C">
      <w:pPr>
        <w:jc w:val="both"/>
        <w:rPr>
          <w:rFonts w:ascii="Arial" w:hAnsi="Arial" w:cs="Arial"/>
          <w:color w:val="222222"/>
          <w:sz w:val="22"/>
          <w:szCs w:val="22"/>
        </w:rPr>
      </w:pPr>
    </w:p>
    <w:p w:rsidR="00F661C2" w:rsidRPr="000878C7" w:rsidRDefault="00F661C2" w:rsidP="002529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 xml:space="preserve">Article 11. </w:t>
      </w:r>
      <w:r>
        <w:rPr>
          <w:rFonts w:ascii="Arial" w:hAnsi="Arial"/>
          <w:i/>
          <w:sz w:val="22"/>
        </w:rPr>
        <w:t>Exigences relatives à la transmission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informations concernant le nom et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adresse de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exploitant du secteur alimentaire, le nom du produit, la liste des ingrédients et la déclaration nutritionnelle à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Autorité norvégienne de sécurité des aliments</w:t>
      </w:r>
    </w:p>
    <w:p w:rsidR="00F661C2" w:rsidRPr="000878C7" w:rsidRDefault="00F661C2" w:rsidP="0025293C">
      <w:pPr>
        <w:jc w:val="both"/>
        <w:rPr>
          <w:rFonts w:ascii="Arial" w:hAnsi="Arial" w:cs="Arial"/>
          <w:sz w:val="22"/>
          <w:szCs w:val="22"/>
        </w:rPr>
      </w:pPr>
    </w:p>
    <w:p w:rsidR="00F661C2" w:rsidRPr="000878C7" w:rsidRDefault="00F661C2" w:rsidP="0025293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Tout exploitant du secteur alimentaire responsable de la première mise sur le marché norvégien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une denrée alimentaire, y compris des compléments alimentaires, auquel ont été ajoutées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«autres substances» visées aux articles 7 à 10, cf.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 3, doit soumettre des informations concernant le nom et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adresse de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exploitant du secteur alimentaire, le nom du produit, la liste des ingrédients et la déclaration nutritionnelle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Autorité norvégienne de sécurité des aliments avant de pouvoir procéder à la mise sur le marché norvégien desdites denrées alimentaires. Concernant les compléments alimentaires,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exploitant du secteur alimentaire doit fournir des informations sur les quantités déclarées conformément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8 du règlement norvégien nº 755 du 20 mai 2004 relatif aux compléments alimentaires, en lieu et place des informations relatives à la déclaration nutritionnelle. En ce qui concerne les compléments alimentaires,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exploitant du secteur alimentaire doit, en plus des informations concernant la liste des ingrédients, fournir des informations sur le nom des catégories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éléments nutritifs ou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autres substances ayant un effet nutritionnel ou physiologique, caractérisant le produit ou une déclaration quant au type de ces derniers, cf.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7, paragraphe 3, nº 1 du règlement norvégien nº 755 du 20 mai 2004 relatif aux compléments alimentaires.</w:t>
      </w:r>
    </w:p>
    <w:p w:rsidR="00F661C2" w:rsidRPr="000878C7" w:rsidRDefault="00F661C2" w:rsidP="0025293C">
      <w:pPr>
        <w:jc w:val="both"/>
        <w:rPr>
          <w:rFonts w:ascii="Arial" w:hAnsi="Arial" w:cs="Arial"/>
          <w:sz w:val="22"/>
          <w:szCs w:val="22"/>
        </w:rPr>
      </w:pPr>
    </w:p>
    <w:p w:rsidR="0096704E" w:rsidRPr="000878C7" w:rsidRDefault="00CB7715" w:rsidP="0025293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Tout exploitant du secteur alimentaire responsable de la première mise sur le marché norvégien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une denrée alimentaire, y compris des compléments alimentaires, auquel ont été ajoutées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«autres substances» visées aux articles 7 à 10, cf.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 3, et qui a été légalement mise sur le marché norvégien avant XX XXXXX 20XX (la date à laquelle ces nouvelles dispositions entrent en vigueur), doit, à la fin de XX. XXXX 20XX(six mois à compter de la date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entrée en vigueur de ces nouvelles dispositions), transmettre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Autorité norvégienne de sécurité des aliments des informations équivalentes à celles énoncées au premier paragraphe.</w:t>
      </w:r>
    </w:p>
    <w:p w:rsidR="00252EAE" w:rsidRPr="000878C7" w:rsidRDefault="00252EAE" w:rsidP="0025293C">
      <w:pPr>
        <w:jc w:val="both"/>
        <w:rPr>
          <w:rFonts w:ascii="Arial" w:hAnsi="Arial" w:cs="Arial"/>
          <w:sz w:val="22"/>
          <w:szCs w:val="22"/>
        </w:rPr>
      </w:pPr>
    </w:p>
    <w:p w:rsidR="00F661C2" w:rsidRPr="000878C7" w:rsidRDefault="00F661C2" w:rsidP="0025293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Les modifications ultérieures des informations soumises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Autorité norvégienne de sécurité des aliments conformément aux paragraphes un et deux, et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avis de cessation définitive de la mise sur le marché norvégien de denrées alimentaires, y compris des compléments alimentaires, doivent également être transmises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Autorité norvégienne de sécurité des aliments.</w:t>
      </w:r>
    </w:p>
    <w:p w:rsidR="00F661C2" w:rsidRPr="000878C7" w:rsidRDefault="00F661C2" w:rsidP="0025293C">
      <w:pPr>
        <w:jc w:val="both"/>
        <w:rPr>
          <w:rFonts w:ascii="Arial" w:hAnsi="Arial" w:cs="Arial"/>
          <w:color w:val="222222"/>
          <w:sz w:val="22"/>
          <w:szCs w:val="22"/>
        </w:rPr>
      </w:pPr>
    </w:p>
    <w:p w:rsidR="00F661C2" w:rsidRPr="000878C7" w:rsidRDefault="00F661C2" w:rsidP="0025293C">
      <w:pPr>
        <w:pStyle w:val="Paragraf"/>
        <w:numPr>
          <w:ilvl w:val="0"/>
          <w:numId w:val="0"/>
        </w:numPr>
        <w:spacing w:before="0"/>
        <w:jc w:val="both"/>
        <w:rPr>
          <w:rFonts w:cs="Arial"/>
          <w:i w:val="0"/>
          <w:szCs w:val="22"/>
        </w:rPr>
      </w:pPr>
      <w:r>
        <w:rPr>
          <w:b/>
          <w:i w:val="0"/>
        </w:rPr>
        <w:t xml:space="preserve">Article 12. </w:t>
      </w:r>
      <w:r>
        <w:t>Clause transitoire</w:t>
      </w:r>
    </w:p>
    <w:p w:rsidR="00F661C2" w:rsidRPr="000878C7" w:rsidRDefault="00F661C2" w:rsidP="0025293C">
      <w:pPr>
        <w:jc w:val="both"/>
        <w:rPr>
          <w:rFonts w:ascii="Arial" w:hAnsi="Arial" w:cs="Arial"/>
          <w:sz w:val="22"/>
          <w:szCs w:val="22"/>
        </w:rPr>
      </w:pPr>
    </w:p>
    <w:p w:rsidR="00B47B06" w:rsidRPr="000878C7" w:rsidRDefault="00F661C2" w:rsidP="0025293C">
      <w:pPr>
        <w:pStyle w:val="Paragraf"/>
        <w:numPr>
          <w:ilvl w:val="0"/>
          <w:numId w:val="0"/>
        </w:numPr>
        <w:spacing w:before="0"/>
        <w:ind w:firstLine="708"/>
        <w:jc w:val="both"/>
        <w:rPr>
          <w:rFonts w:cs="Arial"/>
          <w:i w:val="0"/>
          <w:szCs w:val="22"/>
        </w:rPr>
      </w:pPr>
      <w:r>
        <w:rPr>
          <w:i w:val="0"/>
        </w:rPr>
        <w:lastRenderedPageBreak/>
        <w:t>Les denrées alimentaires, y compris les compléments alimentaires, auxquels ont été ajoutées d</w:t>
      </w:r>
      <w:r w:rsidR="008F4A3D">
        <w:rPr>
          <w:i w:val="0"/>
        </w:rPr>
        <w:t>’</w:t>
      </w:r>
      <w:r>
        <w:rPr>
          <w:i w:val="0"/>
        </w:rPr>
        <w:t>«autres substances» visées aux articles 7 à 10, cf. l</w:t>
      </w:r>
      <w:r w:rsidR="008F4A3D">
        <w:rPr>
          <w:i w:val="0"/>
        </w:rPr>
        <w:t>’</w:t>
      </w:r>
      <w:r>
        <w:rPr>
          <w:i w:val="0"/>
        </w:rPr>
        <w:t>annexe 3, et qui ont été légalement mis sur le marché norvégien avant XX XXXXX 20XX (date à laquelle ce nouveau règlement entre en vigueur), mais qui ne satisfont pas aux exigences prévues par les dispositions des articles 7 à 10, cf. l</w:t>
      </w:r>
      <w:r w:rsidR="008F4A3D">
        <w:rPr>
          <w:i w:val="0"/>
        </w:rPr>
        <w:t>’</w:t>
      </w:r>
      <w:r>
        <w:rPr>
          <w:i w:val="0"/>
        </w:rPr>
        <w:t>annexe 3, pourront être mises sur le marché norvégien jusqu</w:t>
      </w:r>
      <w:r w:rsidR="008F4A3D">
        <w:rPr>
          <w:i w:val="0"/>
        </w:rPr>
        <w:t>’</w:t>
      </w:r>
      <w:r>
        <w:rPr>
          <w:i w:val="0"/>
        </w:rPr>
        <w:t>au XX XXXXX 20XX (6 mois à compter de la date d</w:t>
      </w:r>
      <w:r w:rsidR="008F4A3D">
        <w:rPr>
          <w:i w:val="0"/>
        </w:rPr>
        <w:t>’</w:t>
      </w:r>
      <w:r>
        <w:rPr>
          <w:i w:val="0"/>
        </w:rPr>
        <w:t>entrée en vigueur de ces nouvelles dispositions).</w:t>
      </w:r>
    </w:p>
    <w:p w:rsidR="00B47B06" w:rsidRPr="000878C7" w:rsidRDefault="00B47B06" w:rsidP="0025293C">
      <w:pPr>
        <w:pStyle w:val="Paragraf"/>
        <w:numPr>
          <w:ilvl w:val="0"/>
          <w:numId w:val="0"/>
        </w:numPr>
        <w:spacing w:before="0"/>
        <w:ind w:firstLine="708"/>
        <w:jc w:val="both"/>
        <w:rPr>
          <w:rFonts w:cs="Arial"/>
          <w:i w:val="0"/>
          <w:szCs w:val="22"/>
        </w:rPr>
      </w:pPr>
    </w:p>
    <w:p w:rsidR="00F661C2" w:rsidRPr="000878C7" w:rsidRDefault="00B47B06" w:rsidP="0025293C">
      <w:pPr>
        <w:pStyle w:val="Paragraf"/>
        <w:numPr>
          <w:ilvl w:val="0"/>
          <w:numId w:val="0"/>
        </w:numPr>
        <w:spacing w:before="0"/>
        <w:ind w:firstLine="708"/>
        <w:jc w:val="both"/>
        <w:rPr>
          <w:rFonts w:cs="Arial"/>
          <w:i w:val="0"/>
          <w:szCs w:val="22"/>
        </w:rPr>
      </w:pPr>
      <w:r>
        <w:rPr>
          <w:i w:val="0"/>
        </w:rPr>
        <w:t>Les denrées alimentaires, y compris les compléments alimentaires couverts par le projet de disposition transitoire, peuvent ensuite être vendu</w:t>
      </w:r>
      <w:r w:rsidR="006D31FC">
        <w:rPr>
          <w:i w:val="0"/>
        </w:rPr>
        <w:t>e</w:t>
      </w:r>
      <w:r>
        <w:rPr>
          <w:i w:val="0"/>
        </w:rPr>
        <w:t>s jusqu</w:t>
      </w:r>
      <w:r w:rsidR="008F4A3D">
        <w:rPr>
          <w:i w:val="0"/>
        </w:rPr>
        <w:t>’</w:t>
      </w:r>
      <w:r>
        <w:rPr>
          <w:i w:val="0"/>
        </w:rPr>
        <w:t>à épuisement des stocks.</w:t>
      </w:r>
    </w:p>
    <w:p w:rsidR="00BA329D" w:rsidRPr="000878C7" w:rsidRDefault="00BA329D" w:rsidP="0025293C">
      <w:pPr>
        <w:jc w:val="both"/>
        <w:rPr>
          <w:rFonts w:ascii="Arial" w:hAnsi="Arial" w:cs="Arial"/>
          <w:sz w:val="22"/>
          <w:szCs w:val="22"/>
        </w:rPr>
      </w:pPr>
    </w:p>
    <w:p w:rsidR="00E213D9" w:rsidRPr="000878C7" w:rsidRDefault="00D225DB" w:rsidP="002529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Le nouvel article 15, est libellé comme suit:</w:t>
      </w:r>
    </w:p>
    <w:p w:rsidR="00E213D9" w:rsidRPr="000878C7" w:rsidRDefault="00E213D9" w:rsidP="0025293C">
      <w:pPr>
        <w:jc w:val="both"/>
        <w:rPr>
          <w:rFonts w:ascii="Arial" w:hAnsi="Arial" w:cs="Arial"/>
          <w:sz w:val="22"/>
          <w:szCs w:val="22"/>
        </w:rPr>
      </w:pPr>
    </w:p>
    <w:p w:rsidR="00BA329D" w:rsidRPr="000878C7" w:rsidRDefault="00BA329D" w:rsidP="0025293C">
      <w:pPr>
        <w:pStyle w:val="Paragraf"/>
        <w:numPr>
          <w:ilvl w:val="0"/>
          <w:numId w:val="0"/>
        </w:numPr>
        <w:spacing w:before="0"/>
        <w:jc w:val="both"/>
        <w:rPr>
          <w:rFonts w:cs="Arial"/>
          <w:i w:val="0"/>
          <w:szCs w:val="22"/>
        </w:rPr>
      </w:pPr>
      <w:r>
        <w:rPr>
          <w:b/>
        </w:rPr>
        <w:t>Article 15</w:t>
      </w:r>
      <w:r w:rsidR="00735B0C">
        <w:rPr>
          <w:b/>
        </w:rPr>
        <w:t>.</w:t>
      </w:r>
      <w:r>
        <w:rPr>
          <w:b/>
        </w:rPr>
        <w:t xml:space="preserve"> </w:t>
      </w:r>
      <w:r>
        <w:t>Redevances au titre des services spécifiques</w:t>
      </w:r>
    </w:p>
    <w:p w:rsidR="00BA329D" w:rsidRPr="000878C7" w:rsidRDefault="00BA329D" w:rsidP="0025293C">
      <w:pPr>
        <w:pStyle w:val="Paragraf"/>
        <w:numPr>
          <w:ilvl w:val="0"/>
          <w:numId w:val="0"/>
        </w:numPr>
        <w:spacing w:before="0"/>
        <w:jc w:val="both"/>
        <w:rPr>
          <w:rFonts w:cs="Arial"/>
          <w:i w:val="0"/>
          <w:szCs w:val="22"/>
        </w:rPr>
      </w:pPr>
    </w:p>
    <w:p w:rsidR="00BA329D" w:rsidRPr="000878C7" w:rsidRDefault="00BA329D" w:rsidP="0025293C">
      <w:pPr>
        <w:pStyle w:val="Paragraf"/>
        <w:numPr>
          <w:ilvl w:val="0"/>
          <w:numId w:val="0"/>
        </w:numPr>
        <w:spacing w:before="0"/>
        <w:ind w:firstLine="708"/>
        <w:jc w:val="both"/>
        <w:rPr>
          <w:rFonts w:cs="Arial"/>
          <w:i w:val="0"/>
          <w:szCs w:val="22"/>
        </w:rPr>
      </w:pPr>
      <w:r>
        <w:rPr>
          <w:i w:val="0"/>
        </w:rPr>
        <w:t>Les exploitants du secteur alimentaire acquittent des redevances conformément au règlement norvégien nº 406 du 13 février 2004 relatif au paiement de redevances au titre des services spécifiques fournis par l</w:t>
      </w:r>
      <w:r w:rsidR="008F4A3D">
        <w:rPr>
          <w:i w:val="0"/>
        </w:rPr>
        <w:t>’</w:t>
      </w:r>
      <w:r>
        <w:rPr>
          <w:i w:val="0"/>
        </w:rPr>
        <w:t>Autorité norvégienne de sécurité des aliments, au traitement des notifications et des demandes d</w:t>
      </w:r>
      <w:r w:rsidR="008F4A3D">
        <w:rPr>
          <w:i w:val="0"/>
        </w:rPr>
        <w:t>’</w:t>
      </w:r>
      <w:r>
        <w:rPr>
          <w:i w:val="0"/>
        </w:rPr>
        <w:t>autorisation d</w:t>
      </w:r>
      <w:r w:rsidR="008F4A3D">
        <w:rPr>
          <w:i w:val="0"/>
        </w:rPr>
        <w:t>’</w:t>
      </w:r>
      <w:r>
        <w:rPr>
          <w:i w:val="0"/>
        </w:rPr>
        <w:t>adjonction «d</w:t>
      </w:r>
      <w:r w:rsidR="008F4A3D">
        <w:rPr>
          <w:i w:val="0"/>
        </w:rPr>
        <w:t>’</w:t>
      </w:r>
      <w:r>
        <w:rPr>
          <w:i w:val="0"/>
        </w:rPr>
        <w:t>autres substances» aux denrées alimentaires, y compris aux compléments alimentaires, conformément aux articles 9 et 10.</w:t>
      </w:r>
    </w:p>
    <w:p w:rsidR="00E213D9" w:rsidRPr="000878C7" w:rsidRDefault="00E213D9" w:rsidP="0025293C">
      <w:pPr>
        <w:pStyle w:val="Paragraf"/>
        <w:numPr>
          <w:ilvl w:val="0"/>
          <w:numId w:val="0"/>
        </w:numPr>
        <w:spacing w:before="0"/>
        <w:ind w:firstLine="708"/>
        <w:jc w:val="both"/>
        <w:rPr>
          <w:rFonts w:cs="Arial"/>
          <w:i w:val="0"/>
          <w:szCs w:val="22"/>
        </w:rPr>
      </w:pPr>
    </w:p>
    <w:p w:rsidR="00E213D9" w:rsidRPr="000878C7" w:rsidRDefault="00D225DB" w:rsidP="002529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Le nouvel article 16, est libellé comme suit:</w:t>
      </w:r>
    </w:p>
    <w:p w:rsidR="00E213D9" w:rsidRPr="000878C7" w:rsidRDefault="00E213D9" w:rsidP="0025293C">
      <w:pPr>
        <w:pStyle w:val="Paragraf"/>
        <w:numPr>
          <w:ilvl w:val="0"/>
          <w:numId w:val="0"/>
        </w:numPr>
        <w:spacing w:before="0"/>
        <w:jc w:val="both"/>
        <w:rPr>
          <w:i w:val="0"/>
        </w:rPr>
      </w:pPr>
    </w:p>
    <w:p w:rsidR="00AE5936" w:rsidRPr="000878C7" w:rsidRDefault="00AE5936" w:rsidP="0025293C">
      <w:pPr>
        <w:pStyle w:val="Paragraf"/>
        <w:numPr>
          <w:ilvl w:val="0"/>
          <w:numId w:val="0"/>
        </w:numPr>
        <w:spacing w:before="0"/>
        <w:jc w:val="both"/>
        <w:rPr>
          <w:rFonts w:cs="Arial"/>
          <w:i w:val="0"/>
          <w:szCs w:val="22"/>
        </w:rPr>
      </w:pPr>
      <w:r>
        <w:rPr>
          <w:b/>
          <w:i w:val="0"/>
        </w:rPr>
        <w:t xml:space="preserve">Article 16. </w:t>
      </w:r>
      <w:r>
        <w:t>La publication par l</w:t>
      </w:r>
      <w:r w:rsidR="008F4A3D">
        <w:t>’</w:t>
      </w:r>
      <w:r>
        <w:t>Autorité norvégienne de sécurité des aliments du règlement d</w:t>
      </w:r>
      <w:r w:rsidR="008F4A3D">
        <w:t>’</w:t>
      </w:r>
      <w:r>
        <w:t>amendement visé à l</w:t>
      </w:r>
      <w:r w:rsidR="008F4A3D">
        <w:t>’</w:t>
      </w:r>
      <w:r>
        <w:t>annexe 3 - 5</w:t>
      </w:r>
    </w:p>
    <w:p w:rsidR="00AE5936" w:rsidRPr="000878C7" w:rsidRDefault="00AE5936" w:rsidP="0025293C">
      <w:pPr>
        <w:pStyle w:val="Paragraf"/>
        <w:numPr>
          <w:ilvl w:val="0"/>
          <w:numId w:val="0"/>
        </w:numPr>
        <w:spacing w:before="0"/>
        <w:jc w:val="both"/>
        <w:rPr>
          <w:rFonts w:cs="Arial"/>
          <w:i w:val="0"/>
          <w:szCs w:val="22"/>
        </w:rPr>
      </w:pPr>
    </w:p>
    <w:p w:rsidR="008A7142" w:rsidRPr="000878C7" w:rsidRDefault="00AE5936" w:rsidP="0025293C">
      <w:pPr>
        <w:pStyle w:val="Paragraf"/>
        <w:numPr>
          <w:ilvl w:val="0"/>
          <w:numId w:val="0"/>
        </w:numPr>
        <w:spacing w:before="0"/>
        <w:ind w:firstLine="708"/>
        <w:jc w:val="both"/>
        <w:rPr>
          <w:rFonts w:cs="Arial"/>
          <w:i w:val="0"/>
          <w:szCs w:val="22"/>
        </w:rPr>
      </w:pPr>
      <w:r>
        <w:rPr>
          <w:i w:val="0"/>
        </w:rPr>
        <w:t>Immédiatement après avoir terminé le traitement des notifications ou des demandes d</w:t>
      </w:r>
      <w:r w:rsidR="008F4A3D">
        <w:rPr>
          <w:i w:val="0"/>
        </w:rPr>
        <w:t>’</w:t>
      </w:r>
      <w:r>
        <w:rPr>
          <w:i w:val="0"/>
        </w:rPr>
        <w:t>autorisation d</w:t>
      </w:r>
      <w:r w:rsidR="008F4A3D">
        <w:rPr>
          <w:i w:val="0"/>
        </w:rPr>
        <w:t>’</w:t>
      </w:r>
      <w:r>
        <w:rPr>
          <w:i w:val="0"/>
        </w:rPr>
        <w:t>adjonction d</w:t>
      </w:r>
      <w:r w:rsidR="008F4A3D">
        <w:rPr>
          <w:i w:val="0"/>
        </w:rPr>
        <w:t>’</w:t>
      </w:r>
      <w:r>
        <w:rPr>
          <w:i w:val="0"/>
        </w:rPr>
        <w:t>autres substances aux denrées alimentaires, y compris aux compléments alimentaires conformément aux articles 9 et 10, l</w:t>
      </w:r>
      <w:r w:rsidR="008F4A3D">
        <w:rPr>
          <w:i w:val="0"/>
        </w:rPr>
        <w:t>’</w:t>
      </w:r>
      <w:r>
        <w:rPr>
          <w:i w:val="0"/>
        </w:rPr>
        <w:t>Autorité norvégienne de sécurité des aliments propose et publie des règlements portant modification nécessaire de l</w:t>
      </w:r>
      <w:r w:rsidR="008F4A3D">
        <w:rPr>
          <w:i w:val="0"/>
        </w:rPr>
        <w:t>’</w:t>
      </w:r>
      <w:r>
        <w:rPr>
          <w:i w:val="0"/>
        </w:rPr>
        <w:t>annexe 3 et, le cas échéant, pourra définir des exigences distinctes en matière d</w:t>
      </w:r>
      <w:r w:rsidR="008F4A3D">
        <w:rPr>
          <w:i w:val="0"/>
        </w:rPr>
        <w:t>’</w:t>
      </w:r>
      <w:r>
        <w:rPr>
          <w:i w:val="0"/>
        </w:rPr>
        <w:t>identité et de pureté.</w:t>
      </w:r>
    </w:p>
    <w:p w:rsidR="00CD3C21" w:rsidRPr="000878C7" w:rsidRDefault="00CD3C21" w:rsidP="0025293C">
      <w:pPr>
        <w:pStyle w:val="Paragraf"/>
        <w:numPr>
          <w:ilvl w:val="0"/>
          <w:numId w:val="0"/>
        </w:numPr>
        <w:spacing w:before="0"/>
        <w:jc w:val="both"/>
        <w:rPr>
          <w:rFonts w:cs="Arial"/>
          <w:i w:val="0"/>
          <w:szCs w:val="22"/>
        </w:rPr>
      </w:pPr>
    </w:p>
    <w:p w:rsidR="00146535" w:rsidRPr="000878C7" w:rsidRDefault="001A183A" w:rsidP="0025293C">
      <w:pPr>
        <w:pStyle w:val="Paragraf"/>
        <w:numPr>
          <w:ilvl w:val="0"/>
          <w:numId w:val="0"/>
        </w:numPr>
        <w:spacing w:before="0"/>
        <w:ind w:firstLine="708"/>
        <w:jc w:val="both"/>
        <w:rPr>
          <w:rFonts w:cs="Arial"/>
          <w:i w:val="0"/>
          <w:szCs w:val="22"/>
        </w:rPr>
      </w:pPr>
      <w:r>
        <w:rPr>
          <w:i w:val="0"/>
        </w:rPr>
        <w:t>Si nécessaire, l</w:t>
      </w:r>
      <w:r w:rsidR="008F4A3D">
        <w:rPr>
          <w:i w:val="0"/>
        </w:rPr>
        <w:t>’</w:t>
      </w:r>
      <w:r>
        <w:rPr>
          <w:i w:val="0"/>
        </w:rPr>
        <w:t>Autorité norvégienne de sécurité des aliments peut, à sa propre initiative, proposer et publier à tout moment des règlements portant modification des annexes 3 à 5.</w:t>
      </w:r>
    </w:p>
    <w:p w:rsidR="00AE5936" w:rsidRPr="000878C7" w:rsidRDefault="00AE5936" w:rsidP="009B354B">
      <w:pPr>
        <w:pStyle w:val="Paragraf"/>
        <w:numPr>
          <w:ilvl w:val="0"/>
          <w:numId w:val="0"/>
        </w:numPr>
        <w:spacing w:before="0"/>
        <w:rPr>
          <w:rFonts w:cs="Arial"/>
          <w:i w:val="0"/>
          <w:szCs w:val="22"/>
        </w:rPr>
      </w:pPr>
    </w:p>
    <w:p w:rsidR="00F661C2" w:rsidRPr="000878C7" w:rsidRDefault="002C73C0" w:rsidP="0025293C">
      <w:pPr>
        <w:pStyle w:val="Ledd"/>
        <w:pageBreakBefore/>
        <w:ind w:firstLine="0"/>
        <w:jc w:val="both"/>
        <w:rPr>
          <w:b/>
        </w:rPr>
      </w:pPr>
      <w:r>
        <w:rPr>
          <w:b/>
        </w:rPr>
        <w:lastRenderedPageBreak/>
        <w:t>Le nouvel article 3 est libellé comme suit:</w:t>
      </w:r>
    </w:p>
    <w:p w:rsidR="00F661C2" w:rsidRPr="000878C7" w:rsidRDefault="00F661C2" w:rsidP="0025293C">
      <w:pPr>
        <w:pStyle w:val="Ledd"/>
        <w:ind w:firstLine="0"/>
        <w:jc w:val="both"/>
        <w:rPr>
          <w:rFonts w:cs="Arial"/>
          <w:szCs w:val="22"/>
        </w:rPr>
      </w:pPr>
    </w:p>
    <w:p w:rsidR="00C05AC8" w:rsidRPr="000878C7" w:rsidRDefault="00F661C2" w:rsidP="002529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Annexe 3. Certaines «autres substances» pouvant être ajoutées aux aliments, y compris aux compléments alimentaires, cf. le chapitre III.</w:t>
      </w:r>
    </w:p>
    <w:p w:rsidR="007D610C" w:rsidRPr="000878C7" w:rsidRDefault="007D610C" w:rsidP="007D610C">
      <w:pPr>
        <w:rPr>
          <w:rFonts w:ascii="Arial" w:hAnsi="Arial" w:cs="Arial"/>
          <w:b/>
          <w:sz w:val="22"/>
          <w:szCs w:val="22"/>
        </w:rPr>
      </w:pPr>
    </w:p>
    <w:p w:rsidR="002C22C2" w:rsidRPr="000878C7" w:rsidRDefault="002C22C2" w:rsidP="007D610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rutenett23"/>
        <w:tblW w:w="10348" w:type="dxa"/>
        <w:tblInd w:w="-572" w:type="dxa"/>
        <w:tblLayout w:type="fixed"/>
        <w:tblLook w:val="04A0"/>
      </w:tblPr>
      <w:tblGrid>
        <w:gridCol w:w="3090"/>
        <w:gridCol w:w="3402"/>
        <w:gridCol w:w="3856"/>
      </w:tblGrid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C56BAB" w:rsidP="0025293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Catégorie de denrées alimentaires </w:t>
            </w:r>
          </w:p>
        </w:tc>
        <w:tc>
          <w:tcPr>
            <w:tcW w:w="725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8A15E3" w:rsidP="0025293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Compléments alimentaires destinés aux adultes de plus de 18 ans (teneur maximale autorisée par dose journalière recommandée)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Nom de la substance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Conditions d</w:t>
            </w:r>
            <w:r w:rsidR="008F4A3D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 xml:space="preserve">utilisation 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Bêta-alanine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 g par dose quotidienne recommandée, divisée en doses maximales de 350 mg au cours de la journée. Les prises doivent être espacées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 xml:space="preserve">au moins 2 heures. 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Acide docosahexaénoïque (DHA)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1,3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D-Ribose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6,2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Acide eicosapentaénoïque (EPA)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1,8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Acide eicosapentaénoïque (EPA) + acide docosahexaénoïque (DHA)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Inuline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Coenzyme Q10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 mg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Caféine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300 mg par dose quotidienne recommandée, répartis entre un minimum de trois doses. </w:t>
            </w: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apport quotidien de caféine, toutes sources confondues, ne doit pas dépasser 400 mg».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Acide linoléique conjugué (CLA)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3,5 g par dose quotidienne recommandée.</w:t>
            </w: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 «Ne doit pas être utilisé de manière continue au-delà de six mois sans consulter un médecin».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Créatine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 g par dose quotidienne recommandée.</w:t>
            </w:r>
          </w:p>
          <w:p w:rsidR="00656CE9" w:rsidRPr="000878C7" w:rsidRDefault="00656CE9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 «Ne doit pas être utilisé de manière continue au-delà de six mois sans consulter un médecin».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Curcumine 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210 mg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L-Alanine 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4,5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L-Arginine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</w:rPr>
              <w:t>6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L-Citrulline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 mg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L-cystéine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10 mg par dose quotidienne </w:t>
            </w:r>
            <w:r>
              <w:rPr>
                <w:rFonts w:ascii="Arial" w:hAnsi="Arial"/>
                <w:sz w:val="20"/>
              </w:rPr>
              <w:lastRenderedPageBreak/>
              <w:t>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L-Cystine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750 mg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L-phénylalanine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L-Glutamine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</w:rPr>
              <w:t>20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Acide L-Glutamique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5,5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L-Glycine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3,1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L-Histidine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L-Isoleucine 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5B0D6F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1,5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L-Carnitine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1,5 g par dose quotidienne recommandée.</w:t>
            </w: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«Ne doit pas être utilisé par des personnes atteintes de maladies métaboliques congénitales et de maladie rénale sans consulter un médecin.»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L-Carnitine-L-Tartrate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2,25 g par dose quotidienne recommandée.</w:t>
            </w: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«Ne doit pas être utilisé par des personnes atteintes de maladies métaboliques congénitales et de maladie rénale sans consulter un médecin.»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L-leucine 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  <w:highlight w:val="darkMagenta"/>
              </w:rPr>
            </w:pPr>
            <w:r>
              <w:rPr>
                <w:rFonts w:ascii="Arial" w:hAnsi="Arial"/>
                <w:sz w:val="20"/>
              </w:rPr>
              <w:t>1,3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L-Lysine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L-Méthionine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210 mg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L-Proline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1,8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L-Serine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F96B39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1,75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L-Thréonine 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2,4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L-Tryptophane 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220 mg par dose quotidienne recommandée.</w:t>
            </w: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«Ne doit pas être utilisé par les personnes sous traitement par antidépresseurs».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L-Tyrosine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420 mg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  <w:highlight w:val="darkMagent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  <w:highlight w:val="darkMagenta"/>
              </w:rPr>
            </w:pPr>
            <w:r>
              <w:rPr>
                <w:rFonts w:ascii="Arial" w:hAnsi="Arial"/>
                <w:sz w:val="20"/>
              </w:rPr>
              <w:t xml:space="preserve">L-Valine 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  <w:highlight w:val="darkMagenta"/>
              </w:rPr>
            </w:pPr>
            <w:r>
              <w:rPr>
                <w:rFonts w:ascii="Arial" w:hAnsi="Arial"/>
                <w:sz w:val="20"/>
              </w:rPr>
              <w:t>1,5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Lycopène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2C22C2" w:rsidRPr="000878C7" w:rsidRDefault="002C22C2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 mg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Piperine de graines de poivre noir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1,5 mg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Taurine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 g par dose quotidienne recommandée.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Denrées alimentaires</w:t>
            </w:r>
          </w:p>
        </w:tc>
        <w:tc>
          <w:tcPr>
            <w:tcW w:w="725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/>
                <w:sz w:val="20"/>
              </w:rPr>
              <w:lastRenderedPageBreak/>
              <w:t>Les boissons énergisantes et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autres boissons à base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eau, non alcoolisées, gazéifiées et non gazéifiées dont la quantité de caféine ajoutée est supérieure à 15 mg/100 ml1</w:t>
            </w:r>
            <w:r>
              <w:rPr>
                <w:rFonts w:ascii="Arial" w:hAnsi="Arial"/>
                <w:sz w:val="20"/>
                <w:vertAlign w:val="superscript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Glucuronolactone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24 mg/100 ml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Inositol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10 mg/100 ml 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Caféine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32 mg/100 ml de toutes les sources.</w:t>
            </w: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apport quotidien de caféine, toutes sources confondues, ne doit pas dépasser 400 mg».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L-Isoleucine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5267BC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350 mg par 100 ml si le produit contient également les substances telles que L-leucine et L-valine, de sorte que le rapport L-leucine: L-isoleucine: L-valine est de 2: 1: 1 ou 4: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5267BC" w:rsidP="006D31F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 xml:space="preserve">ajouter 1010 mg si le produit contient également les substances telles que L-isoleucine et L-valine, de sorte que le rapport L-leucine: L-isoleucine: L-valine est de 2: 1: 1 ou 4: 1: 1. 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L-Valine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5267BC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350 mg par 100 ml si le produit contient également les substances telles que L-leucine et L-isoleucine, de sorte que le rapport L-leucine: L-isoleucine: L-valine est de 2: 1: 1 ou 4: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Taurine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400 mg/100 ml.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Doses/ampoules à boire</w:t>
            </w:r>
            <w:r>
              <w:rPr>
                <w:rFonts w:ascii="Arial" w:hAnsi="Arial"/>
                <w:sz w:val="20"/>
                <w:vertAlign w:val="superscript"/>
              </w:rPr>
              <w:t>2</w:t>
            </w:r>
            <w:r>
              <w:rPr>
                <w:rFonts w:ascii="Arial" w:hAnsi="Arial"/>
                <w:sz w:val="20"/>
              </w:rPr>
              <w:t xml:space="preserve"> (boissons à base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eau, non alcoolisées, gazeuses et non gazeuses) conditionnées en plus petites unités.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L-Isoleucine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585 mg par 100 ml si le produit contient également les substances telles que L-leucine et L-valine, de sorte que le rapport L-leucine: L-valine: L-isoleucine est de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 xml:space="preserve">ajouter 1 170 mg par 100 ml si le produit contient également les substances telles que L-isoleucine et L-valine, de sorte que le rapport L-leucine: L-isoleucine: L-valine est de 2: 1: 1. 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L-Valine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 xml:space="preserve">ajouter 585 mg par 100 ml si le produit contient également les substances telles que L-leucine et L-isoleucine, de sorte que le rapport L-leucine: L-isoleucine: L-valine est de 2: 1: 1. 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Boissons sportives (catégorie I)</w:t>
            </w:r>
            <w:r>
              <w:rPr>
                <w:rFonts w:ascii="Arial" w:hAnsi="Arial"/>
                <w:sz w:val="20"/>
                <w:vertAlign w:val="superscript"/>
              </w:rPr>
              <w:t>1,2,3</w:t>
            </w:r>
            <w:r>
              <w:rPr>
                <w:rFonts w:ascii="Arial" w:hAnsi="Arial"/>
                <w:sz w:val="20"/>
              </w:rPr>
              <w:t xml:space="preserve"> (boissons carbohydrate-électrolyte)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Bêta-alanine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800 mg/100 ml si les doses maximales de 350 mg sont réparties au cours de la journée. Les prises doivent être espacées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au moins deux heures.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Caféine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10 mg/100 ml, toutes les sources confondues.</w:t>
            </w: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apport quotidien de caféine, toutes sources confondues, ne doit pas dépasser 400 mg».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L-Arginine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56 mg/100 ml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L-Citrulline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800 mg/100 ml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L-Glutamine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1 400 mg/100 ml 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L-Isoleucine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235 mg par 100 ml si le produit contient également les substances L-leucine et L-valine, de sorte que le rapport entre L-leucine: L-isoleucine: L-valine est de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L-Carnitine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200 mg/100 ml</w:t>
            </w: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«Ne doit pas être utilisé par des personnes atteintes de maladies métaboliques congénitales et de maladie rénale sans consulter un médecin.»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470 mg par 100 ml si le produit contient également les substances telles que L-isoleucine et L-valine, de sorte que le rapport L-leucine: L-isoleucine: L-valine est de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L-Valine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235 mg par 100 ml si le produit contient également les substances telles que L-isoleucine et L-leucine, de sorte que le rapport L-leucine: L-isoleucine: L-valine est de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Boissons sportives (Catégorie II)</w:t>
            </w:r>
            <w:r>
              <w:rPr>
                <w:rFonts w:ascii="Arial" w:hAnsi="Arial"/>
                <w:sz w:val="20"/>
                <w:vertAlign w:val="superscript"/>
              </w:rPr>
              <w:t>1,2,4</w:t>
            </w:r>
            <w:r>
              <w:rPr>
                <w:rFonts w:ascii="Arial" w:hAnsi="Arial"/>
                <w:sz w:val="20"/>
              </w:rPr>
              <w:t xml:space="preserve"> (boissons glucidiques-électrolytiques qui contiennent également des protéines/graisses, dont la teneur en protéines représente au moins 20 % de la teneur énergétique du produit et dont la teneur énergétique est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au moins 420 kJ/100 ml (100 kcal/100 ml)).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Caféine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 mg/100 ml de toutes les sources.</w:t>
            </w: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apport quotidien de caféine, toutes sources confondues, ne doit pas dépasser 400 mg».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L-Arginine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390 mg/100 ml 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L-Glutamine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1 400 mg/100 ml 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L-Isoleucine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472 mg par 100 ml si le produit contient également les substances L-leucine et L-valine, de sorte que le rapport entre L-leucine: L-isoleucine: L-valine est de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L-Carnitine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200 mg/100 ml </w:t>
            </w: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«Ne doit pas être utilisé par des personnes atteintes de maladies métaboliques congénitales et de maladie rénale sans consulter un médecin.»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900 mg/100 ml ou</w:t>
            </w: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943 mg par 100 ml si le produit contient également les substances telles que L-isoleucine et L-valine, de sorte que le rapport L-leucine: L-isoleucine: L-valine est de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L-Valine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 xml:space="preserve">ajouter 472 mg par 100 ml si le produit contient également les substances telles que L-isoleucine et L-leucine, de sorte que le rapport L-leucine: L-isoleucine: L-valine est de 2: 1: 1. 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Gels pour le sport</w:t>
            </w:r>
            <w:r>
              <w:rPr>
                <w:rFonts w:ascii="Arial" w:hAnsi="Arial"/>
                <w:sz w:val="20"/>
                <w:vertAlign w:val="superscript"/>
              </w:rPr>
              <w:t>2</w:t>
            </w:r>
            <w:r w:rsidR="006D31FC">
              <w:rPr>
                <w:rFonts w:ascii="Arial" w:hAnsi="Arial"/>
                <w:sz w:val="20"/>
              </w:rPr>
              <w:t xml:space="preserve"> conditionné</w:t>
            </w:r>
            <w:r>
              <w:rPr>
                <w:rFonts w:ascii="Arial" w:hAnsi="Arial"/>
                <w:sz w:val="20"/>
              </w:rPr>
              <w:t>s pour la vente en unités individuelles.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Caféine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200 mg/100 ml de toutes les sources.</w:t>
            </w: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apport quotidien de caféine, toutes sources confondues, ne doit pas dépasser 400 mg».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L-Isoleucine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 dans les gels pour le sport 180 mg par 100 ml si le produit contient également les substances L-leucine et L-valine, de sorte que le rapport entre L-leucine: L-isoleucine: L-valine est de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380 mg par 100 ml si le produit contient également les substances telles que L-valine et L-isoleucine, de sorte que le rapport L-leucine: L-isoleucine: L-valine est de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L-Valine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180 mg par 100 ml si le produit contient également les substances telles que L-isoleucine et L-valine, de sorte que le rapport L-leucine: L-isoleucine: L-valine est de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Taurine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</w:rPr>
              <w:t>500 mg/100 g au maximum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Barres, etc.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Caféine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 mg/100 ml, toutes les sources confondues.</w:t>
            </w: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Doit porter 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étiquette revêtue de la mention suivante: «L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apport quotidien de caféine, toutes sources confondues, ne doit pas dépasser 400 mg».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L-Isoleucine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555 mg par 100 ml si le produit contient également les substances telles que L-leucine et L-valine, de sorte que le rapport L-leucine: L-valine: L-isoleucine est de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L-leucine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 xml:space="preserve">ajouter 1 110 mg par 100 g si le produit contient également les substances telles que </w:t>
            </w:r>
          </w:p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L-valine et L-isoleucine, de sorte que le rapport entre L-leucine: L-isoleucine: L-valine est 2: 1: 1.</w:t>
            </w:r>
          </w:p>
        </w:tc>
      </w:tr>
      <w:tr w:rsidR="0025293C" w:rsidRPr="000878C7" w:rsidTr="0025293C">
        <w:tc>
          <w:tcPr>
            <w:tcW w:w="3090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L-Valine</w:t>
            </w:r>
          </w:p>
        </w:tc>
        <w:tc>
          <w:tcPr>
            <w:tcW w:w="3856" w:type="dxa"/>
            <w:tcBorders>
              <w:left w:val="single" w:sz="4" w:space="0" w:color="auto"/>
            </w:tcBorders>
            <w:shd w:val="clear" w:color="auto" w:fill="FFFFFF"/>
          </w:tcPr>
          <w:p w:rsidR="00E92C7D" w:rsidRPr="000878C7" w:rsidRDefault="00E92C7D" w:rsidP="0025293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Il est possible d</w:t>
            </w:r>
            <w:r w:rsidR="008F4A3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ajouter 555 mg par 100 ml si le produit contient également les substances telles que L-isoleucine et L-leucine, de sorte que le rapport L-leucine: L-isoleucine: L-valine est de 2: 1: 1.</w:t>
            </w:r>
          </w:p>
        </w:tc>
      </w:tr>
    </w:tbl>
    <w:p w:rsidR="008A0969" w:rsidRPr="000878C7" w:rsidRDefault="002C22C2" w:rsidP="002529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 xml:space="preserve"> Peut se présenter sous la forme de la poudre ou des comprimés à dissoudre dans de l</w:t>
      </w:r>
      <w:r w:rsidR="008F4A3D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eau</w:t>
      </w:r>
      <w:r w:rsidR="006D31FC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La teneur maximale se mesure par 100 ml dans le produit prêt à boire (que la déclaration nutritionnelle du produit soit valable pour le produit tel que vendu ou pour le produit tel que consommé (dilué).</w:t>
      </w:r>
    </w:p>
    <w:p w:rsidR="002C22C2" w:rsidRPr="000878C7" w:rsidRDefault="008A0969" w:rsidP="002529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vertAlign w:val="superscript"/>
        </w:rPr>
        <w:t xml:space="preserve">2 </w:t>
      </w:r>
      <w:r>
        <w:rPr>
          <w:rFonts w:ascii="Arial" w:hAnsi="Arial"/>
          <w:sz w:val="20"/>
        </w:rPr>
        <w:t>Ne s</w:t>
      </w:r>
      <w:r w:rsidR="008F4A3D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applique qu</w:t>
      </w:r>
      <w:r w:rsidR="008F4A3D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aux produits destinés aux personnes de plus de 18 ans.</w:t>
      </w:r>
    </w:p>
    <w:p w:rsidR="002C22C2" w:rsidRPr="000878C7" w:rsidRDefault="002C22C2" w:rsidP="0025293C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vertAlign w:val="superscript"/>
        </w:rPr>
        <w:t xml:space="preserve">3 </w:t>
      </w:r>
      <w:r>
        <w:rPr>
          <w:rFonts w:ascii="Arial" w:hAnsi="Arial"/>
          <w:color w:val="000000"/>
          <w:sz w:val="20"/>
        </w:rPr>
        <w:t>S</w:t>
      </w:r>
      <w:r w:rsidR="008F4A3D">
        <w:rPr>
          <w:rFonts w:ascii="Arial" w:hAnsi="Arial"/>
          <w:color w:val="000000"/>
          <w:sz w:val="20"/>
        </w:rPr>
        <w:t>’</w:t>
      </w:r>
      <w:r>
        <w:rPr>
          <w:rFonts w:ascii="Arial" w:hAnsi="Arial"/>
          <w:color w:val="000000"/>
          <w:sz w:val="20"/>
        </w:rPr>
        <w:t>applique à un apport maximum recommandé de 500 ml par jour.</w:t>
      </w:r>
    </w:p>
    <w:p w:rsidR="002C22C2" w:rsidRPr="000878C7" w:rsidRDefault="008A0969" w:rsidP="0025293C">
      <w:pPr>
        <w:jc w:val="both"/>
        <w:rPr>
          <w:sz w:val="20"/>
          <w:szCs w:val="20"/>
        </w:rPr>
      </w:pPr>
      <w:r>
        <w:rPr>
          <w:rFonts w:ascii="Arial" w:hAnsi="Arial"/>
          <w:color w:val="000000"/>
          <w:sz w:val="20"/>
          <w:vertAlign w:val="superscript"/>
        </w:rPr>
        <w:t xml:space="preserve">4 </w:t>
      </w:r>
      <w:r>
        <w:rPr>
          <w:rFonts w:ascii="Arial" w:hAnsi="Arial"/>
          <w:color w:val="000000"/>
          <w:sz w:val="20"/>
        </w:rPr>
        <w:t>S</w:t>
      </w:r>
      <w:r w:rsidR="008F4A3D">
        <w:rPr>
          <w:rFonts w:ascii="Arial" w:hAnsi="Arial"/>
          <w:color w:val="000000"/>
          <w:sz w:val="20"/>
        </w:rPr>
        <w:t>’</w:t>
      </w:r>
      <w:r>
        <w:rPr>
          <w:rFonts w:ascii="Arial" w:hAnsi="Arial"/>
          <w:color w:val="000000"/>
          <w:sz w:val="20"/>
        </w:rPr>
        <w:t>applique à un apport maximum recommandé de 200 ml par jour.</w:t>
      </w:r>
    </w:p>
    <w:p w:rsidR="008C3A9E" w:rsidRPr="000878C7" w:rsidRDefault="008C3A9E" w:rsidP="0025293C">
      <w:pPr>
        <w:jc w:val="both"/>
        <w:rPr>
          <w:sz w:val="20"/>
          <w:szCs w:val="20"/>
        </w:rPr>
      </w:pPr>
    </w:p>
    <w:p w:rsidR="00F661C2" w:rsidRPr="000878C7" w:rsidRDefault="002C73C0" w:rsidP="0025293C">
      <w:pPr>
        <w:jc w:val="both"/>
        <w:rPr>
          <w:sz w:val="20"/>
          <w:szCs w:val="20"/>
        </w:rPr>
      </w:pPr>
      <w:r>
        <w:rPr>
          <w:rFonts w:ascii="Arial" w:hAnsi="Arial"/>
          <w:b/>
          <w:sz w:val="22"/>
        </w:rPr>
        <w:t>L</w:t>
      </w:r>
      <w:r w:rsidR="008F4A3D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intitulé de la nouvelle annexe 4 est le suivant:</w:t>
      </w:r>
    </w:p>
    <w:p w:rsidR="00F661C2" w:rsidRPr="000878C7" w:rsidRDefault="00F661C2" w:rsidP="0025293C">
      <w:pPr>
        <w:jc w:val="both"/>
        <w:rPr>
          <w:rFonts w:ascii="Arial" w:hAnsi="Arial" w:cs="Arial"/>
          <w:b/>
          <w:sz w:val="22"/>
          <w:szCs w:val="22"/>
        </w:rPr>
      </w:pPr>
    </w:p>
    <w:p w:rsidR="00705680" w:rsidRPr="000878C7" w:rsidRDefault="00F661C2" w:rsidP="0025293C">
      <w:pPr>
        <w:jc w:val="both"/>
        <w:outlineLvl w:val="2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Annexe 4: Informations à soumettre à l</w:t>
      </w:r>
      <w:r w:rsidR="008F4A3D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Autorité norvégienne de sécurité des aliments</w:t>
      </w:r>
    </w:p>
    <w:p w:rsidR="00705680" w:rsidRPr="000878C7" w:rsidRDefault="00705680" w:rsidP="0025293C">
      <w:pPr>
        <w:jc w:val="both"/>
        <w:outlineLvl w:val="2"/>
        <w:rPr>
          <w:rFonts w:ascii="Arial" w:hAnsi="Arial" w:cs="Arial"/>
          <w:b/>
          <w:sz w:val="22"/>
          <w:szCs w:val="22"/>
        </w:rPr>
      </w:pPr>
    </w:p>
    <w:p w:rsidR="00F661C2" w:rsidRPr="000878C7" w:rsidRDefault="00705680" w:rsidP="0025293C">
      <w:pPr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Les informations à soumettre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Autorité norvégienne de sécurité des aliments accompagnées des notifications conformément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9 et des demandes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autorisation conformément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article 10, concernant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adjonction de certaines «Autres substances» aux denrées alimentaires, y compris aux denrées alimentaires non conformes aux prescriptions de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 3.</w:t>
      </w:r>
    </w:p>
    <w:p w:rsidR="00705680" w:rsidRPr="000878C7" w:rsidRDefault="00705680" w:rsidP="0025293C">
      <w:pPr>
        <w:jc w:val="both"/>
        <w:outlineLvl w:val="2"/>
        <w:rPr>
          <w:rFonts w:ascii="Arial" w:hAnsi="Arial" w:cs="Arial"/>
          <w:sz w:val="22"/>
          <w:szCs w:val="22"/>
        </w:rPr>
      </w:pPr>
    </w:p>
    <w:p w:rsidR="00705680" w:rsidRPr="000878C7" w:rsidRDefault="00705680" w:rsidP="0025293C">
      <w:pPr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Concernant les deux catégories, il est nécessaire d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apporter la preuve que la ou les substances dont il est demandé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inscription à l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annexe 3 ne sont pas de nouvelles denrées alimentaires, c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est-à-dire qu</w:t>
      </w:r>
      <w:r w:rsidR="008F4A3D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elles ont été mises sur le marché avant le 15 mai 1997, cf. le règlement nº 1215 du 25 juillet 2017 relatif aux nouvelles denrées alimentaires.</w:t>
      </w:r>
    </w:p>
    <w:p w:rsidR="00F661C2" w:rsidRPr="000878C7" w:rsidRDefault="00F661C2" w:rsidP="0025293C">
      <w:pPr>
        <w:jc w:val="both"/>
        <w:outlineLvl w:val="2"/>
        <w:rPr>
          <w:rFonts w:ascii="Arial" w:hAnsi="Arial" w:cs="Arial"/>
          <w:b/>
          <w:sz w:val="22"/>
          <w:szCs w:val="22"/>
        </w:rPr>
      </w:pPr>
    </w:p>
    <w:p w:rsidR="00F661C2" w:rsidRPr="000878C7" w:rsidRDefault="008A15E3" w:rsidP="0025293C">
      <w:pPr>
        <w:jc w:val="both"/>
        <w:outlineLvl w:val="2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Compléments alimentaires</w:t>
      </w:r>
    </w:p>
    <w:p w:rsidR="00F661C2" w:rsidRPr="000878C7" w:rsidRDefault="00F661C2" w:rsidP="0025293C">
      <w:pPr>
        <w:pStyle w:val="Ledd"/>
        <w:spacing w:before="0"/>
        <w:ind w:firstLine="0"/>
        <w:jc w:val="both"/>
        <w:rPr>
          <w:rFonts w:cs="Arial"/>
          <w:szCs w:val="22"/>
        </w:rPr>
      </w:pP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Nom du notifiant ou du demandeur (producteur de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EEE, importateur de</w:t>
      </w:r>
      <w:r w:rsidR="008F4A3D">
        <w:rPr>
          <w:rFonts w:ascii="Arial" w:hAnsi="Arial"/>
          <w:i/>
          <w:sz w:val="22"/>
        </w:rPr>
        <w:t xml:space="preserve"> l’</w:t>
      </w:r>
      <w:r>
        <w:rPr>
          <w:rFonts w:ascii="Arial" w:hAnsi="Arial"/>
          <w:i/>
          <w:sz w:val="22"/>
        </w:rPr>
        <w:t>EEE ou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autres responsables de la première mise sur le marché norvégien),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adresse, le numéro de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organisation, le numéro de téléphone et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adresse électronique éventuelle.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Nom du produit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 xml:space="preserve">Forme du produit (par exemple, </w:t>
      </w:r>
      <w:r w:rsidR="006D31FC">
        <w:rPr>
          <w:rFonts w:ascii="Arial" w:hAnsi="Arial"/>
          <w:i/>
          <w:sz w:val="22"/>
        </w:rPr>
        <w:t>gélules</w:t>
      </w:r>
      <w:r>
        <w:rPr>
          <w:rFonts w:ascii="Arial" w:hAnsi="Arial"/>
          <w:i/>
          <w:sz w:val="22"/>
        </w:rPr>
        <w:t>, comprimés, etc.) et description du produit.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Nom de la (des) substance(s) faisant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objet de la notification ou de la demande.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Quantité ajoutée de la substance(s).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Teneur totale de la (des) substance (s) (quantité ajoutée totale et teneur naturelle de la même substance) par dose journalière.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sz w:val="22"/>
        </w:rPr>
        <w:t>Dose journalière recommandée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Liste des ingrédients tels que visés par le règlement nº 1497 du 28 novembre 2014 relatif à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 xml:space="preserve">information des consommateurs sur les denrées alimentaires. 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Tout notifiant ou demandeur qui a connaissance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une mise sur le marché, en toute légalité, du même produit (dont le nom et le contenu sont les mêmes) dans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autres pays de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EEE, cf.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article 1 de la loi nº 13 du 12 avril 2013 relative à la libre circulation des marchandises au sein de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EEE (EEA Goods Act), cf. le règlement (CE) nº 764/2008, est tenu de soumettre toute documentation à ce sujet</w:t>
      </w:r>
      <w:r>
        <w:rPr>
          <w:rFonts w:ascii="Arial" w:hAnsi="Arial"/>
          <w:sz w:val="22"/>
        </w:rPr>
        <w:t>.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Les nom</w:t>
      </w:r>
      <w:r w:rsidR="006D31FC">
        <w:rPr>
          <w:rFonts w:ascii="Arial" w:hAnsi="Arial"/>
          <w:i/>
          <w:sz w:val="22"/>
        </w:rPr>
        <w:t>s</w:t>
      </w:r>
      <w:r>
        <w:rPr>
          <w:rFonts w:ascii="Arial" w:hAnsi="Arial"/>
          <w:i/>
          <w:sz w:val="22"/>
        </w:rPr>
        <w:t>, la structure, la forme chimique (solide ou liquide), le numéro CAS de la (des) substance(s), forme isomère L du (des) acide(s) aminé(s),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indice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oxydation de la substance (par exemple Fe2 + ou Fe3 + ) et le poids moléculaire de la (des) substance(s).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Spécification et méthode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analyse de la (des) substance(s).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Description de la méthode de production de la substance à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aide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un diagramme de production qui inclut des informations sur toutes les matières premières utilisées dans la production.</w:t>
      </w:r>
    </w:p>
    <w:p w:rsidR="00902EF5" w:rsidRPr="000878C7" w:rsidRDefault="00902EF5" w:rsidP="0025293C">
      <w:pPr>
        <w:numPr>
          <w:ilvl w:val="0"/>
          <w:numId w:val="36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lastRenderedPageBreak/>
        <w:t>Les études toxicologiques pertinentes de la (des) substance(s) et du résumé du notifiant ou du demandeur et une évaluation de celles-ci.</w:t>
      </w:r>
    </w:p>
    <w:p w:rsidR="00F30108" w:rsidRPr="000878C7" w:rsidRDefault="00F30108" w:rsidP="0025293C">
      <w:pPr>
        <w:jc w:val="both"/>
        <w:rPr>
          <w:rFonts w:ascii="Arial" w:hAnsi="Arial" w:cs="Arial"/>
          <w:b/>
          <w:sz w:val="22"/>
          <w:szCs w:val="22"/>
        </w:rPr>
      </w:pPr>
    </w:p>
    <w:p w:rsidR="00F30108" w:rsidRPr="000878C7" w:rsidRDefault="00FE2ED4" w:rsidP="002529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Denrées alimentaires autres que les compléments alimentaires</w:t>
      </w:r>
    </w:p>
    <w:p w:rsidR="00F30108" w:rsidRPr="000878C7" w:rsidRDefault="00F30108" w:rsidP="0025293C">
      <w:pPr>
        <w:jc w:val="both"/>
        <w:rPr>
          <w:rFonts w:ascii="Arial" w:hAnsi="Arial" w:cs="Arial"/>
          <w:b/>
          <w:sz w:val="22"/>
          <w:szCs w:val="22"/>
        </w:rPr>
      </w:pPr>
    </w:p>
    <w:p w:rsidR="00902EF5" w:rsidRPr="000878C7" w:rsidRDefault="00FF624F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Nom du notifiant ou du demandeur (producteur de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EEE, importateur de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EEE ou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autres responsables de la première mise sur le marché norvégien),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adresse, le numéro de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organisation, le numéro de téléphone et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adresse électronique éventuelle.</w:t>
      </w:r>
    </w:p>
    <w:p w:rsidR="00902EF5" w:rsidRPr="000878C7" w:rsidRDefault="00902EF5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Nom du produit</w:t>
      </w:r>
    </w:p>
    <w:p w:rsidR="00902EF5" w:rsidRPr="000878C7" w:rsidRDefault="00902EF5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Catégorie de denrée alimentaire, accompagnée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une description du produit.</w:t>
      </w:r>
    </w:p>
    <w:p w:rsidR="00902EF5" w:rsidRPr="000878C7" w:rsidRDefault="00902EF5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Nom de la (des) substance(s) faisant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objet de la notification ou de la demande.</w:t>
      </w:r>
    </w:p>
    <w:p w:rsidR="00902EF5" w:rsidRPr="000878C7" w:rsidRDefault="00902EF5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Quantité ajoutée de la substance(s).</w:t>
      </w:r>
    </w:p>
    <w:p w:rsidR="00902EF5" w:rsidRPr="000878C7" w:rsidRDefault="00902EF5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Teneur totale de la (des) substance (s) (quantité ajoutée totale et teneur naturelle de la même substance) par 100 g ou 100 ml.</w:t>
      </w:r>
    </w:p>
    <w:p w:rsidR="00902EF5" w:rsidRPr="000878C7" w:rsidRDefault="00902EF5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Liste des ingrédients tels que visés par le règlement nº 1497 du 28 novembre 2014 relatif à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information des consommateurs sur les denrées alimentaires.</w:t>
      </w:r>
    </w:p>
    <w:p w:rsidR="00902EF5" w:rsidRPr="000878C7" w:rsidRDefault="00902EF5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Déclaration nutritionnelle</w:t>
      </w:r>
    </w:p>
    <w:p w:rsidR="00902EF5" w:rsidRPr="000878C7" w:rsidRDefault="00902EF5" w:rsidP="0025293C">
      <w:pPr>
        <w:numPr>
          <w:ilvl w:val="0"/>
          <w:numId w:val="37"/>
        </w:numPr>
        <w:contextualSpacing/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Tout notifiant ou demandeur qui a connaissance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une mise sur le marché, en toute légalité, du même produit (dont le nom et le contenu sont les mêmes) dans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autres pays de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EEE, cf.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article 1</w:t>
      </w:r>
      <w:r>
        <w:rPr>
          <w:rFonts w:ascii="Arial" w:hAnsi="Arial"/>
          <w:i/>
          <w:sz w:val="22"/>
          <w:vertAlign w:val="superscript"/>
        </w:rPr>
        <w:t>er</w:t>
      </w:r>
      <w:r>
        <w:rPr>
          <w:rFonts w:ascii="Arial" w:hAnsi="Arial"/>
          <w:i/>
          <w:sz w:val="22"/>
        </w:rPr>
        <w:t xml:space="preserve"> de la loi nº 13 du 12 avril 2013 relative à la libre circulation des marchandises au sein de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EEE (EEA Goods Act), cf. le règlement (CE) nº 764/2008, est tenu de soumettre toute documentation à ce sujet</w:t>
      </w:r>
      <w:r>
        <w:rPr>
          <w:rFonts w:ascii="Arial" w:hAnsi="Arial"/>
          <w:sz w:val="22"/>
        </w:rPr>
        <w:t>.</w:t>
      </w:r>
    </w:p>
    <w:p w:rsidR="00902EF5" w:rsidRPr="000878C7" w:rsidRDefault="00902EF5" w:rsidP="0025293C">
      <w:pPr>
        <w:numPr>
          <w:ilvl w:val="0"/>
          <w:numId w:val="37"/>
        </w:numPr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Les nom</w:t>
      </w:r>
      <w:r w:rsidR="006D31FC">
        <w:rPr>
          <w:rFonts w:ascii="Arial" w:hAnsi="Arial"/>
          <w:i/>
          <w:sz w:val="22"/>
        </w:rPr>
        <w:t>s</w:t>
      </w:r>
      <w:r>
        <w:rPr>
          <w:rFonts w:ascii="Arial" w:hAnsi="Arial"/>
          <w:i/>
          <w:sz w:val="22"/>
        </w:rPr>
        <w:t>, la structure, la forme chimique (solide ou liquide), le numéro CAS de la (des) substance(s), forme isomère L du (des) acide(s) aminé(s),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indice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oxydation de la substance (par exemple Fe2 + ou Fe3 + ) et le poids moléculaire de la (des) substance(s).</w:t>
      </w:r>
    </w:p>
    <w:p w:rsidR="00902EF5" w:rsidRPr="000878C7" w:rsidRDefault="00902EF5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La spécification et méthode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analyse de la (des) substance(s).</w:t>
      </w:r>
    </w:p>
    <w:p w:rsidR="00902EF5" w:rsidRPr="000878C7" w:rsidRDefault="00902EF5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La description de la méthode de production de la substance à l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aide d</w:t>
      </w:r>
      <w:r w:rsidR="008F4A3D">
        <w:rPr>
          <w:rFonts w:ascii="Arial" w:hAnsi="Arial"/>
          <w:i/>
          <w:sz w:val="22"/>
        </w:rPr>
        <w:t>’</w:t>
      </w:r>
      <w:r>
        <w:rPr>
          <w:rFonts w:ascii="Arial" w:hAnsi="Arial"/>
          <w:i/>
          <w:sz w:val="22"/>
        </w:rPr>
        <w:t>un diagramme de production qui inclut des informations sur toutes les matières premières utilisées dans la production.</w:t>
      </w:r>
    </w:p>
    <w:p w:rsidR="00902EF5" w:rsidRPr="000878C7" w:rsidRDefault="00902EF5" w:rsidP="0025293C">
      <w:pPr>
        <w:numPr>
          <w:ilvl w:val="0"/>
          <w:numId w:val="37"/>
        </w:numPr>
        <w:jc w:val="both"/>
        <w:outlineLvl w:val="2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Les études toxicologiques pertinentes de la (des) substance(s) et du résumé du notifiant ou du demandeur et une évaluation de celles-ci.</w:t>
      </w:r>
    </w:p>
    <w:p w:rsidR="00C54042" w:rsidRPr="000878C7" w:rsidRDefault="00C54042" w:rsidP="0025293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36427" w:rsidRPr="000878C7" w:rsidRDefault="002C73C0" w:rsidP="0025293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Le nouvel article 5 est libellé comme suit:</w:t>
      </w:r>
    </w:p>
    <w:p w:rsidR="00336427" w:rsidRPr="000878C7" w:rsidRDefault="00336427" w:rsidP="0025293C">
      <w:pPr>
        <w:jc w:val="both"/>
        <w:outlineLvl w:val="2"/>
        <w:rPr>
          <w:rFonts w:ascii="Arial" w:hAnsi="Arial" w:cs="Arial"/>
          <w:sz w:val="22"/>
          <w:szCs w:val="22"/>
        </w:rPr>
      </w:pPr>
    </w:p>
    <w:p w:rsidR="00D54C84" w:rsidRPr="000878C7" w:rsidRDefault="00336427" w:rsidP="0025293C">
      <w:pPr>
        <w:jc w:val="both"/>
        <w:outlineLvl w:val="2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Annexe 5 «Autres substances» qui, en vertu des paragraphes 2 et 3 de l</w:t>
      </w:r>
      <w:r w:rsidR="008F4A3D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article 6, ne sont pas visées par les articles 7 à 10 et que l</w:t>
      </w:r>
      <w:r w:rsidR="008F4A3D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Autorité norvégienne de sécurité des aliments a interdites ou soumises aux restrictions conformément à l</w:t>
      </w:r>
      <w:r w:rsidR="008F4A3D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article 6, dernier alinéa</w:t>
      </w:r>
    </w:p>
    <w:p w:rsidR="00D54C84" w:rsidRPr="000878C7" w:rsidRDefault="00D54C84" w:rsidP="0025293C">
      <w:pPr>
        <w:jc w:val="both"/>
        <w:outlineLvl w:val="2"/>
        <w:rPr>
          <w:rFonts w:ascii="Arial" w:hAnsi="Arial" w:cs="Arial"/>
          <w:sz w:val="22"/>
          <w:szCs w:val="22"/>
        </w:rPr>
      </w:pPr>
    </w:p>
    <w:p w:rsidR="00C44D2A" w:rsidRPr="000878C7" w:rsidRDefault="00C44D2A" w:rsidP="0025293C">
      <w:pPr>
        <w:jc w:val="both"/>
        <w:outlineLvl w:val="2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Partie A Interdiction</w:t>
      </w:r>
    </w:p>
    <w:p w:rsidR="00C44D2A" w:rsidRPr="000878C7" w:rsidRDefault="00C44D2A" w:rsidP="0025293C">
      <w:pPr>
        <w:jc w:val="both"/>
        <w:outlineLvl w:val="2"/>
        <w:rPr>
          <w:rFonts w:ascii="Arial" w:hAnsi="Arial" w:cs="Arial"/>
          <w:sz w:val="22"/>
          <w:szCs w:val="22"/>
        </w:rPr>
      </w:pPr>
    </w:p>
    <w:p w:rsidR="00C44D2A" w:rsidRPr="000878C7" w:rsidRDefault="00C44D2A" w:rsidP="0025293C">
      <w:pPr>
        <w:jc w:val="both"/>
        <w:outlineLvl w:val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Partie B Restrictions</w:t>
      </w:r>
    </w:p>
    <w:p w:rsidR="0025293C" w:rsidRPr="000878C7" w:rsidRDefault="0025293C" w:rsidP="00D54C84">
      <w:pPr>
        <w:outlineLvl w:val="2"/>
        <w:rPr>
          <w:rFonts w:ascii="Arial" w:hAnsi="Arial" w:cs="Arial"/>
          <w:b/>
          <w:sz w:val="22"/>
          <w:szCs w:val="22"/>
        </w:rPr>
      </w:pPr>
    </w:p>
    <w:p w:rsidR="006B340D" w:rsidRPr="000878C7" w:rsidRDefault="00D54C84" w:rsidP="00C54042">
      <w:pPr>
        <w:spacing w:after="200" w:line="276" w:lineRule="auto"/>
        <w:jc w:val="center"/>
        <w:rPr>
          <w:b/>
        </w:rPr>
      </w:pPr>
      <w:r>
        <w:rPr>
          <w:rFonts w:ascii="Arial" w:hAnsi="Arial"/>
          <w:b/>
          <w:sz w:val="22"/>
        </w:rPr>
        <w:t>II</w:t>
      </w:r>
    </w:p>
    <w:p w:rsidR="001A183A" w:rsidRPr="000878C7" w:rsidRDefault="001A183A" w:rsidP="001A183A">
      <w:pPr>
        <w:pStyle w:val="Ledd"/>
        <w:ind w:firstLine="0"/>
      </w:pPr>
    </w:p>
    <w:p w:rsidR="001A183A" w:rsidRPr="000878C7" w:rsidRDefault="001A183A" w:rsidP="0025293C">
      <w:pPr>
        <w:pStyle w:val="Ledd"/>
        <w:ind w:firstLine="0"/>
        <w:jc w:val="both"/>
        <w:rPr>
          <w:noProof/>
        </w:rPr>
      </w:pPr>
      <w:r>
        <w:t>Les modifications suivantes sont apportées au règlement nº 406 du 13 février 2004 relatif au paiement de redevances au titre des services spécifiques fournis par l</w:t>
      </w:r>
      <w:r w:rsidR="008F4A3D">
        <w:t>’</w:t>
      </w:r>
      <w:r>
        <w:t>Autorité norvégienne de sécurité des aliments:</w:t>
      </w:r>
    </w:p>
    <w:p w:rsidR="00336427" w:rsidRPr="000878C7" w:rsidRDefault="00336427" w:rsidP="0025293C">
      <w:pPr>
        <w:pStyle w:val="Ledd"/>
        <w:ind w:firstLine="0"/>
        <w:jc w:val="both"/>
        <w:rPr>
          <w:noProof/>
        </w:rPr>
      </w:pPr>
    </w:p>
    <w:p w:rsidR="00336427" w:rsidRPr="000878C7" w:rsidRDefault="00D54C84" w:rsidP="0025293C">
      <w:pPr>
        <w:pStyle w:val="Ledd"/>
        <w:ind w:firstLine="0"/>
        <w:jc w:val="both"/>
        <w:rPr>
          <w:b/>
        </w:rPr>
      </w:pPr>
      <w:r>
        <w:rPr>
          <w:b/>
        </w:rPr>
        <w:lastRenderedPageBreak/>
        <w:t>Dans le tableau de l</w:t>
      </w:r>
      <w:r w:rsidR="008F4A3D">
        <w:rPr>
          <w:b/>
        </w:rPr>
        <w:t>’</w:t>
      </w:r>
      <w:r>
        <w:rPr>
          <w:b/>
        </w:rPr>
        <w:t>annexe 1, chapitre II, le sous-titre «Traitement des demandes d</w:t>
      </w:r>
      <w:r w:rsidR="008F4A3D">
        <w:rPr>
          <w:b/>
        </w:rPr>
        <w:t>’</w:t>
      </w:r>
      <w:r>
        <w:rPr>
          <w:b/>
        </w:rPr>
        <w:t>approbation de produits» est modifié et devient «Traitement des notifications et des demandes d</w:t>
      </w:r>
      <w:r w:rsidR="008F4A3D">
        <w:rPr>
          <w:b/>
        </w:rPr>
        <w:t>’</w:t>
      </w:r>
      <w:r>
        <w:rPr>
          <w:b/>
        </w:rPr>
        <w:t>autorisation et d</w:t>
      </w:r>
      <w:r w:rsidR="008F4A3D">
        <w:rPr>
          <w:b/>
        </w:rPr>
        <w:t>’</w:t>
      </w:r>
      <w:r>
        <w:rPr>
          <w:b/>
        </w:rPr>
        <w:t>approbation des produits».</w:t>
      </w:r>
    </w:p>
    <w:p w:rsidR="006D2951" w:rsidRPr="000878C7" w:rsidRDefault="006D2951" w:rsidP="0025293C">
      <w:pPr>
        <w:pStyle w:val="Ledd"/>
        <w:ind w:firstLine="0"/>
        <w:jc w:val="both"/>
      </w:pPr>
    </w:p>
    <w:p w:rsidR="006D2951" w:rsidRPr="000878C7" w:rsidRDefault="006D2951" w:rsidP="0025293C">
      <w:pPr>
        <w:pStyle w:val="Ledd"/>
        <w:ind w:firstLine="0"/>
        <w:jc w:val="both"/>
        <w:rPr>
          <w:b/>
        </w:rPr>
      </w:pPr>
      <w:r>
        <w:rPr>
          <w:b/>
        </w:rPr>
        <w:t>Sous l</w:t>
      </w:r>
      <w:r w:rsidR="008F4A3D">
        <w:rPr>
          <w:b/>
        </w:rPr>
        <w:t>’</w:t>
      </w:r>
      <w:r>
        <w:rPr>
          <w:b/>
        </w:rPr>
        <w:t>intitulé modifié «Traitement des notifications et demandes d</w:t>
      </w:r>
      <w:r w:rsidR="008F4A3D">
        <w:rPr>
          <w:b/>
        </w:rPr>
        <w:t>’</w:t>
      </w:r>
      <w:r>
        <w:rPr>
          <w:b/>
        </w:rPr>
        <w:t>autorisation et d</w:t>
      </w:r>
      <w:r w:rsidR="008F4A3D">
        <w:rPr>
          <w:b/>
        </w:rPr>
        <w:t>’</w:t>
      </w:r>
      <w:r>
        <w:rPr>
          <w:b/>
        </w:rPr>
        <w:t>approbation des produits», de nouvelles lignes sont insérées dans le tableau entre la ligne intitulée «Approbation de l</w:t>
      </w:r>
      <w:r w:rsidR="008F4A3D">
        <w:rPr>
          <w:b/>
        </w:rPr>
        <w:t>’</w:t>
      </w:r>
      <w:r>
        <w:rPr>
          <w:b/>
        </w:rPr>
        <w:t>enrichissement - produits équivalents non approuvés antérieurement» et la ligne «Approbation de nouveaux aliments - application simplifiée:</w:t>
      </w:r>
    </w:p>
    <w:p w:rsidR="003704B0" w:rsidRPr="000878C7" w:rsidRDefault="003704B0" w:rsidP="001A183A">
      <w:pPr>
        <w:pStyle w:val="Ledd"/>
        <w:ind w:firstLine="0"/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6912"/>
        <w:gridCol w:w="1418"/>
        <w:gridCol w:w="882"/>
      </w:tblGrid>
      <w:tr w:rsidR="00A97511" w:rsidRPr="000878C7" w:rsidTr="00393109">
        <w:tc>
          <w:tcPr>
            <w:tcW w:w="6912" w:type="dxa"/>
          </w:tcPr>
          <w:p w:rsidR="00A97511" w:rsidRPr="000878C7" w:rsidRDefault="00A97511" w:rsidP="001A183A">
            <w:pPr>
              <w:pStyle w:val="Ledd"/>
              <w:ind w:firstLine="0"/>
            </w:pPr>
            <w:r>
              <w:t>Traitement des notifications et des demandes d</w:t>
            </w:r>
            <w:r w:rsidR="008F4A3D">
              <w:t>’</w:t>
            </w:r>
            <w:r>
              <w:t>autorisation d</w:t>
            </w:r>
            <w:r w:rsidR="008F4A3D">
              <w:t>’</w:t>
            </w:r>
            <w:r>
              <w:t>adjonction de certaines «autres substances» aux denrées alimentaires, y compris aux compléments alimentaires</w:t>
            </w:r>
          </w:p>
        </w:tc>
        <w:tc>
          <w:tcPr>
            <w:tcW w:w="1418" w:type="dxa"/>
          </w:tcPr>
          <w:p w:rsidR="00A97511" w:rsidRPr="000878C7" w:rsidRDefault="00575759" w:rsidP="008304EF">
            <w:pPr>
              <w:pStyle w:val="Ledd"/>
              <w:ind w:firstLine="0"/>
              <w:jc w:val="right"/>
            </w:pPr>
            <w:r>
              <w:t>12.285</w:t>
            </w:r>
          </w:p>
        </w:tc>
        <w:tc>
          <w:tcPr>
            <w:tcW w:w="882" w:type="dxa"/>
          </w:tcPr>
          <w:p w:rsidR="00A97511" w:rsidRPr="000878C7" w:rsidRDefault="00575759" w:rsidP="00393109">
            <w:pPr>
              <w:pStyle w:val="Ledd"/>
              <w:ind w:firstLine="0"/>
              <w:jc w:val="center"/>
            </w:pPr>
            <w:r>
              <w:t>e</w:t>
            </w:r>
          </w:p>
        </w:tc>
      </w:tr>
    </w:tbl>
    <w:p w:rsidR="00A97511" w:rsidRPr="000878C7" w:rsidRDefault="00A97511" w:rsidP="001A183A">
      <w:pPr>
        <w:pStyle w:val="Ledd"/>
        <w:ind w:firstLine="0"/>
      </w:pPr>
    </w:p>
    <w:p w:rsidR="001A183A" w:rsidRPr="000878C7" w:rsidRDefault="001A183A" w:rsidP="006B340D">
      <w:pPr>
        <w:pStyle w:val="Ledd"/>
        <w:ind w:firstLine="0"/>
        <w:jc w:val="center"/>
        <w:rPr>
          <w:b/>
        </w:rPr>
      </w:pPr>
      <w:r>
        <w:rPr>
          <w:b/>
        </w:rPr>
        <w:t>III.</w:t>
      </w:r>
    </w:p>
    <w:p w:rsidR="006B340D" w:rsidRPr="000878C7" w:rsidRDefault="006B340D" w:rsidP="006B340D">
      <w:pPr>
        <w:pStyle w:val="Ledd"/>
        <w:ind w:firstLine="0"/>
      </w:pPr>
    </w:p>
    <w:p w:rsidR="006B340D" w:rsidRPr="000878C7" w:rsidRDefault="006B340D" w:rsidP="0025293C">
      <w:pPr>
        <w:pStyle w:val="Paragraf"/>
        <w:numPr>
          <w:ilvl w:val="0"/>
          <w:numId w:val="0"/>
        </w:numPr>
        <w:spacing w:before="0"/>
        <w:jc w:val="both"/>
        <w:rPr>
          <w:rFonts w:cs="Arial"/>
          <w:i w:val="0"/>
          <w:szCs w:val="22"/>
        </w:rPr>
      </w:pPr>
      <w:r>
        <w:rPr>
          <w:i w:val="0"/>
        </w:rPr>
        <w:t>Les modifications visées aux points I et II ci-dessus entreront en vigueur immédiatement, à une date précise, ou les différentes modifications entreront en vigueur à des dates différentes.</w:t>
      </w:r>
    </w:p>
    <w:sectPr w:rsidR="006B340D" w:rsidRPr="000878C7" w:rsidSect="00F84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65A" w:rsidRDefault="0011365A" w:rsidP="00B70248">
      <w:r>
        <w:separator/>
      </w:r>
    </w:p>
  </w:endnote>
  <w:endnote w:type="continuationSeparator" w:id="1">
    <w:p w:rsidR="0011365A" w:rsidRDefault="0011365A" w:rsidP="00B70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scoSansCon">
    <w:altName w:val="FrescoSansCo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65A" w:rsidRDefault="0011365A" w:rsidP="00B70248">
      <w:r>
        <w:separator/>
      </w:r>
    </w:p>
  </w:footnote>
  <w:footnote w:type="continuationSeparator" w:id="1">
    <w:p w:rsidR="0011365A" w:rsidRDefault="0011365A" w:rsidP="00B70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1A2"/>
    <w:multiLevelType w:val="hybridMultilevel"/>
    <w:tmpl w:val="EB3CF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4021"/>
    <w:multiLevelType w:val="hybridMultilevel"/>
    <w:tmpl w:val="4DB0C072"/>
    <w:lvl w:ilvl="0" w:tplc="8ECA49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8E554A"/>
    <w:multiLevelType w:val="hybridMultilevel"/>
    <w:tmpl w:val="76A4CD5E"/>
    <w:lvl w:ilvl="0" w:tplc="EC5ACA1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7943"/>
    <w:multiLevelType w:val="hybridMultilevel"/>
    <w:tmpl w:val="A6B2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45B20"/>
    <w:multiLevelType w:val="hybridMultilevel"/>
    <w:tmpl w:val="61E2B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A6982"/>
    <w:multiLevelType w:val="hybridMultilevel"/>
    <w:tmpl w:val="18FCF3E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54D7E"/>
    <w:multiLevelType w:val="hybridMultilevel"/>
    <w:tmpl w:val="26B092D0"/>
    <w:lvl w:ilvl="0" w:tplc="EC5ACA1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846D3"/>
    <w:multiLevelType w:val="hybridMultilevel"/>
    <w:tmpl w:val="A06AB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1F2A"/>
    <w:multiLevelType w:val="hybridMultilevel"/>
    <w:tmpl w:val="FB64D5A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F1F84"/>
    <w:multiLevelType w:val="hybridMultilevel"/>
    <w:tmpl w:val="14FA165A"/>
    <w:lvl w:ilvl="0" w:tplc="C610ED0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905FB"/>
    <w:multiLevelType w:val="hybridMultilevel"/>
    <w:tmpl w:val="90F47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71B50"/>
    <w:multiLevelType w:val="hybridMultilevel"/>
    <w:tmpl w:val="EB5E2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43090"/>
    <w:multiLevelType w:val="hybridMultilevel"/>
    <w:tmpl w:val="26B092D0"/>
    <w:lvl w:ilvl="0" w:tplc="EC5ACA1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811E6"/>
    <w:multiLevelType w:val="hybridMultilevel"/>
    <w:tmpl w:val="A06AB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E2312"/>
    <w:multiLevelType w:val="hybridMultilevel"/>
    <w:tmpl w:val="EFB802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E2BC5"/>
    <w:multiLevelType w:val="hybridMultilevel"/>
    <w:tmpl w:val="26B092D0"/>
    <w:lvl w:ilvl="0" w:tplc="EC5ACA1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E0AA8"/>
    <w:multiLevelType w:val="hybridMultilevel"/>
    <w:tmpl w:val="1A12905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B2ECD"/>
    <w:multiLevelType w:val="hybridMultilevel"/>
    <w:tmpl w:val="667AE674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8A0A6D"/>
    <w:multiLevelType w:val="hybridMultilevel"/>
    <w:tmpl w:val="4F305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20DB8"/>
    <w:multiLevelType w:val="multilevel"/>
    <w:tmpl w:val="0C765D34"/>
    <w:lvl w:ilvl="0">
      <w:start w:val="1"/>
      <w:numFmt w:val="decimal"/>
      <w:pStyle w:val="Paragraf"/>
      <w:isLgl/>
      <w:suff w:val="space"/>
      <w:lvlText w:val="§ %1 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42" w:firstLine="0"/>
      </w:pPr>
      <w:rPr>
        <w:rFonts w:hint="default"/>
      </w:rPr>
    </w:lvl>
  </w:abstractNum>
  <w:abstractNum w:abstractNumId="20">
    <w:nsid w:val="71D3726F"/>
    <w:multiLevelType w:val="hybridMultilevel"/>
    <w:tmpl w:val="26B092D0"/>
    <w:lvl w:ilvl="0" w:tplc="EC5ACA1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9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12"/>
  </w:num>
  <w:num w:numId="9">
    <w:abstractNumId w:val="15"/>
  </w:num>
  <w:num w:numId="10">
    <w:abstractNumId w:val="18"/>
  </w:num>
  <w:num w:numId="11">
    <w:abstractNumId w:val="20"/>
  </w:num>
  <w:num w:numId="12">
    <w:abstractNumId w:val="2"/>
  </w:num>
  <w:num w:numId="13">
    <w:abstractNumId w:val="6"/>
  </w:num>
  <w:num w:numId="14">
    <w:abstractNumId w:val="1"/>
  </w:num>
  <w:num w:numId="15">
    <w:abstractNumId w:val="16"/>
  </w:num>
  <w:num w:numId="16">
    <w:abstractNumId w:val="10"/>
  </w:num>
  <w:num w:numId="17">
    <w:abstractNumId w:val="5"/>
  </w:num>
  <w:num w:numId="18">
    <w:abstractNumId w:val="14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7"/>
  </w:num>
  <w:num w:numId="33">
    <w:abstractNumId w:val="13"/>
  </w:num>
  <w:num w:numId="34">
    <w:abstractNumId w:val="8"/>
  </w:num>
  <w:num w:numId="35">
    <w:abstractNumId w:val="9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defaultTabStop w:val="708"/>
  <w:hyphenationZone w:val="425"/>
  <w:doNotHyphenateCaps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57181F"/>
    <w:rsid w:val="00001045"/>
    <w:rsid w:val="000117FA"/>
    <w:rsid w:val="0001219D"/>
    <w:rsid w:val="00021040"/>
    <w:rsid w:val="00030C74"/>
    <w:rsid w:val="0003103F"/>
    <w:rsid w:val="00041412"/>
    <w:rsid w:val="000433D8"/>
    <w:rsid w:val="000464A2"/>
    <w:rsid w:val="00047655"/>
    <w:rsid w:val="00054C24"/>
    <w:rsid w:val="00055AE0"/>
    <w:rsid w:val="00063448"/>
    <w:rsid w:val="000637A7"/>
    <w:rsid w:val="00066E78"/>
    <w:rsid w:val="00074165"/>
    <w:rsid w:val="00074AF1"/>
    <w:rsid w:val="0007627F"/>
    <w:rsid w:val="00081E04"/>
    <w:rsid w:val="00086F59"/>
    <w:rsid w:val="0008744F"/>
    <w:rsid w:val="000878C7"/>
    <w:rsid w:val="000946C5"/>
    <w:rsid w:val="000975F1"/>
    <w:rsid w:val="000A102E"/>
    <w:rsid w:val="000A118D"/>
    <w:rsid w:val="000A15BE"/>
    <w:rsid w:val="000A3629"/>
    <w:rsid w:val="000A53E7"/>
    <w:rsid w:val="000B32C8"/>
    <w:rsid w:val="000B3590"/>
    <w:rsid w:val="000C0C12"/>
    <w:rsid w:val="000C25BE"/>
    <w:rsid w:val="000C336F"/>
    <w:rsid w:val="000C6F70"/>
    <w:rsid w:val="000D157D"/>
    <w:rsid w:val="000D1CFD"/>
    <w:rsid w:val="000D4542"/>
    <w:rsid w:val="000D7536"/>
    <w:rsid w:val="000E0557"/>
    <w:rsid w:val="000E25C1"/>
    <w:rsid w:val="000E2BF7"/>
    <w:rsid w:val="000F0B69"/>
    <w:rsid w:val="000F5E7D"/>
    <w:rsid w:val="00101E8B"/>
    <w:rsid w:val="00103FAE"/>
    <w:rsid w:val="001063D0"/>
    <w:rsid w:val="00107532"/>
    <w:rsid w:val="00110588"/>
    <w:rsid w:val="00112493"/>
    <w:rsid w:val="0011365A"/>
    <w:rsid w:val="0012288A"/>
    <w:rsid w:val="00122D0F"/>
    <w:rsid w:val="00124480"/>
    <w:rsid w:val="00126331"/>
    <w:rsid w:val="00127B95"/>
    <w:rsid w:val="0013061C"/>
    <w:rsid w:val="0013139F"/>
    <w:rsid w:val="00133D9C"/>
    <w:rsid w:val="00134891"/>
    <w:rsid w:val="001368B6"/>
    <w:rsid w:val="00143523"/>
    <w:rsid w:val="00143E13"/>
    <w:rsid w:val="00144A58"/>
    <w:rsid w:val="00146535"/>
    <w:rsid w:val="001476FE"/>
    <w:rsid w:val="00153BBB"/>
    <w:rsid w:val="0015400B"/>
    <w:rsid w:val="00154A42"/>
    <w:rsid w:val="00155849"/>
    <w:rsid w:val="001563DA"/>
    <w:rsid w:val="001607FD"/>
    <w:rsid w:val="00162342"/>
    <w:rsid w:val="00165034"/>
    <w:rsid w:val="00166533"/>
    <w:rsid w:val="00167E1C"/>
    <w:rsid w:val="00174F76"/>
    <w:rsid w:val="00176CA0"/>
    <w:rsid w:val="0017719C"/>
    <w:rsid w:val="00193F10"/>
    <w:rsid w:val="001964EF"/>
    <w:rsid w:val="001A0D87"/>
    <w:rsid w:val="001A0DCC"/>
    <w:rsid w:val="001A183A"/>
    <w:rsid w:val="001A21DD"/>
    <w:rsid w:val="001A59CF"/>
    <w:rsid w:val="001A7175"/>
    <w:rsid w:val="001B00DA"/>
    <w:rsid w:val="001B14A5"/>
    <w:rsid w:val="001B1545"/>
    <w:rsid w:val="001B40D5"/>
    <w:rsid w:val="001B6998"/>
    <w:rsid w:val="001C5933"/>
    <w:rsid w:val="001D17D1"/>
    <w:rsid w:val="001D6424"/>
    <w:rsid w:val="001D7368"/>
    <w:rsid w:val="001E3813"/>
    <w:rsid w:val="001E4384"/>
    <w:rsid w:val="001E7A2B"/>
    <w:rsid w:val="001F21DE"/>
    <w:rsid w:val="001F3BC4"/>
    <w:rsid w:val="00200ED6"/>
    <w:rsid w:val="00207253"/>
    <w:rsid w:val="00207980"/>
    <w:rsid w:val="00213B0A"/>
    <w:rsid w:val="00220E1A"/>
    <w:rsid w:val="002222E9"/>
    <w:rsid w:val="00225D59"/>
    <w:rsid w:val="00225ED2"/>
    <w:rsid w:val="00227A9B"/>
    <w:rsid w:val="00232834"/>
    <w:rsid w:val="002334C5"/>
    <w:rsid w:val="00247C0F"/>
    <w:rsid w:val="002517B6"/>
    <w:rsid w:val="0025293C"/>
    <w:rsid w:val="00252EAE"/>
    <w:rsid w:val="00256E96"/>
    <w:rsid w:val="00257713"/>
    <w:rsid w:val="0026370F"/>
    <w:rsid w:val="002663CF"/>
    <w:rsid w:val="002724B5"/>
    <w:rsid w:val="00273076"/>
    <w:rsid w:val="002737BD"/>
    <w:rsid w:val="00276C1B"/>
    <w:rsid w:val="00283629"/>
    <w:rsid w:val="00283A96"/>
    <w:rsid w:val="00293064"/>
    <w:rsid w:val="00293B7B"/>
    <w:rsid w:val="00297D25"/>
    <w:rsid w:val="002A4179"/>
    <w:rsid w:val="002A43BC"/>
    <w:rsid w:val="002A5896"/>
    <w:rsid w:val="002A70CF"/>
    <w:rsid w:val="002A73D4"/>
    <w:rsid w:val="002C22C2"/>
    <w:rsid w:val="002C3ABB"/>
    <w:rsid w:val="002C73C0"/>
    <w:rsid w:val="002D4511"/>
    <w:rsid w:val="002D7747"/>
    <w:rsid w:val="002E27BE"/>
    <w:rsid w:val="002E7C6D"/>
    <w:rsid w:val="002F18B9"/>
    <w:rsid w:val="002F29F8"/>
    <w:rsid w:val="002F356E"/>
    <w:rsid w:val="002F52A2"/>
    <w:rsid w:val="002F6278"/>
    <w:rsid w:val="002F79D0"/>
    <w:rsid w:val="00304264"/>
    <w:rsid w:val="003128CA"/>
    <w:rsid w:val="00315128"/>
    <w:rsid w:val="00315D39"/>
    <w:rsid w:val="003165C8"/>
    <w:rsid w:val="00321D5D"/>
    <w:rsid w:val="00323ABF"/>
    <w:rsid w:val="00326C39"/>
    <w:rsid w:val="00336427"/>
    <w:rsid w:val="00336985"/>
    <w:rsid w:val="00344101"/>
    <w:rsid w:val="00344FED"/>
    <w:rsid w:val="00347084"/>
    <w:rsid w:val="00350A6F"/>
    <w:rsid w:val="0035197D"/>
    <w:rsid w:val="00360FE8"/>
    <w:rsid w:val="003675DF"/>
    <w:rsid w:val="00367B24"/>
    <w:rsid w:val="003704B0"/>
    <w:rsid w:val="00372258"/>
    <w:rsid w:val="00373C91"/>
    <w:rsid w:val="003753AF"/>
    <w:rsid w:val="00381B20"/>
    <w:rsid w:val="003820F5"/>
    <w:rsid w:val="00382FDB"/>
    <w:rsid w:val="0038676E"/>
    <w:rsid w:val="00393109"/>
    <w:rsid w:val="00394023"/>
    <w:rsid w:val="003943C4"/>
    <w:rsid w:val="003A00B4"/>
    <w:rsid w:val="003A1EB1"/>
    <w:rsid w:val="003A59BB"/>
    <w:rsid w:val="003A7641"/>
    <w:rsid w:val="003B2BFF"/>
    <w:rsid w:val="003B358E"/>
    <w:rsid w:val="003B637E"/>
    <w:rsid w:val="003B70C8"/>
    <w:rsid w:val="003D3490"/>
    <w:rsid w:val="003D5B0D"/>
    <w:rsid w:val="003E0295"/>
    <w:rsid w:val="003E2569"/>
    <w:rsid w:val="003E305F"/>
    <w:rsid w:val="003F3A45"/>
    <w:rsid w:val="004115C9"/>
    <w:rsid w:val="00417FF2"/>
    <w:rsid w:val="00420321"/>
    <w:rsid w:val="00437261"/>
    <w:rsid w:val="0044271F"/>
    <w:rsid w:val="0044309A"/>
    <w:rsid w:val="0045143F"/>
    <w:rsid w:val="004521FD"/>
    <w:rsid w:val="004533D2"/>
    <w:rsid w:val="00453F12"/>
    <w:rsid w:val="00463C4A"/>
    <w:rsid w:val="00466DB9"/>
    <w:rsid w:val="00467712"/>
    <w:rsid w:val="0047428B"/>
    <w:rsid w:val="00476B87"/>
    <w:rsid w:val="004814FE"/>
    <w:rsid w:val="0048236B"/>
    <w:rsid w:val="00485FAB"/>
    <w:rsid w:val="0048629D"/>
    <w:rsid w:val="00486621"/>
    <w:rsid w:val="00486DC2"/>
    <w:rsid w:val="00490520"/>
    <w:rsid w:val="00491985"/>
    <w:rsid w:val="0049252A"/>
    <w:rsid w:val="004A0143"/>
    <w:rsid w:val="004A09B9"/>
    <w:rsid w:val="004A6900"/>
    <w:rsid w:val="004B6B39"/>
    <w:rsid w:val="004C1EE6"/>
    <w:rsid w:val="004D0375"/>
    <w:rsid w:val="004D3B01"/>
    <w:rsid w:val="004D5467"/>
    <w:rsid w:val="004D7262"/>
    <w:rsid w:val="004D79FA"/>
    <w:rsid w:val="004D7E4A"/>
    <w:rsid w:val="004E0D09"/>
    <w:rsid w:val="004E1910"/>
    <w:rsid w:val="004E4763"/>
    <w:rsid w:val="004F074D"/>
    <w:rsid w:val="004F17D8"/>
    <w:rsid w:val="004F35D6"/>
    <w:rsid w:val="004F43E9"/>
    <w:rsid w:val="00500061"/>
    <w:rsid w:val="00510CCF"/>
    <w:rsid w:val="00510F56"/>
    <w:rsid w:val="00514CE4"/>
    <w:rsid w:val="00520CFC"/>
    <w:rsid w:val="00522EFD"/>
    <w:rsid w:val="00525549"/>
    <w:rsid w:val="005267BC"/>
    <w:rsid w:val="00534AD9"/>
    <w:rsid w:val="00541163"/>
    <w:rsid w:val="00541463"/>
    <w:rsid w:val="00542CA6"/>
    <w:rsid w:val="00543ABB"/>
    <w:rsid w:val="005440BD"/>
    <w:rsid w:val="00545F52"/>
    <w:rsid w:val="00552F85"/>
    <w:rsid w:val="005531DC"/>
    <w:rsid w:val="005613C1"/>
    <w:rsid w:val="00570A6F"/>
    <w:rsid w:val="005712CA"/>
    <w:rsid w:val="0057181F"/>
    <w:rsid w:val="00572113"/>
    <w:rsid w:val="00575759"/>
    <w:rsid w:val="005823EF"/>
    <w:rsid w:val="005842A2"/>
    <w:rsid w:val="00584883"/>
    <w:rsid w:val="00584EAE"/>
    <w:rsid w:val="00585116"/>
    <w:rsid w:val="005905DD"/>
    <w:rsid w:val="005916D9"/>
    <w:rsid w:val="00591EEE"/>
    <w:rsid w:val="00593DD4"/>
    <w:rsid w:val="00593FA8"/>
    <w:rsid w:val="0059771C"/>
    <w:rsid w:val="005A2927"/>
    <w:rsid w:val="005A6D42"/>
    <w:rsid w:val="005A6E4D"/>
    <w:rsid w:val="005B0D6F"/>
    <w:rsid w:val="005C4DB2"/>
    <w:rsid w:val="005D0280"/>
    <w:rsid w:val="005D2BE2"/>
    <w:rsid w:val="005E09DA"/>
    <w:rsid w:val="005E15FA"/>
    <w:rsid w:val="005E1E6E"/>
    <w:rsid w:val="005E4F8F"/>
    <w:rsid w:val="005F2091"/>
    <w:rsid w:val="005F735E"/>
    <w:rsid w:val="00600770"/>
    <w:rsid w:val="00602405"/>
    <w:rsid w:val="00606317"/>
    <w:rsid w:val="0061161F"/>
    <w:rsid w:val="0061577A"/>
    <w:rsid w:val="006209D8"/>
    <w:rsid w:val="00636EF7"/>
    <w:rsid w:val="00643AE2"/>
    <w:rsid w:val="00643B9B"/>
    <w:rsid w:val="00650457"/>
    <w:rsid w:val="00650755"/>
    <w:rsid w:val="0065652F"/>
    <w:rsid w:val="00656CE9"/>
    <w:rsid w:val="006603C8"/>
    <w:rsid w:val="00660C5B"/>
    <w:rsid w:val="00664C83"/>
    <w:rsid w:val="0067241A"/>
    <w:rsid w:val="006733A4"/>
    <w:rsid w:val="00673488"/>
    <w:rsid w:val="006750F2"/>
    <w:rsid w:val="00677A04"/>
    <w:rsid w:val="00683184"/>
    <w:rsid w:val="0069049B"/>
    <w:rsid w:val="006975D6"/>
    <w:rsid w:val="006A15B5"/>
    <w:rsid w:val="006A196B"/>
    <w:rsid w:val="006A33AF"/>
    <w:rsid w:val="006A3FA0"/>
    <w:rsid w:val="006A6525"/>
    <w:rsid w:val="006A77FB"/>
    <w:rsid w:val="006B0C83"/>
    <w:rsid w:val="006B340D"/>
    <w:rsid w:val="006B60E4"/>
    <w:rsid w:val="006C3257"/>
    <w:rsid w:val="006C75CB"/>
    <w:rsid w:val="006D2951"/>
    <w:rsid w:val="006D31FC"/>
    <w:rsid w:val="006D3A59"/>
    <w:rsid w:val="006D3CBB"/>
    <w:rsid w:val="006D6C49"/>
    <w:rsid w:val="006D6FFD"/>
    <w:rsid w:val="006E30B7"/>
    <w:rsid w:val="006F2909"/>
    <w:rsid w:val="006F3F95"/>
    <w:rsid w:val="006F5469"/>
    <w:rsid w:val="00704593"/>
    <w:rsid w:val="00705680"/>
    <w:rsid w:val="00712070"/>
    <w:rsid w:val="00721DDA"/>
    <w:rsid w:val="00722E54"/>
    <w:rsid w:val="00735B0C"/>
    <w:rsid w:val="00735E27"/>
    <w:rsid w:val="00737A2F"/>
    <w:rsid w:val="00737CAE"/>
    <w:rsid w:val="007451CE"/>
    <w:rsid w:val="007452DF"/>
    <w:rsid w:val="0074772A"/>
    <w:rsid w:val="00747A16"/>
    <w:rsid w:val="0075738F"/>
    <w:rsid w:val="00761A5B"/>
    <w:rsid w:val="00765088"/>
    <w:rsid w:val="007679D5"/>
    <w:rsid w:val="00770F71"/>
    <w:rsid w:val="00772465"/>
    <w:rsid w:val="00776951"/>
    <w:rsid w:val="007944B4"/>
    <w:rsid w:val="00796867"/>
    <w:rsid w:val="007A3A5B"/>
    <w:rsid w:val="007B5DCD"/>
    <w:rsid w:val="007B6634"/>
    <w:rsid w:val="007C3BB2"/>
    <w:rsid w:val="007C7048"/>
    <w:rsid w:val="007D1720"/>
    <w:rsid w:val="007D51F4"/>
    <w:rsid w:val="007D610C"/>
    <w:rsid w:val="007D79EC"/>
    <w:rsid w:val="007E0DB4"/>
    <w:rsid w:val="007E12D9"/>
    <w:rsid w:val="007E1D9F"/>
    <w:rsid w:val="007E2343"/>
    <w:rsid w:val="007E332B"/>
    <w:rsid w:val="007E536E"/>
    <w:rsid w:val="007E77D2"/>
    <w:rsid w:val="007F1FE8"/>
    <w:rsid w:val="007F439D"/>
    <w:rsid w:val="007F66FD"/>
    <w:rsid w:val="00813F97"/>
    <w:rsid w:val="008217A1"/>
    <w:rsid w:val="00823917"/>
    <w:rsid w:val="008304EF"/>
    <w:rsid w:val="008323CA"/>
    <w:rsid w:val="00837495"/>
    <w:rsid w:val="00840196"/>
    <w:rsid w:val="00840310"/>
    <w:rsid w:val="008452C2"/>
    <w:rsid w:val="00845736"/>
    <w:rsid w:val="00850E6C"/>
    <w:rsid w:val="0085765E"/>
    <w:rsid w:val="00861C3C"/>
    <w:rsid w:val="00864A30"/>
    <w:rsid w:val="00864F90"/>
    <w:rsid w:val="00866440"/>
    <w:rsid w:val="008665FD"/>
    <w:rsid w:val="00866E47"/>
    <w:rsid w:val="00867AB8"/>
    <w:rsid w:val="0087758A"/>
    <w:rsid w:val="008806D3"/>
    <w:rsid w:val="008913CF"/>
    <w:rsid w:val="00891845"/>
    <w:rsid w:val="00891F3D"/>
    <w:rsid w:val="00894296"/>
    <w:rsid w:val="00894D0A"/>
    <w:rsid w:val="00896C54"/>
    <w:rsid w:val="00896EF7"/>
    <w:rsid w:val="008A0969"/>
    <w:rsid w:val="008A15E3"/>
    <w:rsid w:val="008A7142"/>
    <w:rsid w:val="008B28DA"/>
    <w:rsid w:val="008B2D54"/>
    <w:rsid w:val="008B5B86"/>
    <w:rsid w:val="008B785F"/>
    <w:rsid w:val="008C3A9E"/>
    <w:rsid w:val="008D1E25"/>
    <w:rsid w:val="008D1E7C"/>
    <w:rsid w:val="008D4005"/>
    <w:rsid w:val="008D60B1"/>
    <w:rsid w:val="008F44B9"/>
    <w:rsid w:val="008F4A3D"/>
    <w:rsid w:val="008F6237"/>
    <w:rsid w:val="00902EF5"/>
    <w:rsid w:val="00907F94"/>
    <w:rsid w:val="00910A27"/>
    <w:rsid w:val="009125E1"/>
    <w:rsid w:val="00913711"/>
    <w:rsid w:val="00916D7B"/>
    <w:rsid w:val="00916FB7"/>
    <w:rsid w:val="009179F6"/>
    <w:rsid w:val="00922F70"/>
    <w:rsid w:val="0092750D"/>
    <w:rsid w:val="00930483"/>
    <w:rsid w:val="00933B4A"/>
    <w:rsid w:val="00935CFA"/>
    <w:rsid w:val="009364EA"/>
    <w:rsid w:val="00942EB3"/>
    <w:rsid w:val="00950357"/>
    <w:rsid w:val="0096310F"/>
    <w:rsid w:val="0096465C"/>
    <w:rsid w:val="0096704E"/>
    <w:rsid w:val="00970264"/>
    <w:rsid w:val="0097381C"/>
    <w:rsid w:val="00981402"/>
    <w:rsid w:val="00991CE3"/>
    <w:rsid w:val="00995803"/>
    <w:rsid w:val="009A0F33"/>
    <w:rsid w:val="009A22BE"/>
    <w:rsid w:val="009A76B0"/>
    <w:rsid w:val="009B354B"/>
    <w:rsid w:val="009B4098"/>
    <w:rsid w:val="009B4176"/>
    <w:rsid w:val="009B50B0"/>
    <w:rsid w:val="009C3837"/>
    <w:rsid w:val="009C5614"/>
    <w:rsid w:val="009D0963"/>
    <w:rsid w:val="009E496E"/>
    <w:rsid w:val="009E7A04"/>
    <w:rsid w:val="009F04AA"/>
    <w:rsid w:val="009F1B61"/>
    <w:rsid w:val="009F39CF"/>
    <w:rsid w:val="00A01B54"/>
    <w:rsid w:val="00A039CB"/>
    <w:rsid w:val="00A11467"/>
    <w:rsid w:val="00A13102"/>
    <w:rsid w:val="00A22106"/>
    <w:rsid w:val="00A23646"/>
    <w:rsid w:val="00A248E8"/>
    <w:rsid w:val="00A36344"/>
    <w:rsid w:val="00A36E54"/>
    <w:rsid w:val="00A4401D"/>
    <w:rsid w:val="00A45670"/>
    <w:rsid w:val="00A51D29"/>
    <w:rsid w:val="00A555A4"/>
    <w:rsid w:val="00A625C3"/>
    <w:rsid w:val="00A62C27"/>
    <w:rsid w:val="00A63859"/>
    <w:rsid w:val="00A66CB3"/>
    <w:rsid w:val="00A66E27"/>
    <w:rsid w:val="00A737E9"/>
    <w:rsid w:val="00A7602F"/>
    <w:rsid w:val="00A840E5"/>
    <w:rsid w:val="00A856F7"/>
    <w:rsid w:val="00A85FED"/>
    <w:rsid w:val="00A95C39"/>
    <w:rsid w:val="00A97511"/>
    <w:rsid w:val="00AA0289"/>
    <w:rsid w:val="00AA1B6B"/>
    <w:rsid w:val="00AB4A20"/>
    <w:rsid w:val="00AB6A61"/>
    <w:rsid w:val="00AC2304"/>
    <w:rsid w:val="00AC4CE6"/>
    <w:rsid w:val="00AC6E32"/>
    <w:rsid w:val="00AD0BB9"/>
    <w:rsid w:val="00AD1E28"/>
    <w:rsid w:val="00AD53A2"/>
    <w:rsid w:val="00AD57E3"/>
    <w:rsid w:val="00AD61C7"/>
    <w:rsid w:val="00AE1BC9"/>
    <w:rsid w:val="00AE4D61"/>
    <w:rsid w:val="00AE4DE4"/>
    <w:rsid w:val="00AE5936"/>
    <w:rsid w:val="00AE5C84"/>
    <w:rsid w:val="00AE6BBD"/>
    <w:rsid w:val="00AF2BE0"/>
    <w:rsid w:val="00AF2EC5"/>
    <w:rsid w:val="00AF7BF5"/>
    <w:rsid w:val="00B125AF"/>
    <w:rsid w:val="00B145ED"/>
    <w:rsid w:val="00B15CAE"/>
    <w:rsid w:val="00B15D37"/>
    <w:rsid w:val="00B21965"/>
    <w:rsid w:val="00B267BD"/>
    <w:rsid w:val="00B279AE"/>
    <w:rsid w:val="00B30311"/>
    <w:rsid w:val="00B351D2"/>
    <w:rsid w:val="00B409DC"/>
    <w:rsid w:val="00B436C1"/>
    <w:rsid w:val="00B464B3"/>
    <w:rsid w:val="00B467C9"/>
    <w:rsid w:val="00B47B06"/>
    <w:rsid w:val="00B50F4B"/>
    <w:rsid w:val="00B56257"/>
    <w:rsid w:val="00B56926"/>
    <w:rsid w:val="00B57E8C"/>
    <w:rsid w:val="00B6091E"/>
    <w:rsid w:val="00B612E1"/>
    <w:rsid w:val="00B653CB"/>
    <w:rsid w:val="00B657F5"/>
    <w:rsid w:val="00B6678C"/>
    <w:rsid w:val="00B66B58"/>
    <w:rsid w:val="00B70248"/>
    <w:rsid w:val="00B70D00"/>
    <w:rsid w:val="00B76FE5"/>
    <w:rsid w:val="00B83A49"/>
    <w:rsid w:val="00B87D0F"/>
    <w:rsid w:val="00B91BEF"/>
    <w:rsid w:val="00BA329D"/>
    <w:rsid w:val="00BA4618"/>
    <w:rsid w:val="00BB0E90"/>
    <w:rsid w:val="00BB0FD9"/>
    <w:rsid w:val="00BB3A46"/>
    <w:rsid w:val="00BB462E"/>
    <w:rsid w:val="00BB6664"/>
    <w:rsid w:val="00BB6D9A"/>
    <w:rsid w:val="00BC0600"/>
    <w:rsid w:val="00BC40AC"/>
    <w:rsid w:val="00BD050E"/>
    <w:rsid w:val="00BD3927"/>
    <w:rsid w:val="00BD7450"/>
    <w:rsid w:val="00BD7EAC"/>
    <w:rsid w:val="00BE182E"/>
    <w:rsid w:val="00BE5C95"/>
    <w:rsid w:val="00BF4B40"/>
    <w:rsid w:val="00BF51B1"/>
    <w:rsid w:val="00C04F71"/>
    <w:rsid w:val="00C05AC8"/>
    <w:rsid w:val="00C06362"/>
    <w:rsid w:val="00C10929"/>
    <w:rsid w:val="00C16640"/>
    <w:rsid w:val="00C166A9"/>
    <w:rsid w:val="00C25E73"/>
    <w:rsid w:val="00C30394"/>
    <w:rsid w:val="00C32F60"/>
    <w:rsid w:val="00C355E0"/>
    <w:rsid w:val="00C36410"/>
    <w:rsid w:val="00C4425B"/>
    <w:rsid w:val="00C44D2A"/>
    <w:rsid w:val="00C47DB1"/>
    <w:rsid w:val="00C54042"/>
    <w:rsid w:val="00C55A63"/>
    <w:rsid w:val="00C56BAB"/>
    <w:rsid w:val="00C66782"/>
    <w:rsid w:val="00C705C4"/>
    <w:rsid w:val="00C71BBA"/>
    <w:rsid w:val="00C7333B"/>
    <w:rsid w:val="00C82F0F"/>
    <w:rsid w:val="00C86CAE"/>
    <w:rsid w:val="00C87FD7"/>
    <w:rsid w:val="00C93180"/>
    <w:rsid w:val="00C942DA"/>
    <w:rsid w:val="00C950FE"/>
    <w:rsid w:val="00C95521"/>
    <w:rsid w:val="00CA1526"/>
    <w:rsid w:val="00CA6745"/>
    <w:rsid w:val="00CA69AF"/>
    <w:rsid w:val="00CA6B83"/>
    <w:rsid w:val="00CB2218"/>
    <w:rsid w:val="00CB3BCB"/>
    <w:rsid w:val="00CB5A46"/>
    <w:rsid w:val="00CB67D4"/>
    <w:rsid w:val="00CB7715"/>
    <w:rsid w:val="00CC4BDD"/>
    <w:rsid w:val="00CD338B"/>
    <w:rsid w:val="00CD3C21"/>
    <w:rsid w:val="00CD4DC9"/>
    <w:rsid w:val="00CE3427"/>
    <w:rsid w:val="00CE54C0"/>
    <w:rsid w:val="00CF1B39"/>
    <w:rsid w:val="00CF3EDA"/>
    <w:rsid w:val="00CF5F37"/>
    <w:rsid w:val="00CF6301"/>
    <w:rsid w:val="00D11E58"/>
    <w:rsid w:val="00D1651A"/>
    <w:rsid w:val="00D225DB"/>
    <w:rsid w:val="00D274E4"/>
    <w:rsid w:val="00D31843"/>
    <w:rsid w:val="00D32166"/>
    <w:rsid w:val="00D32EFE"/>
    <w:rsid w:val="00D37875"/>
    <w:rsid w:val="00D41749"/>
    <w:rsid w:val="00D44E07"/>
    <w:rsid w:val="00D4500E"/>
    <w:rsid w:val="00D53948"/>
    <w:rsid w:val="00D542A6"/>
    <w:rsid w:val="00D54C84"/>
    <w:rsid w:val="00D5500E"/>
    <w:rsid w:val="00D56F27"/>
    <w:rsid w:val="00D60F4D"/>
    <w:rsid w:val="00D61863"/>
    <w:rsid w:val="00D6308D"/>
    <w:rsid w:val="00D64F53"/>
    <w:rsid w:val="00D67F8B"/>
    <w:rsid w:val="00D71376"/>
    <w:rsid w:val="00D77F57"/>
    <w:rsid w:val="00D819DB"/>
    <w:rsid w:val="00D835ED"/>
    <w:rsid w:val="00D8369A"/>
    <w:rsid w:val="00D85C2E"/>
    <w:rsid w:val="00D93E34"/>
    <w:rsid w:val="00D94385"/>
    <w:rsid w:val="00D9482C"/>
    <w:rsid w:val="00D95CA0"/>
    <w:rsid w:val="00DA40D8"/>
    <w:rsid w:val="00DA63B1"/>
    <w:rsid w:val="00DA6451"/>
    <w:rsid w:val="00DA6A10"/>
    <w:rsid w:val="00DB1635"/>
    <w:rsid w:val="00DB1CCE"/>
    <w:rsid w:val="00DB3CBE"/>
    <w:rsid w:val="00DB5FAB"/>
    <w:rsid w:val="00DB66EF"/>
    <w:rsid w:val="00DD498D"/>
    <w:rsid w:val="00DD6D82"/>
    <w:rsid w:val="00DE44DA"/>
    <w:rsid w:val="00DF0A0F"/>
    <w:rsid w:val="00DF0E11"/>
    <w:rsid w:val="00DF5CC6"/>
    <w:rsid w:val="00E05146"/>
    <w:rsid w:val="00E10321"/>
    <w:rsid w:val="00E213D9"/>
    <w:rsid w:val="00E216C0"/>
    <w:rsid w:val="00E2400C"/>
    <w:rsid w:val="00E25F24"/>
    <w:rsid w:val="00E31BEE"/>
    <w:rsid w:val="00E33D86"/>
    <w:rsid w:val="00E40514"/>
    <w:rsid w:val="00E4169F"/>
    <w:rsid w:val="00E44442"/>
    <w:rsid w:val="00E5424D"/>
    <w:rsid w:val="00E65A9B"/>
    <w:rsid w:val="00E6699E"/>
    <w:rsid w:val="00E70C4E"/>
    <w:rsid w:val="00E7169A"/>
    <w:rsid w:val="00E877F7"/>
    <w:rsid w:val="00E914C3"/>
    <w:rsid w:val="00E92C7D"/>
    <w:rsid w:val="00E96364"/>
    <w:rsid w:val="00E96DAE"/>
    <w:rsid w:val="00EA3FA8"/>
    <w:rsid w:val="00EC2F5D"/>
    <w:rsid w:val="00EC387E"/>
    <w:rsid w:val="00ED1B44"/>
    <w:rsid w:val="00ED6991"/>
    <w:rsid w:val="00ED7639"/>
    <w:rsid w:val="00EF022E"/>
    <w:rsid w:val="00EF3DE2"/>
    <w:rsid w:val="00EF489C"/>
    <w:rsid w:val="00EF696B"/>
    <w:rsid w:val="00F005C7"/>
    <w:rsid w:val="00F03EDD"/>
    <w:rsid w:val="00F134CF"/>
    <w:rsid w:val="00F137FD"/>
    <w:rsid w:val="00F203EB"/>
    <w:rsid w:val="00F22C2A"/>
    <w:rsid w:val="00F22D68"/>
    <w:rsid w:val="00F24068"/>
    <w:rsid w:val="00F26ECB"/>
    <w:rsid w:val="00F2778B"/>
    <w:rsid w:val="00F30108"/>
    <w:rsid w:val="00F37A77"/>
    <w:rsid w:val="00F40EC1"/>
    <w:rsid w:val="00F43897"/>
    <w:rsid w:val="00F450E0"/>
    <w:rsid w:val="00F527A4"/>
    <w:rsid w:val="00F53102"/>
    <w:rsid w:val="00F577EE"/>
    <w:rsid w:val="00F64800"/>
    <w:rsid w:val="00F661C2"/>
    <w:rsid w:val="00F66A7A"/>
    <w:rsid w:val="00F70EC9"/>
    <w:rsid w:val="00F73501"/>
    <w:rsid w:val="00F83CBD"/>
    <w:rsid w:val="00F84A01"/>
    <w:rsid w:val="00F906D6"/>
    <w:rsid w:val="00F916F0"/>
    <w:rsid w:val="00F91F47"/>
    <w:rsid w:val="00F9292A"/>
    <w:rsid w:val="00F94768"/>
    <w:rsid w:val="00F96B39"/>
    <w:rsid w:val="00FA2692"/>
    <w:rsid w:val="00FA7C2C"/>
    <w:rsid w:val="00FB07E0"/>
    <w:rsid w:val="00FB3EB4"/>
    <w:rsid w:val="00FB3F92"/>
    <w:rsid w:val="00FB4EE5"/>
    <w:rsid w:val="00FC35E9"/>
    <w:rsid w:val="00FD3A69"/>
    <w:rsid w:val="00FD64CC"/>
    <w:rsid w:val="00FD7E34"/>
    <w:rsid w:val="00FE2AC4"/>
    <w:rsid w:val="00FE2ED4"/>
    <w:rsid w:val="00FE3D9E"/>
    <w:rsid w:val="00FE6146"/>
    <w:rsid w:val="00FE73B3"/>
    <w:rsid w:val="00FF051E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jemmel">
    <w:name w:val="hjemmel"/>
    <w:basedOn w:val="Normal"/>
    <w:rsid w:val="0057181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Hovedtittel">
    <w:name w:val="Hovedtittel"/>
    <w:basedOn w:val="Normal"/>
    <w:rsid w:val="0057181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Ledd">
    <w:name w:val="Ledd"/>
    <w:rsid w:val="0057181F"/>
    <w:pPr>
      <w:overflowPunct w:val="0"/>
      <w:autoSpaceDE w:val="0"/>
      <w:autoSpaceDN w:val="0"/>
      <w:adjustRightInd w:val="0"/>
      <w:spacing w:before="120" w:after="0" w:line="240" w:lineRule="auto"/>
      <w:ind w:firstLine="567"/>
      <w:textAlignment w:val="baseline"/>
    </w:pPr>
    <w:rPr>
      <w:rFonts w:ascii="Arial" w:eastAsia="Times New Roman" w:hAnsi="Arial" w:cs="Times New Roman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155849"/>
    <w:rPr>
      <w:color w:val="0000FF"/>
      <w:u w:val="single"/>
    </w:rPr>
  </w:style>
  <w:style w:type="paragraph" w:styleId="Pieddepage">
    <w:name w:val="footer"/>
    <w:basedOn w:val="Normal"/>
    <w:link w:val="PieddepageCar"/>
    <w:rsid w:val="00176C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76CA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rsid w:val="00176CA0"/>
    <w:rPr>
      <w:sz w:val="16"/>
      <w:szCs w:val="16"/>
    </w:rPr>
  </w:style>
  <w:style w:type="paragraph" w:styleId="Commentaire">
    <w:name w:val="annotation text"/>
    <w:basedOn w:val="Normal"/>
    <w:link w:val="CommentaireCar"/>
    <w:rsid w:val="00176CA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76CA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6C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CA0"/>
    <w:rPr>
      <w:rFonts w:ascii="Tahoma" w:eastAsia="Times New Roman" w:hAnsi="Tahoma" w:cs="Tahoma"/>
      <w:sz w:val="16"/>
      <w:szCs w:val="16"/>
      <w:lang w:eastAsia="fr-FR"/>
    </w:rPr>
  </w:style>
  <w:style w:type="character" w:styleId="Accentuation">
    <w:name w:val="Emphasis"/>
    <w:basedOn w:val="Policepardfaut"/>
    <w:uiPriority w:val="20"/>
    <w:qFormat/>
    <w:rsid w:val="001563DA"/>
    <w:rPr>
      <w:i/>
      <w:iCs/>
    </w:rPr>
  </w:style>
  <w:style w:type="character" w:customStyle="1" w:styleId="break1">
    <w:name w:val="break1"/>
    <w:basedOn w:val="Policepardfaut"/>
    <w:rsid w:val="001563DA"/>
    <w:rPr>
      <w:vanish w:val="0"/>
      <w:webHidden w:val="0"/>
      <w:specVanish w:val="0"/>
    </w:rPr>
  </w:style>
  <w:style w:type="table" w:styleId="Grilledutableau">
    <w:name w:val="Table Grid"/>
    <w:basedOn w:val="TableauNormal"/>
    <w:uiPriority w:val="59"/>
    <w:rsid w:val="00156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17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174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mortaga">
    <w:name w:val="mortag_a"/>
    <w:basedOn w:val="Normal"/>
    <w:rsid w:val="009F04AA"/>
    <w:pPr>
      <w:spacing w:after="158"/>
    </w:pPr>
  </w:style>
  <w:style w:type="paragraph" w:customStyle="1" w:styleId="Pa25">
    <w:name w:val="Pa25"/>
    <w:basedOn w:val="Normal"/>
    <w:next w:val="Normal"/>
    <w:uiPriority w:val="99"/>
    <w:rsid w:val="00991CE3"/>
    <w:pPr>
      <w:autoSpaceDE w:val="0"/>
      <w:autoSpaceDN w:val="0"/>
      <w:adjustRightInd w:val="0"/>
      <w:spacing w:line="221" w:lineRule="atLeast"/>
    </w:pPr>
    <w:rPr>
      <w:rFonts w:ascii="FrescoSansCon" w:eastAsiaTheme="minorHAnsi" w:hAnsi="FrescoSansCon" w:cstheme="minorBid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024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024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B70248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7024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7024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B7024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A7175"/>
    <w:pPr>
      <w:ind w:left="720"/>
      <w:contextualSpacing/>
    </w:pPr>
  </w:style>
  <w:style w:type="paragraph" w:customStyle="1" w:styleId="Default">
    <w:name w:val="Default"/>
    <w:rsid w:val="00A36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A40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40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f">
    <w:name w:val="Paragraf"/>
    <w:next w:val="Ledd"/>
    <w:rsid w:val="006A33AF"/>
    <w:pPr>
      <w:numPr>
        <w:numId w:val="3"/>
      </w:num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i/>
      <w:noProof/>
      <w:szCs w:val="20"/>
    </w:rPr>
  </w:style>
  <w:style w:type="paragraph" w:styleId="Rvision">
    <w:name w:val="Revision"/>
    <w:hidden/>
    <w:uiPriority w:val="99"/>
    <w:semiHidden/>
    <w:rsid w:val="0037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lrutenett2">
    <w:name w:val="Tabellrutenett2"/>
    <w:basedOn w:val="TableauNormal"/>
    <w:next w:val="Grilledutableau"/>
    <w:uiPriority w:val="59"/>
    <w:rsid w:val="00AD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enett21">
    <w:name w:val="Tabellrutenett21"/>
    <w:basedOn w:val="TableauNormal"/>
    <w:next w:val="Grilledutableau"/>
    <w:uiPriority w:val="59"/>
    <w:rsid w:val="00BB0FD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enett22">
    <w:name w:val="Tabellrutenett22"/>
    <w:basedOn w:val="TableauNormal"/>
    <w:next w:val="Grilledutableau"/>
    <w:uiPriority w:val="59"/>
    <w:rsid w:val="00E669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enett23">
    <w:name w:val="Tabellrutenett23"/>
    <w:basedOn w:val="TableauNormal"/>
    <w:next w:val="Grilledutableau"/>
    <w:uiPriority w:val="59"/>
    <w:rsid w:val="002C22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98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3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08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607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636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14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87922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37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909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15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774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4352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04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154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193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173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45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FD73-8073-4D84-91CF-9B8DDAE0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4992</Words>
  <Characters>27456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2018-06-01T08:46:00Z</dcterms:created>
  <dcterms:modified xsi:type="dcterms:W3CDTF">2018-07-10T16:16:00Z</dcterms:modified>
</cp:coreProperties>
</file>