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Preambule</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r>
        <w:rPr>
          <w:rFonts w:ascii="Verdana" w:hAnsi="Verdana"/>
        </w:rPr>
        <w:t xml:space="preserve">Aby bylo možné určit, zda pro účely tohoto nařízení s mocí zákona mají být některé nádoby na potraviny považovány za jednorázové plastové výrobky, hraje rozhodující roli tendence stát se odpadem vzhledem k jejich objemu nebo velikosti, zejména pokud jde o jednotlivé porce. Při těchto následných opatřeních a za účelem sladění s předpoklady učiněnými na jednotném evropském trhu se přihlíží k úvahám, které jsou uvedeny v pokynech a nařízeních speciálně vypracovaných Evropskou komisí na toto téma, které jsou stanoveny ve směrnici Evropského parlamentu a Rady (EU) 2019/904 ze dne 5. června 2019 o snižování dopadu některých plastových výrobků na životní prostředí. </w:t>
      </w:r>
    </w:p>
    <w:p w14:paraId="4344E981" w14:textId="77777777" w:rsidR="007C0F01" w:rsidRPr="007C0F01" w:rsidRDefault="007C0F01" w:rsidP="00036184">
      <w:pPr>
        <w:jc w:val="both"/>
        <w:rPr>
          <w:rFonts w:ascii="Verdana" w:hAnsi="Verdana" w:cs="EU Albertina"/>
        </w:rPr>
      </w:pPr>
      <w:r>
        <w:rPr>
          <w:rFonts w:ascii="Verdana" w:hAnsi="Verdana"/>
        </w:rPr>
        <w:t xml:space="preserve">Příklady nádob na potraviny, které by měly být považovány za jednorázové plastové výrobky pro účely tohoto nařízení s mocí zákona, jsou nádoby pro rychlé občerstvení nebo krabice na jídla, jako jsou sendviče, </w:t>
      </w:r>
      <w:r>
        <w:rPr>
          <w:rFonts w:ascii="Verdana" w:hAnsi="Verdana"/>
          <w:i/>
        </w:rPr>
        <w:t>wrapy</w:t>
      </w:r>
      <w:r>
        <w:rPr>
          <w:rFonts w:ascii="Verdana" w:hAnsi="Verdana"/>
        </w:rPr>
        <w:t xml:space="preserve"> a saláty, obsahující teplé nebo studené potraviny, a nádoby na čerstvé nebo zpracované potraviny, které nevyžadují další přípravu, jako jsou ovoce, zelenina nebo dezerty. Příklady nádob na potraviny, které by neměly být považovány za jednorázové plastové výrobky pro účely této směrnice, jsou nádoby na potraviny prodávané s obsahem suchých nebo studených potravin, které vyžadují více přípravku, nádoby obsahující více než jednu jednotlivou porci potravin a nádob na potraviny velikosti pro jednotlivé porce a prodávané ve více než jedné jednotce.</w:t>
      </w:r>
    </w:p>
    <w:p w14:paraId="061F5D98" w14:textId="77777777" w:rsidR="007C0F01" w:rsidRDefault="007C0F01" w:rsidP="00036184">
      <w:pPr>
        <w:jc w:val="both"/>
        <w:rPr>
          <w:rFonts w:ascii="Verdana" w:hAnsi="Verdana" w:cs="EU Albertina"/>
        </w:rPr>
      </w:pPr>
      <w:r>
        <w:rPr>
          <w:rFonts w:ascii="Verdana" w:hAnsi="Verdana"/>
        </w:rPr>
        <w:t>Příklady nádob na nápoje, které by měly být považovány za jednorázové plastové výrobky, jsou lahve na nápoje nebo kompozitní obaly nápojů používané pro pivo, víno, vodu, tekuté občerstvení, džusy a nektary, instantní nápoje nebo mléko, ale ne poháry na nápoje, protože se jedná o samostatnou kategorii plastových výrobků na jedno použití pro účely tohoto nařízení s mocí zákona.</w:t>
      </w:r>
    </w:p>
    <w:p w14:paraId="711CCE6E" w14:textId="77777777" w:rsidR="00036184" w:rsidRPr="00036184" w:rsidRDefault="00036184" w:rsidP="00036184">
      <w:pPr>
        <w:jc w:val="both"/>
        <w:rPr>
          <w:rFonts w:ascii="Verdana" w:hAnsi="Verdana"/>
        </w:rPr>
      </w:pPr>
      <w:r>
        <w:rPr>
          <w:rFonts w:ascii="Verdana" w:hAnsi="Verdana"/>
        </w:rPr>
        <w:t xml:space="preserve">Toto legislativní nařízení stanoví opatření pro předcházení a snížení dopadu některých plastových výrobků na jedno použití a výrobků z plastů rozložitelných na životní prostředí, zejména na vodní prostředí a na lidské zdraví, jakož i na podporu přechodu na oběhové hospodářství s inovativními </w:t>
      </w:r>
      <w:r>
        <w:rPr>
          <w:rFonts w:ascii="Verdana" w:hAnsi="Verdana"/>
        </w:rPr>
        <w:lastRenderedPageBreak/>
        <w:t>a udržitelnými obchodními modely, výrobky a materiály, což rovněž přispívá k účinnému fungování vnitřního trhu.</w:t>
      </w:r>
    </w:p>
    <w:p w14:paraId="79283FBA" w14:textId="76F47710" w:rsidR="00036184" w:rsidRDefault="00036184" w:rsidP="00036184">
      <w:pPr>
        <w:jc w:val="both"/>
        <w:rPr>
          <w:rFonts w:ascii="Verdana" w:hAnsi="Verdana"/>
        </w:rPr>
      </w:pPr>
      <w:r>
        <w:rPr>
          <w:rFonts w:ascii="Verdana" w:hAnsi="Verdana"/>
        </w:rPr>
        <w:t>Podporuje také cirkulární přístupy, které upřednostňují opětovně použitelné výrobky a udržitelné a netoxické systémy opětovného použití, a nikoli výrobky na jedno použití, především s cílem snížit množství vzniklého odpadu.</w:t>
      </w:r>
    </w:p>
    <w:p w14:paraId="2F500026" w14:textId="4E799E84" w:rsidR="00805BAF" w:rsidRPr="00036184" w:rsidRDefault="005D508B" w:rsidP="00036184">
      <w:pPr>
        <w:jc w:val="both"/>
        <w:rPr>
          <w:rFonts w:ascii="Verdana" w:hAnsi="Verdana"/>
        </w:rPr>
      </w:pPr>
      <w:r>
        <w:rPr>
          <w:rFonts w:ascii="Verdana" w:hAnsi="Verdana"/>
        </w:rPr>
        <w:t>Toto nařízení s mocí zákona bylo podrobeno postupu pro poskytování informací v oblasti technických předpisů a předpisů pro služby informační společnosti v rámci směrnice Evropského parlamentu a Rady (EU) 2015/1535 ze dne 9. září 2015.</w:t>
      </w:r>
    </w:p>
    <w:p w14:paraId="31EF75EF" w14:textId="77777777" w:rsidR="003B7AD3" w:rsidRPr="00953C37" w:rsidRDefault="003B7AD3" w:rsidP="003B7AD3">
      <w:pPr>
        <w:jc w:val="both"/>
        <w:rPr>
          <w:rFonts w:ascii="Verdana" w:hAnsi="Verdana"/>
        </w:rPr>
      </w:pPr>
      <w:r>
        <w:rPr>
          <w:rFonts w:ascii="Verdana" w:hAnsi="Verdana"/>
        </w:rPr>
        <w:t>Toto nařízení s mocí zákona bylo předmětem veřejné konzultace mezi xxx a xxx a podléhá informačnímu postupu v oblasti technických předpisů a předpisů pro služby informační společnosti podle směrnice Evropského parlamentu a Rady (EU) 2015/1535 ze dne 9. září 2015.</w:t>
      </w:r>
    </w:p>
    <w:p w14:paraId="708F4727" w14:textId="0CEE0C54" w:rsidR="003B7AD3" w:rsidRPr="0030214C" w:rsidRDefault="003B7AD3" w:rsidP="003B7AD3">
      <w:pPr>
        <w:jc w:val="both"/>
        <w:rPr>
          <w:rFonts w:ascii="Verdana" w:hAnsi="Verdana"/>
        </w:rPr>
      </w:pPr>
      <w:r>
        <w:rPr>
          <w:rFonts w:ascii="Verdana" w:hAnsi="Verdana"/>
        </w:rPr>
        <w:t>Byly vyslyšeny správní orgány autonomních oblastí.</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690646E4" w:rsidR="00A172F1" w:rsidRPr="00C63B34" w:rsidRDefault="00975B2D" w:rsidP="007B62A1">
      <w:pPr>
        <w:pStyle w:val="Heading1"/>
        <w:ind w:firstLine="630"/>
      </w:pPr>
      <w:r>
        <w:br/>
        <w:t>Obecná ustanovení a zásady</w:t>
      </w:r>
    </w:p>
    <w:p w14:paraId="7BDDF5B7" w14:textId="0ADC805D" w:rsidR="00A172F1" w:rsidRPr="00C63B34" w:rsidRDefault="009870C4" w:rsidP="009870C4">
      <w:pPr>
        <w:pStyle w:val="Heading2"/>
        <w:numPr>
          <w:ilvl w:val="0"/>
          <w:numId w:val="0"/>
        </w:numPr>
        <w:tabs>
          <w:tab w:val="clear" w:pos="1701"/>
          <w:tab w:val="left" w:pos="180"/>
        </w:tabs>
        <w:ind w:left="426"/>
      </w:pPr>
      <w:r>
        <w:t>Článek 1</w:t>
      </w:r>
      <w:r>
        <w:br/>
        <w:t>Předmět</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Tímto nařízením s mocí zákona se provádí do vnitrostátního práva směrnice Evropského parlamentu a Rady (EU) 2019/904 ze dne 5. června 2019 o snižování dopadu některých plastových výrobků na životní prostředí.</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Toto nařízení s mocí zákona je rovněž první změnou zákona č. 77/2019 ze dne 2. září, kterým se stanoví povinnost zpřístupnit spotřebitelům alternativy k distribuci ultralehkých plastových sáčků a plastových kyvet v místech prodeje chleba, ovoce a zeleniny.</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lastRenderedPageBreak/>
        <w:t>Článek 2</w:t>
      </w:r>
      <w:r>
        <w:br/>
      </w:r>
      <w:bookmarkStart w:id="1" w:name="_Ref66177877"/>
      <w:r>
        <w:t>Oblast použití</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t>Toto nařízení se vztahuje na jednorázové plastové výrobky uvedené v příloze I, výrobky vyrobené z oxo-rozložitelných plastů a lovná zařízení s obsahem plastů.</w:t>
      </w:r>
    </w:p>
    <w:p w14:paraId="3AC71414" w14:textId="31EFFBEF" w:rsidR="008716CA" w:rsidRDefault="008716CA" w:rsidP="00C525D6">
      <w:pPr>
        <w:pStyle w:val="ListParagraph"/>
        <w:numPr>
          <w:ilvl w:val="0"/>
          <w:numId w:val="18"/>
        </w:numPr>
        <w:jc w:val="both"/>
        <w:rPr>
          <w:rFonts w:ascii="Verdana" w:hAnsi="Verdana"/>
        </w:rPr>
      </w:pPr>
      <w:r>
        <w:rPr>
          <w:rFonts w:ascii="Verdana" w:hAnsi="Verdana"/>
        </w:rPr>
        <w:t>Za účelem harmonizace uplatňování těchto právních předpisů na trhu Evropské unie a vyjasnění oblasti působnosti stanovené v předchozím odstavci byla dodržena pravidla stanovená v obecných zásadách pro provádění směrnice Evropského parlamentu a Rady (EU) 2019/904 ze dne 5. června 2019, které byly zveřejněny Evropskou komisí a zveřejněny na internetových stránkách APA, I.P.</w:t>
      </w:r>
    </w:p>
    <w:p w14:paraId="5EA0CD13" w14:textId="5455FE8B" w:rsidR="008A5EE0" w:rsidRPr="008716CA" w:rsidRDefault="008A5EE0" w:rsidP="00C525D6">
      <w:pPr>
        <w:pStyle w:val="ListParagraph"/>
        <w:numPr>
          <w:ilvl w:val="0"/>
          <w:numId w:val="18"/>
        </w:numPr>
        <w:jc w:val="both"/>
        <w:rPr>
          <w:rFonts w:ascii="Verdana" w:hAnsi="Verdana"/>
        </w:rPr>
      </w:pPr>
      <w:r>
        <w:t xml:space="preserve">Toto nařízení se vztahuje také na </w:t>
      </w:r>
      <w:bookmarkStart w:id="2" w:name="_Hlk66395090"/>
      <w:r>
        <w:t>jednorázové obaly vyrobené z jakéhokoli druhu.</w:t>
      </w:r>
      <w:r>
        <w:rPr>
          <w:rFonts w:ascii="Verdana" w:hAnsi="Verdana"/>
        </w:rPr>
        <w:t xml:space="preserve"> </w:t>
      </w:r>
    </w:p>
    <w:bookmarkEnd w:id="2"/>
    <w:p w14:paraId="6F41DA9F" w14:textId="059CEE77" w:rsidR="007879A9" w:rsidRPr="003F6B93" w:rsidRDefault="00B46206" w:rsidP="00C525D6">
      <w:pPr>
        <w:pStyle w:val="ListParagraph"/>
        <w:numPr>
          <w:ilvl w:val="0"/>
          <w:numId w:val="18"/>
        </w:numPr>
        <w:jc w:val="both"/>
        <w:rPr>
          <w:rFonts w:ascii="Verdana" w:hAnsi="Verdana"/>
        </w:rPr>
      </w:pPr>
      <w:r>
        <w:t xml:space="preserve">V případě rozporu mezi tímto nařízením s mocí zákona a s nařízením s mocí zákona č. 152-D/2017 ze dne 11. prosince ve znění a znovuzveřejněním </w:t>
      </w:r>
      <w:bookmarkStart w:id="3" w:name="_Hlk65346660"/>
      <w:r>
        <w:t>nařízení s mocí zákona č. 102-D/2020 ze dne 10. prosince</w:t>
      </w:r>
      <w:bookmarkEnd w:id="3"/>
      <w:r>
        <w:t>, kterým se zavádí systém nakládání s konkrétními toky odpadů (Unilex) a/nebo obecným systémem nakládání s odpady (GSWM), schválený přílohou I nařízení s mocí zákona č. 102-D/2020 ze dne 10. prosince, bude mít přednost toto nařízení.</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24A418" w14:textId="77777777" w:rsidR="007B62A1" w:rsidRDefault="009870C4" w:rsidP="009870C4">
      <w:pPr>
        <w:pStyle w:val="Heading2"/>
        <w:numPr>
          <w:ilvl w:val="0"/>
          <w:numId w:val="0"/>
        </w:numPr>
        <w:tabs>
          <w:tab w:val="clear" w:pos="1701"/>
          <w:tab w:val="left" w:pos="1276"/>
        </w:tabs>
        <w:ind w:left="4050"/>
        <w:jc w:val="left"/>
      </w:pPr>
      <w:r>
        <w:t>Článek 3</w:t>
      </w:r>
    </w:p>
    <w:p w14:paraId="57CBE0EB" w14:textId="7A16C8DC" w:rsidR="00836720" w:rsidRPr="00C63B34" w:rsidRDefault="009870C4" w:rsidP="009870C4">
      <w:pPr>
        <w:pStyle w:val="Heading2"/>
        <w:numPr>
          <w:ilvl w:val="0"/>
          <w:numId w:val="0"/>
        </w:numPr>
        <w:tabs>
          <w:tab w:val="clear" w:pos="1701"/>
          <w:tab w:val="left" w:pos="1276"/>
        </w:tabs>
        <w:ind w:left="4050"/>
        <w:jc w:val="left"/>
      </w:pPr>
      <w:r>
        <w:t>Definice</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Pro účely tohoto nařízení s mocí zákona se použijí tyto definice: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„lovným zařízením“ se rozumí předmět nebo zařízení používané při rybolovu nebo akvakultuře k vyhledávání, odlovu nebo chovu mořských biologických zdrojů nebo těchto zdrojů plovoucích na hladině moře a je použito za účelem přilákání a odchytu nebo chovu těchto mořských biologických zdrojů;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t>„maloobchodní činností“ se rozumí jakýkoli další prodej nového nebo použitého zboží konečnému spotřebiteli, včetně odborníků a institucí, nebo po provedení určitých úkonů souvisejících s maloobchodem, jako je výběr, klasifikace nebo balení, prováděné v obchodním zařízení nebo mimo něj, na veletrzích, městských trzích, při podomním prodeji, na dálku, doma a prostřednictvím prodejních automatů;</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lastRenderedPageBreak/>
        <w:t>„činnostmi podávání pokrmů v restauracích bez obsluhy a podávání nápojů“ se rozumí poskytování stravovacích služeb nebo podávání nápojů sporadické povahy řádně oznámených veřejnosti bez ohledu na to, zda jsou poskytovány v pevných zařízeních nebo přenosných zařízeních umístěných na místech konání vystoupení, veletrhů, výstav nebo v jiných prostorech;</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t xml:space="preserve">„zařízeními pro stravování nebo podávání nápojů“ se rozumí zařízení, jejichž činnost je určena k poskytování potravin nebo nápojů a kavárenských služeb uvnitř nebo mimo provozovnu, bez ohledu na jeho pojmenování;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„uvedením na trh“ se rozumí první dodání výrobku na domácím trhu jako profesionální činnost;</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„Dodáním na trh“ se rozumí dodání výrobku za účelem distribuce, spotřeby nebo použití na trhu v Portugalsku v rámci obchodní činnosti, ať už za úplatu nebo bezplatně;</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„balírnou“ se rozumí balírna ve smyslu čl. 3 odst. 1 písm. q) Unilex;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„balením“ se rozumí podle definice v čl. 3 odst. 1 písm. r) Unilex;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„obalem na jedno použití“ se rozumí obal, který není opakovaně použitelný nebo jedno použití definovaný v čl. 3 odst. 1 písm. u) Unilex; </w:t>
      </w:r>
    </w:p>
    <w:p w14:paraId="6165F5F7" w14:textId="6B369E32" w:rsidR="000F077F" w:rsidRDefault="000F077F" w:rsidP="00F7675E">
      <w:pPr>
        <w:pStyle w:val="ListParagraph"/>
        <w:numPr>
          <w:ilvl w:val="0"/>
          <w:numId w:val="1"/>
        </w:numPr>
        <w:jc w:val="both"/>
        <w:rPr>
          <w:rFonts w:ascii="Verdana" w:hAnsi="Verdana"/>
        </w:rPr>
      </w:pPr>
      <w:r>
        <w:rPr>
          <w:rFonts w:ascii="Verdana" w:hAnsi="Verdana"/>
        </w:rPr>
        <w:t xml:space="preserve">„obaly pro opakované použití“ se rozumí obaly, které lze opakovaně použít podle definice v čl. 3 odst. 1 písm. v) Unilex; </w:t>
      </w:r>
    </w:p>
    <w:p w14:paraId="0A6FE340" w14:textId="6089B47D" w:rsidR="00C73230" w:rsidRDefault="00C73230" w:rsidP="00F7675E">
      <w:pPr>
        <w:pStyle w:val="ListParagraph"/>
        <w:numPr>
          <w:ilvl w:val="0"/>
          <w:numId w:val="1"/>
        </w:numPr>
        <w:jc w:val="both"/>
        <w:rPr>
          <w:rFonts w:ascii="Verdana" w:hAnsi="Verdana"/>
        </w:rPr>
      </w:pPr>
      <w:r>
        <w:rPr>
          <w:rFonts w:ascii="Verdana" w:hAnsi="Verdana"/>
        </w:rPr>
        <w:t>„opětovně použitelným stolním nádobím“ se rozumí nádobí nebo obaly používané k obsluze potravin nebo nápojů a/nebo napomáhající konzumaci potravin nebo nápojů, které byly koncipovány, navrženy a uvedeny na trh tak, aby během jejich životnosti dosáhly více cest nebo rotací tím, že byly znovu naplněny nebo znovu použity ke stejnému účelu, pro který byly koncipovány;</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„přístavními přijímacími zařízeními“ se rozumí přístavní zařízení pro příjem ve smyslu čl. 3 odst. 1 písm. m) nařízení s mocí zákona č. 102/2020 ze dne 9. prosince;</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„harmonizovanou normou“ se rozumí harmonizovaná norma ve smyslu čl. 2 odst. 1 písm. c) nařízení (EU) č.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t>„ostatními zařízeními pro stravování nebo podávání nápojů“ se rozumí místa, kde se stravovací služby a služby podávání nápojů uskutečňují prostřednictvím cateringových, banketových nebo jiných služeb, pokud se v těchto prostorách pravidelně rozumí nejméně 10 akcí ročně;</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„plastem“ se rozumí materiál složený z polymeru podle definice v čl. 3 odst. 5 nařízení (ES) č. 1907/2006, ke kterému mohly být </w:t>
      </w:r>
      <w:r>
        <w:rPr>
          <w:rFonts w:ascii="Verdana" w:hAnsi="Verdana"/>
        </w:rPr>
        <w:lastRenderedPageBreak/>
        <w:t xml:space="preserve">přidány doplňkové látky nebo jiné látky a který může fungovat jako hlavní strukturální složka konečných výrobků, s výjimkou přírodních polymerů, které nebyly chemicky upraveny;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t>„biologicky rozložitelným plastem“ se rozumí plast, který je schopen fyzikálního a biologického rozkladu tak, že se v konečném důsledku rozloží na oxid uhličitý (CO</w:t>
      </w:r>
      <w:r>
        <w:rPr>
          <w:rFonts w:ascii="Verdana" w:hAnsi="Verdana"/>
          <w:vertAlign w:val="subscript"/>
        </w:rPr>
        <w:t>2</w:t>
      </w:r>
      <w:r>
        <w:rPr>
          <w:rFonts w:ascii="Verdana" w:hAnsi="Verdana"/>
        </w:rPr>
        <w:t>), biomasu a vodu, a který je v souladu s evropskými normami pro obaly využitelný formou kompostování a anaerobní digesce;</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t xml:space="preserve">„oxo-rozložitelným plastem“ se rozumí plastové materiály, které obsahují přísady, jež prostřednictvím oxidace způsobují rozpad plastového materiálu na mikročástice nebo chemický rozklad;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„plastovým výrobkem na jedno použití“ se rozumí výrobek, který je vyroben zcela či částečně z plastu a který není vyroben, navržen či uváděn na trh tak, aby mohl být během svého životního cyklu vícekrát využit nebo mohl projít několika cykly tím, že bude vrácen výrobci k opětovnému naplnění nebo opětovně použit ke stejnému účelu, ke kterému byl určen;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„výrobcem“ se rozumí výrobku podle definice v čl. 3 odst. 1 písm. r) Unilex, který uvádí na trh plastové výrobky na jedno použití, plněné plastové výrobky na jedno použití nebo lovná zařízení obsahující plasty, kromě osob vykonávajících rybolovné činnosti ve smyslu čl. 4 bodu 28 nařízení Evropského parlamentu a Rady (EU) č. 1380/2013;</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„tabákovými výrobky“ se rozumí tabákové výrobky ve smyslu čl. 2 písm. e) zákona č. 37/2007 ze dne 14. srpna;</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„sběrem“ se rozumí sběr podle definice v čl. 3 odst. 1 písm. x) obecného systému nakládání s odpady (GSWM);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„tříděným sběrem“ se rozumí tříděný sběr podle definice v čl. 3 odst. 1 písm. j) GSWM;</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t>„hotovým jídlem určeným ke konzumaci na místě a k odnesení nebo k dodání domů“ se rozumí hotové pokrmy, pro konzumaci na místě a k odnesení nebo k dodání domů, jak je definováno v čl. 3 odst. 1 písm. ss) Unilex;</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„rozšířeným systémem odpovědnosti výrobce“ se rozumí rozšířený systém odpovědnosti výrobce ve smyslu článku 12 GSWM;</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„odpadem“ se rozumí odpad ve smyslu čl. 3 odst. 1 písm. aa) GSWM;</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 xml:space="preserve">„odpadním lovným zařízením“ se rozumí lovné zařízení, na které se vztahuje definice „odpadu“ v čl. 3 odst. 1 písm. aa) GSWM, včetně všech samostatných složek, látek nebo materiálů, které byly </w:t>
      </w:r>
      <w:r>
        <w:rPr>
          <w:rFonts w:ascii="Verdana" w:hAnsi="Verdana"/>
        </w:rPr>
        <w:lastRenderedPageBreak/>
        <w:t>součástí tohoto lovného zařízení nebo byly k němu připojeny, když bylo vyřazeno, včetně případů, kdy bylo opuštěno nebo ztraceno;</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„lehkou plastovou nákupní taškou“ se rozumí lehké plastové nákupní tašky podle definice v čl. 3 odst. 1 písm. eee) Unilex;</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t>„úpravou“ se rozumí zacházení podle definice v čl. 3 odst. 1 písm. n) GSWM.</w:t>
      </w:r>
    </w:p>
    <w:p w14:paraId="4ADAA6E6" w14:textId="455D96C3" w:rsidR="00A172F1" w:rsidRDefault="00A172F1" w:rsidP="00A172F1">
      <w:pPr>
        <w:jc w:val="both"/>
        <w:rPr>
          <w:rFonts w:ascii="Verdana" w:hAnsi="Verdana"/>
        </w:rPr>
      </w:pPr>
    </w:p>
    <w:p w14:paraId="6B06554C" w14:textId="62C78CAB" w:rsidR="007B286C" w:rsidRPr="007B286C" w:rsidRDefault="004D1142" w:rsidP="007B286C">
      <w:pPr>
        <w:pStyle w:val="Heading1"/>
        <w:tabs>
          <w:tab w:val="clear" w:pos="3969"/>
          <w:tab w:val="left" w:pos="2127"/>
        </w:tabs>
      </w:pPr>
      <w:bookmarkStart w:id="4" w:name="_Ref63690309"/>
      <w:r>
        <w:t xml:space="preserve"> </w:t>
      </w:r>
      <w:r>
        <w:br/>
        <w:t>Zákaz uvádění na trh</w:t>
      </w:r>
      <w:bookmarkEnd w:id="4"/>
    </w:p>
    <w:p w14:paraId="57C0FD44" w14:textId="6F99CF22" w:rsidR="00D27005" w:rsidRDefault="009870C4" w:rsidP="009870C4">
      <w:pPr>
        <w:pStyle w:val="Heading2"/>
        <w:numPr>
          <w:ilvl w:val="0"/>
          <w:numId w:val="0"/>
        </w:numPr>
        <w:tabs>
          <w:tab w:val="clear" w:pos="1701"/>
          <w:tab w:val="left" w:pos="1276"/>
        </w:tabs>
        <w:ind w:left="426"/>
      </w:pPr>
      <w:r>
        <w:t>Článek 4</w:t>
      </w:r>
      <w:r>
        <w:br/>
      </w:r>
      <w:bookmarkStart w:id="5" w:name="_Ref63690312"/>
      <w:r>
        <w:t>Zákaz uvádění na trh</w:t>
      </w:r>
      <w:bookmarkEnd w:id="5"/>
      <w:r>
        <w:t xml:space="preserve"> plastových výrobků na jedno použití a výrobků z oxo-rozložitelných plastů</w:t>
      </w:r>
    </w:p>
    <w:p w14:paraId="2C461E0D" w14:textId="77777777" w:rsidR="007B286C" w:rsidRPr="007B286C" w:rsidRDefault="007B286C" w:rsidP="007B286C"/>
    <w:p w14:paraId="2713E414" w14:textId="77777777" w:rsidR="00D27005" w:rsidRPr="00371285" w:rsidRDefault="00D27005" w:rsidP="00C525D6">
      <w:pPr>
        <w:pStyle w:val="ListParagraph"/>
        <w:numPr>
          <w:ilvl w:val="3"/>
          <w:numId w:val="12"/>
        </w:numPr>
        <w:ind w:left="709"/>
        <w:jc w:val="both"/>
        <w:rPr>
          <w:rFonts w:ascii="Verdana" w:hAnsi="Verdana"/>
        </w:rPr>
      </w:pPr>
      <w:r>
        <w:rPr>
          <w:rFonts w:ascii="Verdana" w:hAnsi="Verdana"/>
        </w:rPr>
        <w:t xml:space="preserve">Uvádění na trh těchto plastových výrobků na jedno použití je zakázáno: </w:t>
      </w:r>
    </w:p>
    <w:p w14:paraId="4121AA08" w14:textId="09262A16" w:rsidR="00D27005" w:rsidRPr="00D7669C" w:rsidRDefault="00D27005" w:rsidP="00C525D6">
      <w:pPr>
        <w:pStyle w:val="ListParagraph"/>
        <w:numPr>
          <w:ilvl w:val="0"/>
          <w:numId w:val="2"/>
        </w:numPr>
        <w:ind w:left="1134" w:hanging="357"/>
        <w:jc w:val="both"/>
        <w:rPr>
          <w:rFonts w:ascii="Verdana" w:hAnsi="Verdana"/>
        </w:rPr>
      </w:pPr>
      <w:r>
        <w:t>vatové tyčinky, pokud nespadají do oblasti působnosti nařízení s mocí zákona č. 145/2009 ze dne 17. června, opraveného prohlášením o opravě č. 60-A/2009 ze dne 14. srpna a pozměněným zákonem č. 21/2014 ze dne 16. dubna a 51/2014 ze dne 25. srpna a nařízením s mocí zákona 5/2017 ze dne 6. června a 79/2018 ze dne 15. října;</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příbory (vidličky, nože, lžíce, jídelní hůlky);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talíře;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slánky, s výjimkou případů, kdy spadají do oblasti působnosti nařízení s mocí zákona č. 145/2009 ze dne 17. června, opraveného prohlášením o opravě č. 60-A/2009 ze dne 14. srpna a pozměněným zákonem č. 21/2014 ze dne 16. dubna a 51/2014 ze dne 25. srpna a nařízením s mocí zákona 5/2017 ze dne 6. června a 79/2018 ze dne 15. října;</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nápojová míchátka;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tyčky k uchycení a podpěře balónků, kromě balónků pro průmyslové či jiné profesionální použití a upotřebení, jež nejsou distribuovány spotřebitelům, včetně mechanismů těchto tyček;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nádoby na potraviny vyrobené z expandovaného polystyrenu, tj. nádoby, jako jsou krabičky s víkem či bez něj, jež se používají na potraviny, které:</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jsou určeny k okamžité spotřebě, a to buď na místě, nebo k odnesení s sebou;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lastRenderedPageBreak/>
        <w:t xml:space="preserve">jsou obvykle spotřebovávány z této nádoby a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jsou připraveny ke spotřebě bez jakékoli další přípravy, jako je vaření nebo ohřívání;</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včetně nádob na potraviny používaných pro rychlé občerstvení nebo jiná jídla připravená k okamžité spotřebě, s výjimkou nádob na nápoje, talířů a krabiček a obalů obsahujících potraviny;</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nádoby na nápoje vyrobené z expandovaného polystyrenu, včetně jejich uzávěrů a víček;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kelímky na nápoje vyrobené z expandovaného polystyrenu, včetně jejich uzávěrů a víček;</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Rovněž je zakázáno uvádět na trh jakýkoli výrobek vyrobený z oxo-rozložitelných plastů.</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Článek 5</w:t>
      </w:r>
      <w:r>
        <w:br/>
        <w:t>Zpřístupňování a používání plastových výrobků na jedno použití</w:t>
      </w:r>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t>Od 1. července 2021 nesmějí restaurace nebo zařízení podávající nápoje konečnému spotřebiteli zpřístupnit plastové výrobky na jedno použití uvedené v čl. 4 písm. b) až e) a g) až i)</w:t>
      </w:r>
      <w:bookmarkEnd w:id="6"/>
      <w:r>
        <w:t xml:space="preserve"> pro nápoje a jídla konzumovaná na místě.</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t xml:space="preserve">Od 1. září 2021 nesmějí být jednorázové plastové výrobky uvedené v čl. 4 písm. b) až e) a g) až i) používány: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poskytování stravovacích služeb a služeb podávání nápojů bez obsluhy;</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poskytování stravovacích služeb a služeb podávání nápojů ve veřejné dopravě, zejména v letecké, železniční, námořní a dálkové silniční dopravě;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jiná místa nabízející stravovací služeb nebo služby podávání nápojů;</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Od 1. září 2021 nesmějí být jednorázové plastové výrobky uvedené v čl. 4 písm. b) až e) a g) až i) dodávány na trh v maloobchodním obchodu.</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Snížení spotřeby některých výrobků na jedno použití</w:t>
      </w:r>
      <w:bookmarkEnd w:id="8"/>
    </w:p>
    <w:p w14:paraId="5075E463" w14:textId="593841C0" w:rsidR="003517C6" w:rsidRDefault="009870C4" w:rsidP="009870C4">
      <w:pPr>
        <w:pStyle w:val="Heading2"/>
        <w:numPr>
          <w:ilvl w:val="0"/>
          <w:numId w:val="0"/>
        </w:numPr>
        <w:tabs>
          <w:tab w:val="clear" w:pos="1701"/>
          <w:tab w:val="left" w:pos="1276"/>
        </w:tabs>
        <w:ind w:left="426"/>
      </w:pPr>
      <w:r>
        <w:lastRenderedPageBreak/>
        <w:t>Článek 6</w:t>
      </w:r>
      <w:r>
        <w:br/>
      </w:r>
      <w:bookmarkStart w:id="9" w:name="_Ref66120163"/>
      <w:r>
        <w:t>Dotčené výrobky</w:t>
      </w:r>
      <w:bookmarkEnd w:id="9"/>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t xml:space="preserve">Cíle a opatření stanovené v této kapitole se vztahují </w:t>
      </w:r>
      <w:bookmarkEnd w:id="10"/>
      <w:r>
        <w:t>na tyto jednorázové plastové výrobky:</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t>kelímky na nápoje, včetně jejich uzávěrů a víček;</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nádoby na potraviny, tj. nádoby, jako jsou krabičky s víkem nebo bez něj, včetně nádob na potraviny používaných pro rychlé občerstvení nebo jiná jídla připravená k okamžité spotřebě, kromě nádob na nápoje, talířů a krabiček a obalů obsahujících potraviny, které: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jsou určeny k okamžité spotřebě, a to buď na místě, nebo k odnesení s sebou;</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jsou obvykle spotřebovávány z této nádoby a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jsou připraveny ke spotřebě bez jakékoli další přípravy, jako je vaření nebo ohřívání.</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t xml:space="preserve">Opatření stanovená v této kapitole se vztahují také na jednorázové obaly vyrobené z jakéhokoli materiálu.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t>Článek 7</w:t>
      </w:r>
      <w:r>
        <w:br/>
        <w:t xml:space="preserve">Vnitrostátní </w:t>
      </w:r>
      <w:bookmarkStart w:id="11" w:name="_Ref63441995"/>
      <w:r>
        <w:t>cíle</w:t>
      </w:r>
      <w:bookmarkEnd w:id="11"/>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r>
        <w:rPr>
          <w:rFonts w:ascii="Verdana" w:hAnsi="Verdana"/>
        </w:rPr>
        <w:t>Za účelem dosažení ambiciózního a trvalého snížení spotřeby plastových výrobků na jedno použití uvedených v odstavci 1 předchozího článku jsou stanoveny tyto vnitrostátní cíle:</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Do 31. prosince 2026 pokles spotřeby o 30 % oproti roku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Do 31. prosince 2030 pokles spotřeby o 50 % oproti roku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Portugalská agentura pro životní prostředí (APA, I.P.) sleduje snížení spotřeby plastových výrobků na jedno použití podle předchozího odstavce.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Cíle stanovené v odstavci 1 mohou být revidovány, pokud je to považováno za nezbytné na základě technologických nebo tržních důvodů nebo v důsledku vývoje práva Evropské unie.</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lastRenderedPageBreak/>
        <w:t xml:space="preserve">Cíle snížení stanovené v odstavci 1 se měří v jednotkách uvedených na trh, aniž je dotčena metodika výpočtu a ověřování snížení spotřeby plastových výrobků na jedno použití, kterou stanoví Evropská komise prostřednictvím prováděcího aktu.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Pokud nebyl splněn některý z cílů uvedených v odstavci 1, vláda zváží přijetí nových opatření, která mohou mimo jiné zahrnovat stanovení omezení pro uvádění jejích výrobků na trh.</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t>Článek 8</w:t>
      </w:r>
      <w:r>
        <w:br/>
        <w:t>Opatření</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Od 1. ledna 2023 se od zařízení, která používají obaly na jedno použití pro potraviny a nápoje k dodání hotových jídel určených k přímé spotřebě a k odnesení nebo k dodání do domu, vyžadují, aby svým zákazníkům zpřístupnily opakovaně použitelné alternativy účtováním zálohy, která bude vrácena při vrácení obalu v souladu s článkem 23 Unilex.</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Zařízení uvedená v předchozím odstavci nemohou zpřístupnit prodejní jednotku skládající se z výrobku a opětovně použitelných obalů za vyšší cenu nebo za méně výhodných podmínek ve srovnání s prodejní jednotkou sestávající ze stejného výrobku a obalů na jedno použití.</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 xml:space="preserve">Zařízení uvedená v odstavci 1 o rozloze menší než 150 metrů čtverečních se mohou rozhodnout nevyhovovat odstavci 1, aniž jsou dotčeny povinnosti stanovené v čl. 25b odst. 1 Unilex.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V případě dodávky pokrmů určených k přímé spotřebě prostřednictvím prodejních automatů, které používají obaly na jedno použití pro potraviny a nápoje, může být splnění povinnosti zpřístupnit opakovaně použitelné alternativy umožněno zákazníkům používat vlastní nádoby, a tato možnost by měla být jasně uvedena poskytnutím potřebných informací.</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Od 1. ledna 2022 je v případě prodeje ke spotřebě na místě povinné používání pokrmů pro opakované použití ve všech restauračních zařízeních nebo zařízeních pro podávání nápojů.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V souladu s opatřením stanoveným v čl. 25a odst. 5 Unilex musí být kelímky, které mají být k dispozici v zařízeních v hotelovém, restauračním a stravovacím odvětví, opětovně použitelné.</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 xml:space="preserve"> Výrobci kelímků na nápoje a nádob na potraviny uvedených v čl. 6 odst. 1, jednotlivě nebo prostřednictvím integrovaných systémů řízení, podporují výzkum a vývoj udržitelných alternativních řešení těchto plastových výrobků na jedno použití tím, že své výsledky předloží APA, </w:t>
      </w:r>
      <w:r>
        <w:rPr>
          <w:rFonts w:ascii="Verdana" w:hAnsi="Verdana"/>
        </w:rPr>
        <w:lastRenderedPageBreak/>
        <w:t>I.P. a generálnímu ředitelství pro hospodářské činnosti (DGAE) do 30. června 2024.</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V závislosti na zjištěních uvedených v předchozím odstavci vláda posoudí provádění pobídek pro inovace a ekodesignové projekty, které přispívají k nahrazení výrobků z plastů na jedno použití.</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t>Přispívají rovněž k dosažení cílů stanovených v článku 7, článku 25b Unilex a článku 320 zákona č. 75-B/2020 ze dne 31. prosince.</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t>Do 31. prosince 2024 posuzují APA, I.P. a DGAE potřebu zavést nová opatření na podporu dosažení cílů uvedených v článku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t>Článek 9</w:t>
      </w:r>
      <w:r>
        <w:br/>
        <w:t>Odvětvová dohoda</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Výsledky dosažené prostřednictvím odvětvové dohody, která má být uzavřena mezi DGAE a všemi reprezentativními strukturami různých odvětví zapojených do průmyslu, obchodu, distribuce a stravování, přispívají k dosažení cílů stanovených ve zprávě.</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Každý jiný subjekt, který působí v odvětvích uvedených v předchozím odstavci, který nezačlenil reprezentativní struktury, může rovněž dobrovolně k dohodě přistoupit.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Dohody uvedené v předchozím odstavci musí splňovat tyto požadavky:</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Dohody stanoví cíle, odvětvová opatření a odpovídající lhůty v závislosti na odvětví, druhu výrobku a/nebo velikosti dotčených subjektů;</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DGAE každoročně sleduje výsledky dosažené v rámci dohod a zpřístupní je veřejnosti za podmínek stanovených v samotné dohodě;</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Dohody se zveřejňují na internetových stránkách DGAE.</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t>Veškeré informace vyplývající ze sledování odvětvových opatření uvedených v písmenu b) předchozího odstavce, které přispívají k posouzení snížení spotřeby plastových výrobků na jedno použití, se každoročně zasílají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Dohody uvedené v předchozích odstavcích se vypracují a zveřejní do 30. června 2023.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lastRenderedPageBreak/>
        <w:br/>
        <w:t>Požadavky na jednorázové plastové výrobky</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Článek 10</w:t>
      </w:r>
      <w:r>
        <w:br/>
      </w:r>
      <w:bookmarkEnd w:id="17"/>
      <w:r>
        <w:t>Požadavky na návrh nádob na nápoje</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Od 3. července 2024 plastové nádoby na jedno použití na nápoje o objemu až tří litrů, tj. nádoby používané k obsahu kapaliny, jako jsou nápojové láhve a kompozitní obaly nápojů, včetně jejich uzávěrů a víček, pokud tyto uzávěry a víčka zůstávají připevněny k nádobám během zamýšleného použití výrobku.</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Z předchozího odstavce jsou vyloučeny:</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skleněné nebo kovové nádoby na nápoje, které mají uzávěry a víčka vyrobená z plastu;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nádoby na nápoje určené a používané na potraviny pro zvláštní lékařské účely ve smyslu čl. 2 písm. g) nařízení Evropského parlamentu a Rady (EU) č. 609/2013 (3), které jsou v kapalné formě.</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Pro účely výše uvedených odstavců se kovové uzávěry nebo víčka s plastovými těsněním nepovažují za plastové.</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Pro účely tohoto článku se předpokládá, že plastové výrobky na jedno použití uvedené v odstavci 1 jsou v souladu s harmonizovanými normami v této věci nebo s částí, která se na ně vztahuje, která se zveřejní na úrovni Evropské unie a splňují požadavky uvedené v odstavci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Článek 11</w:t>
      </w:r>
      <w:r>
        <w:br/>
      </w:r>
      <w:bookmarkEnd w:id="18"/>
      <w:r>
        <w:t>Požadavky na začlenění recyklovaných plastů do nápojových lahví</w:t>
      </w:r>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Od 1. ledna 2025 musí jednorázové plastové lahve na nápoje o objemu až tří litrů, včetně jejich uzávěrů a víček, které jsou vyrobeny z polyethylentereftalátu jako hlavní složky („PET lahve“), obsahovat nejméně 25 % recyklovaného plastu, vypočteného jako průměr pro všechny PET láhve uváděné na trh</w:t>
      </w:r>
      <w:bookmarkEnd w:id="19"/>
      <w:r>
        <w:t>.</w:t>
      </w:r>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lastRenderedPageBreak/>
        <w:t>Od 1. ledna 2030 musí jednorázové plastové láhve na nápoje o objemu až tří litrů včetně uzávěrů a víček obsahovat nejméně 30 % recyklovaného plastu, vypočteného jako průměr pro všechny láhve pro nápoje uváděné na trh.</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t>Odstavce 1 a 2 tohoto článku jsou vyloučeny:</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t>Skleněné nebo kovové nápojové láhve s víčky a víčky z plastu;</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Lahve na nápoje určené a používané k potravinám pro zvláštní léčebné účely podle definice v čl. 2 písm. g) nařízení (EU) č. 609/2013, které jsou v tekuté formě.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t>Pro účely tohoto článku se kovové uzávěry nebo víčka s plastovými těsněním nepovažují za plastové.</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Procentní podíly uvedené v odstavcích 1 a 2 musí být každoročně dodržovány každým balíčkem, který uvádí své láhve na trh.</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Na žádost příslušných orgánů předloží balírny vhodný důkaz o množství recyklovaného plastu obsaženého v nápojových lahvích, zejména prostřednictvím prohlášení od jejich výrobců nebo dodavatelů.</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r>
        <w:t>Pro účely ověření dodržování cílů stanovených v odstavci 1 tohoto článku se zohlední pravidla pro výpočet stanovená v prováděcím aktu přijatém Evropskou komisí.</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t>Článek 12</w:t>
      </w:r>
      <w:r>
        <w:br/>
        <w:t xml:space="preserve">Požadavky na </w:t>
      </w:r>
      <w:bookmarkStart w:id="22" w:name="_Ref63690920"/>
      <w:r>
        <w:t>označování</w:t>
      </w:r>
      <w:bookmarkStart w:id="23" w:name="_Ref66121082"/>
      <w:bookmarkEnd w:id="22"/>
    </w:p>
    <w:p w14:paraId="23B4288E" w14:textId="7CC123E7" w:rsidR="000B1395" w:rsidRPr="00182AD4"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t>Od 3. července 2021</w:t>
      </w:r>
      <w:bookmarkEnd w:id="24"/>
      <w:r>
        <w:t xml:space="preserve"> mohou být tyto plastové výrobky na jedno použití uváděny na trh pouze tehdy, pokud splňují ustanovení o označování uvedená</w:t>
      </w:r>
      <w:bookmarkEnd w:id="25"/>
      <w:r>
        <w:t xml:space="preserve"> v následujících odstavcích tohoto článku:</w:t>
      </w:r>
    </w:p>
    <w:p w14:paraId="51848D1A"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hygienické vložky, tampóny a tampónové aplikátory;</w:t>
      </w:r>
    </w:p>
    <w:p w14:paraId="6525FD27" w14:textId="77777777" w:rsidR="000B1395" w:rsidRDefault="000B1395" w:rsidP="00C525D6">
      <w:pPr>
        <w:pStyle w:val="ListParagraph"/>
        <w:numPr>
          <w:ilvl w:val="0"/>
          <w:numId w:val="30"/>
        </w:numPr>
        <w:spacing w:line="240" w:lineRule="auto"/>
        <w:rPr>
          <w:rFonts w:ascii="Verdana" w:hAnsi="Verdana"/>
        </w:rPr>
      </w:pPr>
      <w:r>
        <w:rPr>
          <w:rFonts w:ascii="Verdana" w:hAnsi="Verdana"/>
        </w:rPr>
        <w:t>- mokré ubrousky, tj. vlhčené ubrousky pro osobní péči a domácí použití;</w:t>
      </w:r>
    </w:p>
    <w:p w14:paraId="7D6DB1C8"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xml:space="preserve">tabákové výrobky s filtry a filtry uváděnými na trh pro použití v kombinaci s tabákovými výrobky; a </w:t>
      </w:r>
    </w:p>
    <w:p w14:paraId="744A4615"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kelímky na pití. </w:t>
      </w:r>
    </w:p>
    <w:p w14:paraId="2FB5D019" w14:textId="77777777" w:rsidR="000B1395" w:rsidRDefault="000B1395" w:rsidP="00C525D6">
      <w:pPr>
        <w:pStyle w:val="ListParagraph"/>
        <w:numPr>
          <w:ilvl w:val="0"/>
          <w:numId w:val="13"/>
        </w:numPr>
        <w:jc w:val="both"/>
        <w:rPr>
          <w:rFonts w:ascii="Verdana" w:hAnsi="Verdana"/>
        </w:rPr>
      </w:pPr>
      <w:r>
        <w:rPr>
          <w:rFonts w:ascii="Verdana" w:hAnsi="Verdana"/>
        </w:rPr>
        <w:t>Jednorázové plastové výrobky uvedené v předchozím odstavci musí být na svém obalu nebo na samotném výrobku zřetelně čitelné a nesmazatelné označení, které musí obsahovat tyto informace určené pro spotřebitele:</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Vhodnými prostředky odstraňování odpadu výrobku nebo odstraněním odpadu, kterým je třeba se vyhnout v souladu s hierarchií odpadů; a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lastRenderedPageBreak/>
        <w:t xml:space="preserve">Přítomnost plastů ve výrobku a z toho vyplývající negativní dopad odpadků nebo jiných nevhodných prostředků zneškodňování výrobku na životní prostředí.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t>Pravidla pro označování specifikací uvedená v předchozích odstavcích jsou stanovena v prováděcím nařízení Komise (EU) 2020/2151 ze dne 17. prosince 2020.</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t>Ustanovení tohoto článku týkající se tabákových výrobků se doplňují k ustanovením nařízení s mocí zákona č. 109/2015 ze dne 26. srpna.</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Rozšířená odpovědnost výrobce</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t>Článek 13</w:t>
      </w:r>
      <w:r>
        <w:br/>
      </w:r>
      <w:bookmarkEnd w:id="27"/>
      <w:r>
        <w:t>Přizpůsobení rozšířeného systému odpovědnosti výrobce</w:t>
      </w:r>
    </w:p>
    <w:p w14:paraId="078DCD32" w14:textId="77777777" w:rsidR="006610EC" w:rsidRPr="006610EC" w:rsidRDefault="006610EC" w:rsidP="006610EC"/>
    <w:p w14:paraId="3392D79B" w14:textId="0F56A5E4" w:rsidR="00CF3B6A" w:rsidRPr="00F7675E"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t>Do 1. ledna 2023 se stávající rozšířený systém odpovědnosti výrobce za obaly a obalové odpady za tyto jednorázové plastové výrobky uváděné na trh změní tak, aby stanovil požadavky uvedené v článku 15</w:t>
      </w:r>
      <w:bookmarkEnd w:id="28"/>
      <w:r>
        <w:t>:</w:t>
      </w:r>
      <w:bookmarkEnd w:id="29"/>
    </w:p>
    <w:bookmarkEnd w:id="30"/>
    <w:p w14:paraId="02229E91"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Nádoby na potraviny, tj. nádoby, jako jsou krabičky, s víkem nebo bez něj, do nichž se dávají potraviny, které: </w:t>
      </w:r>
    </w:p>
    <w:p w14:paraId="0529DB33"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jsou určeny k okamžité spotřebě, a to buď na místě, nebo k odnesení s sebou;</w:t>
      </w:r>
    </w:p>
    <w:p w14:paraId="31CAE1B0"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jsou obvykle spotřebovávány z této nádoby a</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 xml:space="preserve">jsou připraveny ke spotřebě bez jakékoli další přípravy, jako je vaření nebo ohřívání,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včetně nádob na potraviny používaných pro rychlé občerstvení nebo jiná jídla připravená k okamžité spotřebě, s výjimkou nádob na nápoje, talířů a krabiček a obalů obsahujících potraviny;</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krabičky a obaly zhotovené z pružného materiálu, které obsahují potraviny určené k okamžité spotřebě z balíčku nebo obalu bez jakékoli další přípravy;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nádoby na nápoje o objemu až tři litry, tj. balení, jež se používají k pojmutí kapalin, např. nápojové lahve včetně jejich uzávěrů a víček a nápojové obaly z kompozitních materiálů, </w:t>
      </w:r>
      <w:r>
        <w:rPr>
          <w:rFonts w:ascii="Verdana" w:hAnsi="Verdana"/>
        </w:rPr>
        <w:lastRenderedPageBreak/>
        <w:t xml:space="preserve">včetně jejich uzávěrů a víček, avšak nikoli skleněné nebo kovové nádoby na nápoje, které mají uzávěry a víčka vyrobené z plastu;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kelímky na nápoje, včetně jejich uzávěrů a víček;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lehké plastové nákupní tašky.</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Změna stanovená v předchozím odstavci se zveřejní nejpozději jeden rok před jejím vstupem v platnost.</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Článek 14</w:t>
      </w:r>
      <w:r>
        <w:br/>
      </w:r>
      <w:bookmarkEnd w:id="33"/>
      <w:r>
        <w:t>Vytvoření rozšířených systémů odpovědnosti výrobce za jednorázové plastové výrobky</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Do 1. ledna 2023 bude zaveden rozšířený režim odpovědnosti výrobce za tabákové výrobky s filtry a filtry pro použití v kombinaci s tabákovými výrobky;</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Do 1. ledna 2025 budou zavedeny režimy rozšířené odpovědnosti výrobce pro tyto plastové výrobky na jedno použití:</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mokré ubrousky, tj. vlhčené ubrousky pro osobní péči a domácí použití;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balónky, kromě balónků pro průmyslové či jiné profesionální použití a upotřebení, jež nejsou distribuovány spotřebitelům;</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kelímky na nápoje, včetně jejich uzávěrů a víček.</w:t>
      </w:r>
    </w:p>
    <w:p w14:paraId="42D88118" w14:textId="55FDD9ED" w:rsidR="00AA57E3" w:rsidRPr="00F7675E"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Do 1. ledna 2025 musí být zaveden rozšířený režim odpovědnosti výrobce za lovné zařízení obsahující plasty uváděné na trh a stanoví národní minimální roční míru sběru odpadních lovných zařízení obsahujících plasty určené k recyklaci. </w:t>
      </w:r>
      <w:bookmarkEnd w:id="37"/>
      <w:bookmarkEnd w:id="38"/>
    </w:p>
    <w:p w14:paraId="52EACFCD" w14:textId="1800FB3B" w:rsidR="00700314" w:rsidRPr="00F7675E" w:rsidRDefault="00AA57E3" w:rsidP="00C525D6">
      <w:pPr>
        <w:pStyle w:val="ListParagraph"/>
        <w:numPr>
          <w:ilvl w:val="0"/>
          <w:numId w:val="34"/>
        </w:numPr>
        <w:jc w:val="both"/>
        <w:rPr>
          <w:rFonts w:ascii="Verdana" w:hAnsi="Verdana"/>
        </w:rPr>
      </w:pPr>
      <w:r>
        <w:rPr>
          <w:rFonts w:ascii="Verdana" w:hAnsi="Verdana"/>
        </w:rPr>
        <w:t>Generální ředitelství pro přírodní zdroje, bezpečnost a námořní služby (DGRM) odpovídá za vypracování studie podporující definici míry uvedené v předchozím odstavci.</w:t>
      </w:r>
      <w:bookmarkStart w:id="39" w:name="_Hlk65427440"/>
    </w:p>
    <w:p w14:paraId="06EFD80B" w14:textId="160A381E" w:rsidR="00700314" w:rsidRPr="00F7675E" w:rsidRDefault="00700314" w:rsidP="00C525D6">
      <w:pPr>
        <w:pStyle w:val="ListParagraph"/>
        <w:numPr>
          <w:ilvl w:val="0"/>
          <w:numId w:val="34"/>
        </w:numPr>
        <w:jc w:val="both"/>
        <w:rPr>
          <w:rFonts w:ascii="Verdana" w:hAnsi="Verdana"/>
        </w:rPr>
      </w:pPr>
      <w:r>
        <w:t>Zavedení každého z rozšířených režimů odpovědnosti výrobců podle odstavců 1, 2 a 3 se zveřejní nejpozději jeden rok před vstupem režimu v platnost.</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t>Článek 15</w:t>
      </w:r>
      <w:r>
        <w:br/>
      </w:r>
      <w:bookmarkEnd w:id="40"/>
      <w:r>
        <w:t>Náklady, které mají být pokryty rozšířenými režimy odpovědnosti výrobců</w:t>
      </w:r>
    </w:p>
    <w:p w14:paraId="0390D9A7" w14:textId="77777777" w:rsidR="006610EC" w:rsidRPr="00040D73" w:rsidRDefault="006610EC" w:rsidP="00040D73">
      <w:pPr>
        <w:pStyle w:val="ListParagraph"/>
        <w:tabs>
          <w:tab w:val="left" w:pos="284"/>
        </w:tabs>
        <w:autoSpaceDE w:val="0"/>
        <w:autoSpaceDN w:val="0"/>
        <w:adjustRightInd w:val="0"/>
        <w:spacing w:before="120" w:after="120" w:line="240" w:lineRule="auto"/>
        <w:ind w:left="426"/>
        <w:jc w:val="both"/>
      </w:pPr>
    </w:p>
    <w:p w14:paraId="08105367" w14:textId="1DFBFEB6" w:rsidR="00F92863" w:rsidRPr="00F7675E" w:rsidRDefault="00F92863" w:rsidP="00C525D6">
      <w:pPr>
        <w:pStyle w:val="ListParagraph"/>
        <w:numPr>
          <w:ilvl w:val="0"/>
          <w:numId w:val="36"/>
        </w:numPr>
        <w:jc w:val="both"/>
        <w:rPr>
          <w:rFonts w:ascii="Verdana" w:hAnsi="Verdana"/>
        </w:rPr>
      </w:pPr>
      <w:bookmarkStart w:id="41" w:name="_Ref63444260"/>
      <w:r>
        <w:rPr>
          <w:rFonts w:ascii="Verdana" w:hAnsi="Verdana"/>
        </w:rPr>
        <w:t>Kromě nákladů stanovených v čl. 13 odst. 3 písm. a) GSWM a Unilex pokrývají výrobci plastových výrobků na jedno použití uvedené v článku 13 rovněž tyto náklady, pokud již nejsou zahrnuty do uvedených nákladů:</w:t>
      </w:r>
      <w:bookmarkEnd w:id="41"/>
      <w:r>
        <w:rPr>
          <w:rFonts w:ascii="Verdana" w:hAnsi="Verdana"/>
        </w:rPr>
        <w:t xml:space="preserve"> </w:t>
      </w:r>
    </w:p>
    <w:p w14:paraId="755C5CD9" w14:textId="6FEA5A33" w:rsidR="00F92863" w:rsidRPr="003F6B93" w:rsidRDefault="00F92863" w:rsidP="00C525D6">
      <w:pPr>
        <w:pStyle w:val="ListParagraph"/>
        <w:numPr>
          <w:ilvl w:val="0"/>
          <w:numId w:val="37"/>
        </w:numPr>
        <w:spacing w:line="240" w:lineRule="auto"/>
        <w:rPr>
          <w:rFonts w:ascii="Verdana" w:hAnsi="Verdana"/>
        </w:rPr>
      </w:pPr>
      <w:r>
        <w:t>náklady na opatření na zvyšování informovanosti uvedených v tomto nařízení s mocí zákona týkající se těchto výrobků;</w:t>
      </w:r>
      <w:r>
        <w:rPr>
          <w:rFonts w:ascii="Verdana" w:hAnsi="Verdana"/>
        </w:rPr>
        <w:t xml:space="preserve"> </w:t>
      </w:r>
    </w:p>
    <w:p w14:paraId="7362E724"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 xml:space="preserve">náklady na sběr odpadu v případě výrobků, které jsou vyřazovány v rámci veřejných systémů sběru odpadu, včetně nákladů na jeho infrastrukturu a provoz, a na následnou přepravu a zpracování těchto odpadů; a </w:t>
      </w:r>
    </w:p>
    <w:p w14:paraId="344A4917"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náklady na úklid odpadků vzniklých z těchto výrobků a následnou přepravu a zpracování těchto odpadků.</w:t>
      </w:r>
    </w:p>
    <w:p w14:paraId="20E2B852" w14:textId="544EF49E" w:rsidR="00F92863" w:rsidRPr="00F7675E" w:rsidRDefault="00F92863" w:rsidP="00C525D6">
      <w:pPr>
        <w:pStyle w:val="ListParagraph"/>
        <w:numPr>
          <w:ilvl w:val="0"/>
          <w:numId w:val="36"/>
        </w:numPr>
        <w:jc w:val="both"/>
        <w:rPr>
          <w:rFonts w:ascii="Verdana" w:hAnsi="Verdana"/>
        </w:rPr>
      </w:pPr>
      <w:bookmarkStart w:id="42" w:name="_Ref63444269"/>
      <w:r>
        <w:t>Výrobci plastových výrobků na jedno použití uvedených v odstavcích 1 a 2 hradí alespoň tyto náklady:</w:t>
      </w:r>
      <w:bookmarkEnd w:id="42"/>
      <w:r>
        <w:rPr>
          <w:rFonts w:ascii="Verdana" w:hAnsi="Verdana"/>
        </w:rPr>
        <w:t xml:space="preserve"> </w:t>
      </w:r>
    </w:p>
    <w:p w14:paraId="34C5E7C6" w14:textId="6CEF6915" w:rsidR="00F92863" w:rsidRPr="003F6B93" w:rsidRDefault="00F92863" w:rsidP="00C525D6">
      <w:pPr>
        <w:pStyle w:val="ListParagraph"/>
        <w:numPr>
          <w:ilvl w:val="0"/>
          <w:numId w:val="38"/>
        </w:numPr>
        <w:spacing w:line="240" w:lineRule="auto"/>
        <w:rPr>
          <w:rFonts w:ascii="Verdana" w:hAnsi="Verdana"/>
        </w:rPr>
      </w:pPr>
      <w:r>
        <w:t>náklady na opatření na zvyšování informovanosti uvedených v tomto nařízení s mocí zákona týkající se těchto výrobků;</w:t>
      </w:r>
    </w:p>
    <w:p w14:paraId="2759636F" w14:textId="77777777"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náklady na úklid odpadků vzniklých z těchto výrobků a následnou přepravu a ošetření tohoto odpadu; a </w:t>
      </w:r>
    </w:p>
    <w:p w14:paraId="2B485E43" w14:textId="4F86EA8B"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Náklady na shromažďování a vykazování údajů podle čl. 13 odst. 1 písm. c) a d) GSWM. </w:t>
      </w:r>
    </w:p>
    <w:p w14:paraId="1254E804" w14:textId="77777777" w:rsidR="00F92863" w:rsidRPr="00F7675E" w:rsidRDefault="00F92863" w:rsidP="00C525D6">
      <w:pPr>
        <w:pStyle w:val="ListParagraph"/>
        <w:numPr>
          <w:ilvl w:val="0"/>
          <w:numId w:val="36"/>
        </w:numPr>
        <w:jc w:val="both"/>
        <w:rPr>
          <w:rFonts w:ascii="Verdana" w:hAnsi="Verdana"/>
        </w:rPr>
      </w:pPr>
      <w:bookmarkStart w:id="43" w:name="_Ref63444276"/>
      <w:r>
        <w:rPr>
          <w:rFonts w:ascii="Verdana" w:hAnsi="Verdana"/>
        </w:rPr>
        <w:t>V případě tabákových výrobků s filtry a filtrů uváděných na trh za účelem použití v kombinaci s tabákovými výrobky musí výrobci rovněž pokrýt náklady na sběr odpadu v případě výrobků, které jsou vyřazovány v rámci veřejných systémů sběru odpadu, včetně nákladů na jeho infrastrukturu a provoz, a na následnou přepravu a zpracování těchto odpadů.</w:t>
      </w:r>
      <w:bookmarkEnd w:id="43"/>
      <w:r>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Pr>
          <w:rFonts w:ascii="Verdana" w:hAnsi="Verdana"/>
        </w:rPr>
        <w:t>Náklady uvedené v předchozím odstavci mohou zahrnovat zřízení zvláštních infrastruktur pro sběr odpadu pro tyto výrobků, jako jsou vhodné nádoby na odpad ve místech běžného výskytu těchto odpadků.</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t>Náklady, které mají být uhrazeny podle předchozích odstavců, nepřesahují náklady nezbytné k hospodárnému poskytování služeb uvedených v tomto nařízení, a jsou mezi dotčenými subjekty stanoveny transparentním způsobem.</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Náklady na čištění odpadků se omezují na činnosti orgánů veřejné moci nebo jejich jménem a metodika výpočtu se vypracuje způsobem, který umožní stanovit přiměřené náklady na čištění odpadků.</w:t>
      </w:r>
    </w:p>
    <w:p w14:paraId="2D1A7FFE" w14:textId="77777777" w:rsidR="00F92863" w:rsidRPr="00F7675E" w:rsidRDefault="00F92863" w:rsidP="00C525D6">
      <w:pPr>
        <w:pStyle w:val="ListParagraph"/>
        <w:numPr>
          <w:ilvl w:val="0"/>
          <w:numId w:val="36"/>
        </w:numPr>
        <w:jc w:val="both"/>
        <w:rPr>
          <w:rFonts w:ascii="Verdana" w:hAnsi="Verdana"/>
        </w:rPr>
      </w:pPr>
      <w:r>
        <w:rPr>
          <w:rFonts w:ascii="Verdana" w:hAnsi="Verdana"/>
        </w:rPr>
        <w:t xml:space="preserve">S cílem minimalizovat administrativní náklady se finanční příspěvky na náklady na čištění odpadků stanoví stanovením vhodných </w:t>
      </w:r>
      <w:r>
        <w:rPr>
          <w:rFonts w:ascii="Verdana" w:hAnsi="Verdana"/>
        </w:rPr>
        <w:lastRenderedPageBreak/>
        <w:t>víceletých fixních částek, které budou stanoveny řádem členů vlády odpovědných za hospodářské a environmentální záležitosti.</w:t>
      </w:r>
    </w:p>
    <w:p w14:paraId="6CACFC40" w14:textId="5C1FE9BF" w:rsidR="00F92863" w:rsidRPr="00F7675E" w:rsidRDefault="00F92863" w:rsidP="00C525D6">
      <w:pPr>
        <w:pStyle w:val="ListParagraph"/>
        <w:numPr>
          <w:ilvl w:val="0"/>
          <w:numId w:val="36"/>
        </w:numPr>
        <w:jc w:val="both"/>
        <w:rPr>
          <w:rFonts w:ascii="Verdana" w:hAnsi="Verdana"/>
        </w:rPr>
      </w:pPr>
      <w:r>
        <w:rPr>
          <w:rFonts w:ascii="Verdana" w:hAnsi="Verdana"/>
        </w:rPr>
        <w:t>Finanční příspěvky uvedené v předchozím odstavci mohou být aktualizovány a měly by vždy přihlížet k pokynům přijatým Evropskou komisí ke kritériím týkajícím se nákladů na čištění odpadků.</w:t>
      </w:r>
    </w:p>
    <w:p w14:paraId="5AD567E5" w14:textId="01156E0F" w:rsidR="00231C0A" w:rsidRPr="00F7675E" w:rsidRDefault="00231C0A" w:rsidP="00C525D6">
      <w:pPr>
        <w:pStyle w:val="ListParagraph"/>
        <w:numPr>
          <w:ilvl w:val="0"/>
          <w:numId w:val="36"/>
        </w:numPr>
        <w:jc w:val="both"/>
        <w:rPr>
          <w:rFonts w:ascii="Verdana" w:hAnsi="Verdana"/>
        </w:rPr>
      </w:pPr>
      <w:bookmarkStart w:id="45" w:name="_Ref63672961"/>
      <w:r>
        <w:t>Pokud jde o rozšířený režim odpovědnosti výrobce podle čl. 14 odst. 3, pokrývají výrobci lovných zařízení obsahujících plasty náklady na tříděný sběr odpadních lovných zařízení obsahujících plasty, které byly dodány do odpovídajících přístavních přijímacích zařízení v souladu s nařízením s mocí zákona č. 102/2020 ze dne 9. prosince nebo na jiné rovnocenné systémy sběru, které nespadají do oblasti působnosti uvedené směrnice, a náklady na jejich následnou přepravu a zpracování.</w:t>
      </w:r>
      <w:bookmarkEnd w:id="45"/>
      <w:r>
        <w:rPr>
          <w:rFonts w:ascii="Verdana" w:hAnsi="Verdana"/>
        </w:rPr>
        <w:t xml:space="preserve"> </w:t>
      </w:r>
    </w:p>
    <w:p w14:paraId="47FFA491" w14:textId="2E2BE508" w:rsidR="00231C0A" w:rsidRPr="00F7675E" w:rsidRDefault="00231C0A" w:rsidP="00C525D6">
      <w:pPr>
        <w:pStyle w:val="ListParagraph"/>
        <w:numPr>
          <w:ilvl w:val="0"/>
          <w:numId w:val="36"/>
        </w:numPr>
        <w:jc w:val="both"/>
        <w:rPr>
          <w:rFonts w:ascii="Verdana" w:hAnsi="Verdana"/>
        </w:rPr>
      </w:pPr>
      <w:bookmarkStart w:id="46" w:name="_Ref63672968"/>
      <w:r>
        <w:t>Výrobci lovných zařízení rovněž hradí náklady na opatření na zvyšování informovanosti uvedených v článku 18 tohoto nařízení týkající se těchto výrobků.</w:t>
      </w:r>
      <w:bookmarkEnd w:id="46"/>
      <w:r>
        <w:rPr>
          <w:rFonts w:ascii="Verdana" w:hAnsi="Verdana"/>
        </w:rPr>
        <w:t xml:space="preserve"> </w:t>
      </w:r>
    </w:p>
    <w:p w14:paraId="3559297D" w14:textId="26D04FCD" w:rsidR="00231C0A" w:rsidRPr="00F7675E" w:rsidRDefault="00231C0A" w:rsidP="00C525D6">
      <w:pPr>
        <w:pStyle w:val="ListParagraph"/>
        <w:numPr>
          <w:ilvl w:val="0"/>
          <w:numId w:val="36"/>
        </w:numPr>
        <w:jc w:val="both"/>
        <w:rPr>
          <w:rFonts w:ascii="Verdana" w:hAnsi="Verdana"/>
        </w:rPr>
      </w:pPr>
      <w:r>
        <w:t>Požadavky stanovené v odstavcích 9 a 10 doplňují požadavky vztahující se na odpady z rybářských plavidel stanovené v nařízení s mocí č. 102/2020 ze dne 9. prosince.</w:t>
      </w:r>
      <w:r>
        <w:rPr>
          <w:rFonts w:ascii="Verdana" w:hAnsi="Verdana"/>
        </w:rPr>
        <w:t xml:space="preserve">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Článek 16</w:t>
      </w:r>
      <w:r>
        <w:br/>
      </w:r>
      <w:bookmarkStart w:id="47" w:name="_Ref66121774"/>
      <w:r>
        <w:t>Pověřený zástupce</w:t>
      </w:r>
      <w:bookmarkEnd w:id="47"/>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t>Výrobci plastových výrobků na jedno použití uvedených v článcích 13 a 14, kteří jsou usazeni v jiném členském státě Evropské unie nebo ve třetí zemi a prodávají výrobky prostřednictvím komunikačních technik na dálku přímo konečným spotřebitelům v Portugalsku, jmenují jako svého pověřeného zástupce fyzickou nebo právnickou osobu usazenou v Portugalsku, která odpovídá za plnění povinností vyplývajících z tohoto nařízení s mocí zákona.</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Aniž je dotčena povinnost stanovená v odstavci 13, mohou výrobci plastových výrobků na jedno použití uvedených v článcích 13 a 14 usazených v jiném členském státě Evropské unie jmenovat fyzickou nebo právnickou osobu usazenou v Portugalsku jako svého pověřeného zástupce pro účely plnění povinností výrobce podle tohoto nařízení s mocí zákona.</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 xml:space="preserve">Výrobci usazení v Portugalsku, kteří prodávají plastové výrobky na jedno použití uvedené v článcích 13 a 14 prostřednictvím komunikačních technik na dálku přímo konečným spotřebitelům v </w:t>
      </w:r>
      <w:r>
        <w:rPr>
          <w:rFonts w:ascii="Verdana" w:hAnsi="Verdana"/>
        </w:rPr>
        <w:lastRenderedPageBreak/>
        <w:t>jiném členském státě, v němž nejsou usazeni, jmenují pověřeného zástupce v tomto členském státě, který je odpovědný za plnění povinností výrobce podle tohoto nařízení s mocí zákona na území tohoto jiného členského státu.</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Musí být splněny podmínky pro jmenování pověřeného zástupce a příslušné povinnosti stanovené v článku 20 Unilex.</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Tříděný sběr</w:t>
      </w:r>
    </w:p>
    <w:p w14:paraId="6118BF46" w14:textId="0F140822" w:rsidR="00ED79DD" w:rsidRDefault="00AC3F76" w:rsidP="000600E7">
      <w:pPr>
        <w:pStyle w:val="Heading2"/>
        <w:numPr>
          <w:ilvl w:val="0"/>
          <w:numId w:val="0"/>
        </w:numPr>
        <w:tabs>
          <w:tab w:val="clear" w:pos="1701"/>
          <w:tab w:val="left" w:pos="1418"/>
        </w:tabs>
        <w:ind w:left="426"/>
      </w:pPr>
      <w:r>
        <w:t>Článek 17</w:t>
      </w:r>
      <w:r>
        <w:br/>
      </w:r>
      <w:bookmarkStart w:id="48" w:name="_Ref66121801"/>
      <w:r>
        <w:t>Cíle tříděného sběru lahví</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Výrobci jednorázových plastových lahví na nápoje o objemu až tří litrů, včetně jejich uzávěrů a víček, zajistí:</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t>Do 31. prosince 2025 tříděný sběr odpadů určených k recyklaci v poměru nejméně 77 % těchto výrobků uvedených na trh v daném roce;</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t>Do 31. prosince 2029 tříděný sběr odpadů určených k recyklaci v poměru nejméně 90 % těchto výrobků uvedených na trh v daném roce.</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Pro splnění cílů stanovených v předchozích odstavcích přispívá systém ukládání obalů, které nejsou opakovaně použitelné pro plastové nápoje, stanovený v článku 23c Unilex ve stávajícím znění.</w:t>
      </w:r>
    </w:p>
    <w:bookmarkEnd w:id="49"/>
    <w:p w14:paraId="53319A72" w14:textId="61D4E81F" w:rsidR="00A53FF8" w:rsidRPr="000E29F8" w:rsidRDefault="00A53FF8" w:rsidP="00C525D6">
      <w:pPr>
        <w:pStyle w:val="ListParagraph"/>
        <w:numPr>
          <w:ilvl w:val="0"/>
          <w:numId w:val="40"/>
        </w:numPr>
        <w:jc w:val="both"/>
        <w:rPr>
          <w:rFonts w:ascii="Verdana" w:hAnsi="Verdana"/>
        </w:rPr>
      </w:pPr>
      <w:r>
        <w:t>Z odstavců 1 a 2 jsou vyloučeny:</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Skleněné nebo kovové nápojové láhve s víčky a víčky z plastu;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Lahve na nápoje určené a používané k potravinám pro zvláštní léčebné účely podle definice v čl. 2 písm. g) nařízení (EU) č. 609/2013, které jsou v tekuté formě.</w:t>
      </w:r>
    </w:p>
    <w:p w14:paraId="0D3B6430" w14:textId="20E31A6E" w:rsidR="003067B2" w:rsidRPr="000E29F8" w:rsidRDefault="003067B2" w:rsidP="00C525D6">
      <w:pPr>
        <w:pStyle w:val="ListParagraph"/>
        <w:numPr>
          <w:ilvl w:val="0"/>
          <w:numId w:val="40"/>
        </w:numPr>
        <w:jc w:val="both"/>
        <w:rPr>
          <w:rFonts w:ascii="Verdana" w:hAnsi="Verdana"/>
        </w:rPr>
      </w:pPr>
      <w:r>
        <w:t>Pro účely ověření dodržování cílů stanovených v odstavcích 1 a 2 se zohlední pravidla pro výpočet stanovená v prováděcím aktu přijatém Evropskou komisí.</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Množství jednorázových plastových lahví pro nápoje o objemu až tří litrů, které bylo uvedeno na trh, lze považovat za stejné jako množství odpadu z těchto lahví, včetně steliva, ve stejném roce.</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lastRenderedPageBreak/>
        <w:br/>
        <w:t>Opatření na zvyšování povědomí</w:t>
      </w:r>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Článek 18</w:t>
      </w:r>
      <w:r>
        <w:br/>
      </w:r>
      <w:bookmarkStart w:id="51" w:name="_Ref66121837"/>
      <w:r>
        <w:t>Opatření na zvýšení povědomí</w:t>
      </w:r>
      <w:bookmarkEnd w:id="50"/>
      <w:bookmarkEnd w:id="51"/>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Výrobci uvádějící na trh výrobky uvedené v odstavci 3 tohoto článku a lovná zařízení podporují informační a osvětové kampaně pro spotřebitele a uživatele těchto výrobků s cílem podpořit odpovědné chování a snížit odpad z těchto výrobků.</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t>Kampaně uvedené v předchozím odstavci obsahují alespoň informace o:</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Dostupnost opětovně použitelných alternativ, systémů opětovného použití a možností nakládání s odpady pro jednorázové plastové výrobky a lovná zařízení obsahující plasty, jakož i osvědčené postupy nakládání s odpady prováděné v souladu s článkem 6 GSWM;</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Dopad zneškodňování odpadů na životní prostředí a jiné nevhodné metody likvidace odpadů z plastových výrobků na jedno použití a lovných zařízení obsahujících plasty, zejména na mořské prostředí; a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Dopad nedostatečného způsobu likvidace těchto jednorázových plastových výrobků na síť odpadních vod.</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Jednorázové plastové výrobky, u nichž se provádějí informační kampaně uvedené v odstavci 1 tohoto článku, jsou tyto:</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Nádoby na potraviny, tj. nádoby, jako jsou krabičky, s víkem nebo bez něj, do nichž se dávají potraviny, které: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jsou určeny k okamžité spotřebě, a to buď na místě, nebo k odnesení s sebou;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jsou obvykle spotřebovávány z této nádoby a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jsou připraveny ke konzumaci bez jakékoli další přípravy, tj. bez uvaření, převaření nebo ohřevu.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t xml:space="preserve">včetně nádob na potraviny používaných pro rychlé občerstvení nebo jiná jídla připravená k okamžité spotřebě, s výjimkou nádob na nápoje, talířů a krabiček a obalů obsahujících potraviny;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balíčky a obaly vyrobené z pružného materiálu obsahujícího potraviny určené k okamžité spotřebě z balíčku nebo obalu bez další přípravy;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lastRenderedPageBreak/>
        <w:t xml:space="preserve"> nádoby na nápoje o objemu až tři litry, tj. balení, jež se používají k pojmutí kapalin, např. nápojové lahve včetně jejich uzávěrů a víček a nápojové obaly z kompozitních materiálů, včetně jejich uzávěrů a víček, avšak nikoli skleněné nebo kovové nádoby na nápoje, které mají uzávěry a víčka vyrobené z plastu;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kelímky na nápoje, včetně jejich uzávěrů a víček;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tabákové výrobky s filtry a filtry uváděné na trh za účelem jejich použití ve spojení s tabákovými výrobky;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mokré ubrousky, tj. vlhčené ubrousky pro osobní péči a domácí použití;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balónky, kromě balónků pro průmyslové či jiné profesionální použití a upotřebení, jež nejsou distribuovány spotřebitelům;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lehké plastové nákupní tašky;</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hygienické vložky, tampóny a tampónové aplikátory.</w:t>
      </w:r>
    </w:p>
    <w:p w14:paraId="3B85A2EB" w14:textId="3E56771B" w:rsidR="00EE73F2" w:rsidRPr="000E29F8" w:rsidRDefault="004E09D6" w:rsidP="00C525D6">
      <w:pPr>
        <w:pStyle w:val="ListParagraph"/>
        <w:numPr>
          <w:ilvl w:val="0"/>
          <w:numId w:val="43"/>
        </w:numPr>
        <w:ind w:left="709"/>
        <w:jc w:val="both"/>
        <w:rPr>
          <w:rFonts w:ascii="Verdana" w:hAnsi="Verdana"/>
        </w:rPr>
      </w:pPr>
      <w:r>
        <w:rPr>
          <w:rFonts w:ascii="Verdana" w:hAnsi="Verdana"/>
        </w:rPr>
        <w:t>U plastových výrobků na jedno použití uvedených v písm. a) až g) předchozího odstavce musí výrobce splňovat povinnost uvedenou v tomto článku prostřednictvím řídícího orgánu integrovaného systému, na který přenášejí rozšířenou odpovědnost výrobce, nebo individuální systém povolený podle Unilex.</w:t>
      </w:r>
    </w:p>
    <w:p w14:paraId="58299463" w14:textId="31299E33" w:rsidR="00B779E1" w:rsidRPr="000E29F8" w:rsidRDefault="005016C9" w:rsidP="00C525D6">
      <w:pPr>
        <w:pStyle w:val="ListParagraph"/>
        <w:numPr>
          <w:ilvl w:val="0"/>
          <w:numId w:val="43"/>
        </w:numPr>
        <w:ind w:left="709"/>
        <w:jc w:val="both"/>
        <w:rPr>
          <w:rFonts w:ascii="Verdana" w:hAnsi="Verdana"/>
        </w:rPr>
      </w:pPr>
      <w:r>
        <w:t>V případě plastových výrobků na jedno použití uvedených v odst. 3 písm. h) musí výrobci jednotlivě a/nebo prostřednictvím reprezentativního sdružení dodržovat povinnosti stanovené v odstavcích 1 a 2.</w:t>
      </w:r>
      <w:r>
        <w:rPr>
          <w:rFonts w:ascii="Verdana" w:hAnsi="Verdana"/>
        </w:rPr>
        <w:t xml:space="preserve"> </w:t>
      </w:r>
    </w:p>
    <w:p w14:paraId="4B055247" w14:textId="2EBF5C69" w:rsidR="002B37F4" w:rsidRPr="000E29F8" w:rsidRDefault="004C777A" w:rsidP="00C525D6">
      <w:pPr>
        <w:pStyle w:val="ListParagraph"/>
        <w:numPr>
          <w:ilvl w:val="0"/>
          <w:numId w:val="43"/>
        </w:numPr>
        <w:ind w:left="709"/>
        <w:jc w:val="both"/>
        <w:rPr>
          <w:rFonts w:ascii="Verdana" w:hAnsi="Verdana"/>
        </w:rPr>
      </w:pPr>
      <w:r>
        <w:t>Výrobci nebo sdružení uvedená v předchozím odstavci zašlou do 30. dubna následujícího roku APA, I.P. a DGAE zprávu prokazující kampaně prováděné v souladu s odstavci 1 a 2 s minimálními informacemi obsaženými v dokumentu zveřejněném na internetových portálech APA, I.P. a DGAE.</w:t>
      </w:r>
    </w:p>
    <w:p w14:paraId="25C23FBA" w14:textId="0F60BA64" w:rsidR="004C777A" w:rsidRPr="000E29F8" w:rsidRDefault="002B37F4" w:rsidP="00C525D6">
      <w:pPr>
        <w:pStyle w:val="ListParagraph"/>
        <w:numPr>
          <w:ilvl w:val="0"/>
          <w:numId w:val="43"/>
        </w:numPr>
        <w:ind w:left="709"/>
        <w:jc w:val="both"/>
        <w:rPr>
          <w:rFonts w:ascii="Verdana" w:hAnsi="Verdana"/>
        </w:rPr>
      </w:pPr>
      <w:r>
        <w:rPr>
          <w:rFonts w:ascii="Verdana" w:hAnsi="Verdana"/>
        </w:rPr>
        <w:t>Aniž je dotčena odpovědnost výrobců podle předchozích odstavců, ostatní hospodářské subjekty zapojené do obchodního řetězce, zejména distributoři, prodejci a poskytovatelé stravovacích služeb, kteří jsou odpovědní za uvádění výrobků uvedených v odstavci 3 tohoto článku na trh a lovných zařízení, s ohledem na jejich blízkost spotřebitelům a konečným uživatelům, rovněž přispívají k informacím a informovanosti o těchto výrobcích.</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t>Hospodářské subjekty uvedené v předchozím odstavci vedou záznamy o opatřeních na zvyšování informovanosti a zvyšování informovanosti prováděných prostřednictvím jejich zpřístupnění na žádost příslušných orgánů.</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lastRenderedPageBreak/>
        <w:br/>
        <w:t>Podávání zpráv</w:t>
      </w:r>
    </w:p>
    <w:p w14:paraId="1B798C4B" w14:textId="4329DFBF" w:rsidR="0075174E" w:rsidRPr="0075174E" w:rsidRDefault="00AC3F76" w:rsidP="00AC3F76">
      <w:pPr>
        <w:pStyle w:val="Heading2"/>
        <w:numPr>
          <w:ilvl w:val="0"/>
          <w:numId w:val="0"/>
        </w:numPr>
        <w:tabs>
          <w:tab w:val="clear" w:pos="1701"/>
          <w:tab w:val="left" w:pos="1418"/>
        </w:tabs>
        <w:ind w:left="426"/>
      </w:pPr>
      <w:r>
        <w:t>Článek 19</w:t>
      </w:r>
      <w:r>
        <w:br/>
        <w:t>Registrace výrobců</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t>Výrobci plastových výrobků na jedno použití podle tohoto nařízení s mocí zákona jsou povinni zadávat a předávat údaje do integrovaného systému elektronického registru odpadů (SIRER), jak je stanoveno v článcích 97, 98 a 99 GSWM, a to prostřednictvím informování APA, I. P. o druhu a množství výrobků uvedených na trh, aniž jsou dotčeny jiné zvláštní informace v případě výrobku, který spadá do zvláštního toku odpadů, a v souladu s ustanoveními nařízení SIRER.</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Pro účely předložení údajů uvedených v odstavci 31 předkládají výrobci výrobků nebo jejich pověření zástupci každoročně do 31. března roku (</w:t>
      </w:r>
      <w:r>
        <w:rPr>
          <w:rFonts w:ascii="Verdana" w:hAnsi="Verdana"/>
          <w:i/>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výkaz o opravě z předchozího roku (</w:t>
      </w:r>
      <w:r>
        <w:rPr>
          <w:rFonts w:ascii="Verdana" w:hAnsi="Verdana"/>
          <w:i/>
          <w:iCs/>
        </w:rPr>
        <w:t>n-1</w:t>
      </w:r>
      <w:r>
        <w:rPr>
          <w:rFonts w:ascii="Verdana" w:hAnsi="Verdana"/>
        </w:rPr>
        <w:t xml:space="preserve">) za účelem hlášení informací o množství výrobků uvedených na trh v roce </w:t>
      </w:r>
      <w:r>
        <w:rPr>
          <w:rFonts w:ascii="Verdana" w:hAnsi="Verdana"/>
          <w:i/>
          <w:iCs/>
        </w:rPr>
        <w:t>n-1</w:t>
      </w:r>
      <w:r>
        <w:rPr>
          <w:rFonts w:ascii="Verdana" w:hAnsi="Verdana"/>
        </w:rPr>
        <w:t>;</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Roční odhad odhadu pro podávání zpráv o množství výrobků, které mají podle odhadů uvést na trh v roce </w:t>
      </w:r>
      <w:r>
        <w:rPr>
          <w:rFonts w:ascii="Verdana" w:hAnsi="Verdana"/>
          <w:i/>
          <w:iCs/>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r>
        <w:rPr>
          <w:rFonts w:ascii="Verdana" w:hAnsi="Verdana"/>
        </w:rPr>
        <w:t xml:space="preserve">Pro účely měření souladu s opatřeními stanovenými v tomto nařízení s mocí zákona, APA, I.P. shromažďuje následující informace v souladu se zvláštními právními předpisy nebo nařízeními: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Údaje o nádobách na nápoje a nádobách na potraviny, které byly uvedeny na trh s cílem prokázat snížení spotřeby v souladu s článkem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Údaje o jednorázových plastových lahvích na nápoje o objemu až tří litrů, které byly shromážděny odděleně, za účelem prokázání splnění cíle tříděného sběru stanoveného v článku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Údaje o lovných zařízeních obsahujících plasty uváděné na trh a o odpadních lovných zařízeních shromažďovaných ročně;</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Informace o obsahu recyklovaného materiálu v nápojových lahvích s cílem prokázat splnění cílů stanovených v článku 11;</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Údaje o odpadech z tabákových výrobků s filtry a filtry uváděnými na trh pro použití v kombinaci s tabákovými výrobky sebranými v souladu s čl. 15 odst. 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lastRenderedPageBreak/>
        <w:t>První vykazované období uvedené v písmenech a) až c) se týká roku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t>První vykazované období uvedené v písmenech d) a e) je za rok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t>Shromažďování a zpracování údajů vyplývajících z povinností stanovených v předchozím odstavci podléhá právním předpisům o ochraně osobních údajů.</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Systém monitorování a administrativních deliktů</w:t>
      </w:r>
    </w:p>
    <w:p w14:paraId="504AC209" w14:textId="3D54499C" w:rsidR="006B0668" w:rsidRDefault="00AC3F76" w:rsidP="00AC3F76">
      <w:pPr>
        <w:pStyle w:val="Heading2"/>
        <w:numPr>
          <w:ilvl w:val="0"/>
          <w:numId w:val="0"/>
        </w:numPr>
        <w:tabs>
          <w:tab w:val="clear" w:pos="1701"/>
          <w:tab w:val="left" w:pos="1418"/>
        </w:tabs>
        <w:ind w:left="426"/>
      </w:pPr>
      <w:r>
        <w:t>Článek 20</w:t>
      </w:r>
      <w:r>
        <w:br/>
        <w:t>Kontrola a kontrola</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Kontrola dodržování ustanovení tohoto legislativního nařízení je odpovědností generálního inspektorátu pro zemědělství, moře, životního prostředí a územního plánování (IGAMAOT), Úřadu pro bezpečnost potravin a hospodářství (ASAE) a daňového a celního úřadu (AT) a policejních orgánů v souladu s jejich územní působností.</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Ustanovením předchozího odstavce není dotčen výkon kontrolních a policejních pravomocí udělených jiným orgánům veřejné moci.</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Článek 21</w:t>
      </w:r>
      <w:r>
        <w:br/>
        <w:t>Hospodářské správní přestupky</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Jedná se o závažné hospodářské správní přestupky, které lze trestat v rámci právního režimu pro hospodářské správní přestupky, schváleného nařízením s mocí zákona č. 9/2021 ze dne 29. ledna:</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nedodržení čl. 4 odst. 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nedodržení čl. 4 odst. 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nedodržení čl. 5 odst. 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nedodržení čl. 5 odst. 2 subjekty vykonávajícími činnosti v něm stanovené;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nedodržení opatření stanovených v čl. 8 odst. 1, 2 a 5 a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t>nedodržení povinnosti výrobce jmenovat pověřeného zástupce v souladu s čl. 20 odst. 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lastRenderedPageBreak/>
        <w:t xml:space="preserve">2. Pokusy o spáchání přestupku a nedbalost jsou trestné, přičemž minimální a maximální výše pokuty se snižují na polovinu.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Článek 22</w:t>
      </w:r>
      <w:r>
        <w:br/>
        <w:t>Výnosy z pokut</w:t>
      </w:r>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Výnosy z pokut stanovených v předchozím článku se přidělují v souladu s </w:t>
      </w:r>
      <w:r>
        <w:rPr>
          <w:rFonts w:ascii="Verdana" w:hAnsi="Verdana"/>
          <w:color w:val="000000" w:themeColor="text1"/>
          <w:shd w:val="clear" w:color="auto" w:fill="FFFFFF"/>
        </w:rPr>
        <w:t>právním režimem pro hospodářské správní přestupky</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Článek 23</w:t>
      </w:r>
      <w:r>
        <w:br/>
        <w:t>Správní přestupky v oblasti životního prostředí</w:t>
      </w:r>
    </w:p>
    <w:p w14:paraId="37B492A3" w14:textId="77777777" w:rsidR="002B3376" w:rsidRPr="002B3376" w:rsidRDefault="002B3376" w:rsidP="002B3376"/>
    <w:p w14:paraId="04444803" w14:textId="3745F447" w:rsidR="004551A4" w:rsidRPr="001D278E" w:rsidRDefault="004551A4" w:rsidP="00C525D6">
      <w:pPr>
        <w:pStyle w:val="ListParagraph"/>
        <w:numPr>
          <w:ilvl w:val="0"/>
          <w:numId w:val="53"/>
        </w:numPr>
        <w:ind w:left="709"/>
        <w:jc w:val="both"/>
        <w:rPr>
          <w:rFonts w:ascii="Verdana" w:hAnsi="Verdana"/>
        </w:rPr>
      </w:pPr>
      <w:r>
        <w:t xml:space="preserve">Níže uvedené představuje velmi závažné porušení zákona v oblasti životního prostředí, který je trestán podle rámcového zákona o správních přestupcích v oblasti životního prostředí, přijatého v příloze </w:t>
      </w:r>
      <w:hyperlink r:id="rId8" w:tgtFrame="_blank" w:tooltip="Zákon č. 50/2006" w:history="1">
        <w:r>
          <w:rPr>
            <w:rFonts w:ascii="Verdana" w:hAnsi="Verdana"/>
          </w:rPr>
          <w:t>zákona č. 50/2006</w:t>
        </w:r>
      </w:hyperlink>
      <w:r>
        <w:t xml:space="preserve"> ze dne 29. srpna, v jeho současném znění:</w:t>
      </w:r>
    </w:p>
    <w:p w14:paraId="1FC85153" w14:textId="734444EC" w:rsidR="00DD1E2B" w:rsidRPr="001D278E" w:rsidRDefault="005630B1" w:rsidP="00C525D6">
      <w:pPr>
        <w:pStyle w:val="ListParagraph"/>
        <w:numPr>
          <w:ilvl w:val="1"/>
          <w:numId w:val="54"/>
        </w:numPr>
        <w:spacing w:after="0"/>
        <w:ind w:left="1134"/>
        <w:jc w:val="both"/>
        <w:rPr>
          <w:rFonts w:ascii="Verdana" w:hAnsi="Verdana"/>
        </w:rPr>
      </w:pPr>
      <w:r>
        <w:rPr>
          <w:rFonts w:ascii="Verdana" w:hAnsi="Verdana"/>
        </w:rPr>
        <w:t>Nedodržení přimíchávání recyklovaných plastů do nápojových lahví podle čl. 11 odst. 5;</w:t>
      </w:r>
    </w:p>
    <w:p w14:paraId="379602CA" w14:textId="7B93E60C" w:rsidR="004551A4" w:rsidRPr="001D278E" w:rsidRDefault="004551A4" w:rsidP="00C525D6">
      <w:pPr>
        <w:pStyle w:val="ListParagraph"/>
        <w:numPr>
          <w:ilvl w:val="0"/>
          <w:numId w:val="53"/>
        </w:numPr>
        <w:ind w:left="709"/>
        <w:jc w:val="both"/>
        <w:rPr>
          <w:rFonts w:ascii="Verdana" w:hAnsi="Verdana"/>
        </w:rPr>
      </w:pPr>
      <w:r>
        <w:t xml:space="preserve">Jedná se o závažné porušení zákona v oblasti životního prostředí, které lze trestat podle rámcového zákona o správních přestupcích v oblasti životního prostředí, přijatého v příloze k </w:t>
      </w:r>
      <w:hyperlink r:id="rId9" w:tgtFrame="_blank" w:tooltip="Zákon č. 50/2006" w:history="1">
        <w:r>
          <w:rPr>
            <w:rFonts w:ascii="Verdana" w:hAnsi="Verdana"/>
          </w:rPr>
          <w:t>Lei n.° 50/2006</w:t>
        </w:r>
      </w:hyperlink>
      <w:r>
        <w:t>zákona č. 50/2006 ze dne 29. srpna, v jeho současném znění:</w:t>
      </w:r>
    </w:p>
    <w:p w14:paraId="0E19D986" w14:textId="3A86DB1E" w:rsidR="005630B1" w:rsidRPr="001D278E" w:rsidRDefault="009E11DC" w:rsidP="00C525D6">
      <w:pPr>
        <w:pStyle w:val="ListParagraph"/>
        <w:numPr>
          <w:ilvl w:val="1"/>
          <w:numId w:val="55"/>
        </w:numPr>
        <w:spacing w:after="0"/>
        <w:ind w:left="1134"/>
        <w:jc w:val="both"/>
        <w:rPr>
          <w:rFonts w:ascii="Verdana" w:hAnsi="Verdana"/>
        </w:rPr>
      </w:pPr>
      <w:r>
        <w:rPr>
          <w:rFonts w:ascii="Verdana" w:hAnsi="Verdana"/>
        </w:rPr>
        <w:t>uvádění na trh nádob na nápoje, které nesplňují požadavky na návrh stanovené v čl. 10 odst. 1;</w:t>
      </w:r>
    </w:p>
    <w:p w14:paraId="59E5084D" w14:textId="6290E616" w:rsidR="00950E5B" w:rsidRPr="001D278E" w:rsidRDefault="009E11DC" w:rsidP="00C525D6">
      <w:pPr>
        <w:pStyle w:val="ListParagraph"/>
        <w:numPr>
          <w:ilvl w:val="1"/>
          <w:numId w:val="55"/>
        </w:numPr>
        <w:spacing w:after="0"/>
        <w:ind w:left="1134"/>
        <w:jc w:val="both"/>
        <w:rPr>
          <w:rFonts w:ascii="Verdana" w:hAnsi="Verdana"/>
        </w:rPr>
      </w:pPr>
      <w:r>
        <w:rPr>
          <w:rFonts w:ascii="Verdana" w:hAnsi="Verdana"/>
        </w:rPr>
        <w:t xml:space="preserve">nedodržení požadavků na označování stanovených v čl. 12 odst. 2; </w:t>
      </w:r>
    </w:p>
    <w:p w14:paraId="2C12473B" w14:textId="2C68299B" w:rsidR="005630B1" w:rsidRPr="001D278E" w:rsidRDefault="00950E5B" w:rsidP="00C525D6">
      <w:pPr>
        <w:pStyle w:val="ListParagraph"/>
        <w:numPr>
          <w:ilvl w:val="1"/>
          <w:numId w:val="55"/>
        </w:numPr>
        <w:spacing w:after="0"/>
        <w:ind w:left="1134"/>
        <w:jc w:val="both"/>
        <w:rPr>
          <w:rFonts w:ascii="Verdana" w:hAnsi="Verdana"/>
        </w:rPr>
      </w:pPr>
      <w:r>
        <w:rPr>
          <w:rFonts w:ascii="Verdana" w:hAnsi="Verdana"/>
        </w:rPr>
        <w:t>nedodržení pravidel pro označování stanovených v prováděcím nařízení Komise (EU) 2020/2151 ze dne 17. prosince 2020.</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t xml:space="preserve">nesplnění povinnosti stanovené v čl. 18 odst. 5 ze strany výrobců;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nedodržují výrobci nebo výrobci prostřednictvím sdružení povinnost zasílat zprávu uvedenou v čl. 18 odst. 6 postupem v ní stanoveným;</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nedodržení čl. 18 odst. 7 hospodářskými subjekty uvedenými v dotyčných pravidlech;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nedodržení čl. 18 odst. 8 hospodářskými subjekty uvedenými v čl. 7. </w:t>
      </w:r>
    </w:p>
    <w:p w14:paraId="53B1C166" w14:textId="77777777" w:rsidR="005630B1" w:rsidRPr="001D278E" w:rsidRDefault="004551A4" w:rsidP="00C525D6">
      <w:pPr>
        <w:pStyle w:val="ListParagraph"/>
        <w:numPr>
          <w:ilvl w:val="0"/>
          <w:numId w:val="53"/>
        </w:numPr>
        <w:ind w:left="709"/>
        <w:jc w:val="both"/>
        <w:rPr>
          <w:rFonts w:ascii="Verdana" w:hAnsi="Verdana"/>
        </w:rPr>
      </w:pPr>
      <w:r>
        <w:lastRenderedPageBreak/>
        <w:t xml:space="preserve">Níže uvedené představuje méně závažné správní přestupky v oblasti životního prostředí, které lze trestat podle rámcového zákona o správních přestupcích v oblasti životního prostředí, přijatého v příloze </w:t>
      </w:r>
      <w:hyperlink r:id="rId10" w:tgtFrame="_blank" w:tooltip="Zákon č. 50/2006" w:history="1">
        <w:r>
          <w:rPr>
            <w:rFonts w:ascii="Verdana" w:hAnsi="Verdana"/>
          </w:rPr>
          <w:t>zákona č. 50/2006</w:t>
        </w:r>
      </w:hyperlink>
      <w:r>
        <w:t xml:space="preserve"> ze dne 29. srpna, v jeho současném znění:</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Nesplnění povinností pověřeného zástupce v souladu s čl. 16 odst. 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Nedbalost je trestána v souladu s rámcovým zákonem o porušování právních předpisů v oblasti životního prostředí.</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Výnosy z pokut stanovených v tomto článku se rozdělí v souladu s článkem 73 rámcového zákona o správních přestupcích v oblasti životního prostředí.</w:t>
      </w:r>
    </w:p>
    <w:p w14:paraId="1E162BA3" w14:textId="7D85120F" w:rsidR="009D112F" w:rsidRPr="001D278E" w:rsidRDefault="009D112F" w:rsidP="00C525D6">
      <w:pPr>
        <w:pStyle w:val="ListParagraph"/>
        <w:numPr>
          <w:ilvl w:val="0"/>
          <w:numId w:val="53"/>
        </w:numPr>
        <w:ind w:left="709"/>
        <w:jc w:val="both"/>
        <w:rPr>
          <w:rFonts w:ascii="Verdana" w:hAnsi="Verdana"/>
        </w:rPr>
      </w:pPr>
      <w:r>
        <w:t>Odsouzení za velmi závažná a závažná protiprávní jednání podle odstavců 1 a 2 může být zveřejněno, pokud zvláštní opatření uložené pokuty přesahuje polovinu maximální částky pokuty, která je abstraktně použitelná, v souladu s ustanoveními rámcového zákona o správních přestupcích v oblasti životního prostředí.</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Článek 24</w:t>
      </w:r>
      <w:r>
        <w:br/>
        <w:t>Postupy při vyšetřování a přijímání rozhodnutí</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1 - Společnost IGAMAOT [Generální inspektorát pro zemědělství, mořské prostředí, životní prostředí a územního plánování], ASAE [Organizace pro potraviny a hospodářskou bezpečnost] a AT [Daňový a celní úřad], v rámci svých pravomocí, aby zahájila správní trestní řízení podané v rámci tohoto nařízení s mocí zákona, jakož i uplatnění odpovídajících pokut a doplňkových sankcí stanovených v čl. 90 odst. 6.</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Pokud zpracovatelský subjekt nemá pravomoc případ vyšetřovat, IGAMAOT vyšetří a rozhodne v případě environmentálních administrativních přestupků uvedených v článku 23 a informuje zpracovatelské subjekty o rozhodnutích.</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t>Článek 25</w:t>
      </w:r>
      <w:r>
        <w:br/>
        <w:t>Preventivní zabavení</w:t>
      </w:r>
    </w:p>
    <w:p w14:paraId="0BE9E5AF" w14:textId="3FC2B62D" w:rsidR="009D112F" w:rsidRDefault="009D112F" w:rsidP="009D112F">
      <w:pPr>
        <w:jc w:val="both"/>
        <w:rPr>
          <w:rFonts w:ascii="Verdana" w:hAnsi="Verdana"/>
        </w:rPr>
      </w:pPr>
      <w:r>
        <w:rPr>
          <w:rFonts w:ascii="Verdana" w:hAnsi="Verdana"/>
        </w:rPr>
        <w:t xml:space="preserve">Příslušný orgán může v případě potřeby rozhodnout o předběžném zabavení majetku a dokumentů podle článku 42 rámcového zákona o správních přestupcích v oblasti životního prostředí nebo o zabavení předmětů v souladu s právním režimem pro hospodářské správní přestupky.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Změny právních předpisů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Článek 26</w:t>
      </w:r>
      <w:r>
        <w:br/>
        <w:t>Změna zákona č. 77/2019 ze dne 2. září</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Články 1, 2, 3, 4, 5, 6 a 7 zákona č. 77/2019 ze dne 2. září se nahrazují takto:</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t>„Článek 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Tento zákon zakazuje dodávání velmi lehkých plastových sáčků a jednorázových plastových nádob, jako jsou kyvety a krabice, s víčkem nebo bez víka, při uvádění pekařských a cukrářských výrobků na trh, ovoce a zeleniny, v obchodech, a zavádí povinnost poskytovat alternativy k používání velmi lehkých plastových sáčků pro konečné spotřebitele.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t>Článek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F24CD63" w14:textId="77777777" w:rsidR="00054EAE" w:rsidRPr="00007109" w:rsidRDefault="00054EAE" w:rsidP="00007109">
      <w:pPr>
        <w:jc w:val="both"/>
        <w:rPr>
          <w:rFonts w:ascii="Verdana" w:hAnsi="Verdana"/>
        </w:rPr>
      </w:pPr>
      <w:r>
        <w:rPr>
          <w:rFonts w:ascii="Verdana" w:hAnsi="Verdana"/>
        </w:rPr>
        <w:t xml:space="preserve">Pro účely tohoto zákona platí tyto definice: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„velmi lehkými plastovými sáčky“ se rozumí plastové sáčky o tloušťce menší než 15 mikronů, které jsou nezbytné pro hygienické účely nebo jsou dodávány jako primární obal pro nebalený chléb, ovoce a zeleninu;</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„biologicky rozložitelným plastem“ se rozumí plast, který je schopen fyzikálního a biologického rozkladu tak, že se v konečném důsledku rozloží na oxid uhličitý (CO2), biomasu a vodu, a který je v souladu s evropskými normami pro obaly využitelný formou kompostování a anaerobní digesce;</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lastRenderedPageBreak/>
        <w:t>„obchodní provozovnou“ se rozumí jakákoli stálá a trvalá maloobchodní provozovna, v níž poskytovatel zboží nebo poskytovatel stravovacích služeb vykonává svou činnost trvale a která uvádí na trh chléb, ovoce a zeleninu, na něž se vztahuje právní režim pro přístup k obchodování, službám a stravování a jejich provádění, schválený nařízením s mocí zákona č. 10/2015 ze dne 16. ledna, ve znění nařízení s mocí zákona č. 102/2017 ze dne 23. srpna a zákonem č. 15/2018 ze dne 27. srpna.</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Článek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Tento zákon se vztahuje na všechna obchodní zařízení, kde jsou uváděny na trh pečivo a pečivo, ovoce a zelenina.</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Článek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Od 1. června 2023 musí být obchodům zabráněno:</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poskytování velmi lehkých plastových sáčků na balení </w:t>
      </w:r>
      <w:bookmarkStart w:id="56" w:name="_Hlk66404382"/>
      <w:r>
        <w:t>pekařských a cukrářských výrobků</w:t>
      </w:r>
      <w:bookmarkEnd w:id="56"/>
      <w:r>
        <w:t>, ovoce a zeleniny;</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uvádění na trh ve velmi lehkých plastových sáčků, pekařských a cukrářských výrobků, ovoce a zelenina, které jsou baleny v místě prodeje.</w:t>
      </w:r>
    </w:p>
    <w:p w14:paraId="349419CD" w14:textId="5F81FD4E" w:rsidR="00054EAE" w:rsidRPr="00007109" w:rsidRDefault="00EB2667" w:rsidP="00C525D6">
      <w:pPr>
        <w:pStyle w:val="ListParagraph"/>
        <w:numPr>
          <w:ilvl w:val="0"/>
          <w:numId w:val="58"/>
        </w:numPr>
        <w:ind w:left="709"/>
        <w:jc w:val="both"/>
        <w:rPr>
          <w:rFonts w:ascii="Verdana" w:hAnsi="Verdana"/>
        </w:rPr>
      </w:pPr>
      <w:r>
        <w:t xml:space="preserve">Od 1. června 2023 musí být obchodům zabráněno v </w:t>
      </w:r>
      <w:bookmarkStart w:id="57" w:name="_Hlk66404823"/>
      <w:r>
        <w:t>uvádění na trh pekařských a cukrářských výrobků, ovoce a zeleniny balených v plastových nádobách na jedno použití, jako jsou kyvety a krabice, s víčkem nebo bez víka.</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t>Pytle vyrobené z plastů, které se ukázaly jako biologicky rozložitelné a kompostovatelné v souladu s příslušnými platnými normami, jsou vyloučeny ze zákazu stanoveného v odstavci 1, pokud nejsou k dispozici zdarma.</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t>Nádoby vyrobené z plastů, které jsou prokazatelně biologicky rozložitelné a kompostovatelné v souladu s příslušnými normami platnými v dané době a pokud jsou nezbytné pro účely hygieny a/nebo bezpečnosti potravin, jsou ze zákazu stanoveného v odstavci 2 vyloučeny.</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lastRenderedPageBreak/>
        <w:t>Článek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Od 1. ledna 2022 je v místech prodeje nebalených výrobků povinné poskytovat spotřebitelům opakovaně použitelné alternativy </w:t>
      </w:r>
      <w:bookmarkStart w:id="59" w:name="_Hlk66404649"/>
      <w:r>
        <w:t>pro balení pekařských a cukrářských výrobků, ovoce a zeleniny</w:t>
      </w:r>
      <w:bookmarkEnd w:id="59"/>
      <w:r>
        <w:t>, nebo pokud to není možné, alternativy vyrobené z jediného materiálu.</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Článek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Níže uvedené představují méně závažné správní přestupky, které lze trestat v rámci právního režimu pro hospodářské správní přestupky, schváleného nařízením s mocí zákona č. 9/2021 ze dne 29. ledna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Nedostupnost opakovaně použitelných alternativ nebo vyrobených z jediného materiálu pro spotřebitele v souladu s předchozím článkem;</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t xml:space="preserve">Dodávání velmi lehkých plastových sáčků a uvádění výrobků do velmi lehkých plastových sáčků na trh v souladu s čl. 4 odst. 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t xml:space="preserve"> Uvádění na trh výrobků balených v plastových nádobách na jedno použití, jako jsou kyvety a krabice, s víčkem nebo bez víka, v souladu s čl. 4 odst. 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Pokusy a nedbalost se trestají za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t>Článek 7</w:t>
      </w:r>
    </w:p>
    <w:p w14:paraId="79B81B03" w14:textId="7DC95F01" w:rsidR="00054EAE" w:rsidRDefault="00054EAE" w:rsidP="00054EAE">
      <w:pPr>
        <w:spacing w:after="0" w:line="360" w:lineRule="auto"/>
        <w:jc w:val="center"/>
        <w:rPr>
          <w:rFonts w:ascii="Verdana" w:hAnsi="Verdana"/>
        </w:rPr>
      </w:pPr>
      <w:r>
        <w:rPr>
          <w:rFonts w:ascii="Verdana" w:hAnsi="Verdana"/>
        </w:rPr>
        <w:t>Sledování, vyšetřování a rozhodnutí</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Kontrola dodržování ustanovení tohoto zákona je v rámci svých pravomocí odpovědností Potravinového a hospodářského úřadu pro bezpečnost potravin (ASAE), aniž je dotčena pravomoc policejních a správních orgánů.</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Je na ASAE, aby prošetřila případy týkající se protiprávního jednání uvedeného v článku 6 a rozhodla o uložení pokuty.</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lastRenderedPageBreak/>
        <w:t>Článek 27 Doplnění zákona č. 77/2019 ze dne 2. září:</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V zákoně č. 77/2019 ze dne 2. září se doplňuje nový článek 7 písm. a), který zní: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„Čl. 7 písm. 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Výnosy z pokut</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Výnosy z pokut se přidělí v souladu s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Kapitola XI</w:t>
      </w:r>
    </w:p>
    <w:p w14:paraId="4078BAD7" w14:textId="65125DFF" w:rsidR="00590C52" w:rsidRPr="00412FEF" w:rsidRDefault="00590C52" w:rsidP="00412FEF">
      <w:pPr>
        <w:jc w:val="center"/>
        <w:rPr>
          <w:rFonts w:ascii="Verdana" w:hAnsi="Verdana" w:cstheme="minorHAnsi"/>
          <w:b/>
        </w:rPr>
      </w:pPr>
      <w:r>
        <w:rPr>
          <w:rFonts w:ascii="Verdana" w:hAnsi="Verdana"/>
          <w:b/>
        </w:rPr>
        <w:t>Dodatečná, přechodná a závěrečná ustanovení</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„Článek 28. Ustanovení o zrušení</w:t>
      </w:r>
    </w:p>
    <w:p w14:paraId="11429E44" w14:textId="31E1C1C5" w:rsidR="008E2CAE" w:rsidRPr="008E2CAE" w:rsidRDefault="00590C52" w:rsidP="00007109">
      <w:pPr>
        <w:jc w:val="both"/>
        <w:rPr>
          <w:rFonts w:ascii="Verdana" w:hAnsi="Verdana"/>
        </w:rPr>
      </w:pPr>
      <w:r>
        <w:rPr>
          <w:rFonts w:ascii="Verdana" w:hAnsi="Verdana"/>
        </w:rPr>
        <w:t>Zrušuje se zákon č. 76/2019 ze září 2.</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t>Článek 29 Dceřiné uplatňování nařízení s mocí zákona 152-D/2017 ze dne 11. prosince</w:t>
      </w:r>
    </w:p>
    <w:p w14:paraId="138F4285" w14:textId="75213671" w:rsidR="008E2CAE" w:rsidRPr="003F6B93" w:rsidRDefault="008E2CAE" w:rsidP="008E2CAE">
      <w:pPr>
        <w:jc w:val="both"/>
        <w:rPr>
          <w:rFonts w:ascii="Verdana" w:hAnsi="Verdana"/>
        </w:rPr>
      </w:pPr>
      <w:r>
        <w:rPr>
          <w:rFonts w:ascii="Verdana" w:hAnsi="Verdana"/>
        </w:rPr>
        <w:t>Ve všem, co není výslovně stanoveno v tomto nařízení s mocí zákona, se dodatečně použije GSWM.</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Článek 30</w:t>
      </w:r>
      <w:r>
        <w:br/>
        <w:t>Povinnost spolupráce a předkládání dokumentace</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APA, I.P., DGAE, DGRM a kontrolní orgány musí vzájemně spolupracovat, aby zajistily uplatňování tohoto nařízení s mocí zákona, zejména prostřednictvím technické spolupráce a výměny informací.</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 xml:space="preserve">2 – Spolupráce stanovená v předchozím bodě si klade za cíl zajistit integrovanou kontrolu a sledování činností prováděných v rámci tohoto nařízení s mocí zákona, přičemž povinnost spolupráce se rozšiřuje i na </w:t>
      </w:r>
      <w:r>
        <w:rPr>
          <w:rFonts w:ascii="Verdana" w:hAnsi="Verdana"/>
        </w:rPr>
        <w:lastRenderedPageBreak/>
        <w:t>další veřejné subjekty zúčastněných stran, zejména na příslušné orgány autonomních regionů.</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Předložení dokumentace uvedené v tomto nařízení s mocí zákona, která je ve vlastnictví útvarů nebo orgánů veřejné správy, může být osvobozena a získána prostřednictvím Platformy pro interoperabilitu veřejné správy v souladu s článkem 28-A nařízení s mocí zákona č. 135/99 ze dne 22. dubna 1999, v její současné podobě, pokud s tím občané nebo hospodářské subjekty souhlasí.</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t>Článek 31</w:t>
      </w:r>
      <w:r>
        <w:br/>
        <w:t>Autonomní regiony</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Toto nařízení s mocí zákona se vztahuje na autonomní oblasti Azory a Madeiru, aniž je dotčena jeho vhodnost k regionálním zvláštnostem v souladu s jeho politickou a správní autonomií, přičemž jeho prováděním je povinností služeb a orgánů příslušných autonomních regionálních vlád s úkoly a pravomocemi v rámci nakládání s odpady, aniž jsou dotčeny pravomoci orgánů na vnitrostátní úrovni.</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Výnosy z pokut uplatňované v autonomních regionech se přidělují výhradně jako příjmy těchto regionů.</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Článek 32</w:t>
      </w:r>
      <w:r>
        <w:br/>
        <w:t>Vstup v platnost a výroba</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Toto nařízení s mocí zákona vstupuje v platnost dnem 1. července 2021</w:t>
      </w:r>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Aniž by byl dotčen článek 183 nařízení s mocí zákona č. 9/2021 ze dne 29. ledna, kterým byly schváleny právní podmínky hospodářských správních deliktů, použije se tento režim okamžitě v případě porušení zákona stanovených v čl. 21 odst. 1 tohoto nařízení s mocí zákona.</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13E025A0" w:rsidR="00875033" w:rsidRPr="00575347" w:rsidRDefault="000933C0" w:rsidP="007B62A1">
      <w:pPr>
        <w:pStyle w:val="Heading3"/>
      </w:pPr>
      <w:r>
        <w:br/>
      </w:r>
      <w:bookmarkStart w:id="62" w:name="_Ref63440905"/>
      <w:r>
        <w:t>Výrobky z plastů na jedno použití uvedené v čl. 2 odst. 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kelímky na nápoje, včetně jejich uzávěrů a víček;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nádoby na potraviny, tj. nádoby, jako jsou krabičky, s víkem nebo bez něj, do nichž se dávají potraviny, které: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jsou určeny k okamžité spotřebě, a to buď na místě, nebo k odnesení s sebou,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jsou obvykle spotřebovávány z této nádoby a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jsou připraveny ke spotřebě bez jakékoli další přípravy, jako je vaření nebo ohřívání,</w:t>
      </w:r>
    </w:p>
    <w:p w14:paraId="50856381" w14:textId="77777777" w:rsidR="006418B1" w:rsidRPr="003F6B93" w:rsidRDefault="006418B1" w:rsidP="00575347">
      <w:pPr>
        <w:pStyle w:val="ListParagraph"/>
        <w:ind w:left="709"/>
        <w:jc w:val="both"/>
        <w:rPr>
          <w:rFonts w:ascii="Verdana" w:hAnsi="Verdana"/>
        </w:rPr>
      </w:pPr>
      <w:r>
        <w:rPr>
          <w:rFonts w:ascii="Verdana" w:hAnsi="Verdana"/>
        </w:rPr>
        <w:t>včetně nádob na potraviny používaných pro rychlé občerstvení nebo jiná jídla připravená k okamžité spotřebě, s výjimkou nádob na nápoje, talířů a krabiček a obalů obsahujících potraviny.</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vatové tyčinky s výjimkou případů spadajících do oblasti působnosti nařízení s mocí zákona č. 145/2009 ze dne 17. června ve stávajícím znění;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příbory (vidličky, nože, lžíce, jídelní hůlky);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talíře;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slánky s výjimkou případů spadajících do oblasti působnosti nařízení s mocí zákona č. 145/2009 ze dne 17. června ve stávajícím znění;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nápojová míchátka;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tyčky k uchycení a podpěře balónků, kromě balónků pro průmyslové či jiné profesionální použití a upotřebení, jež nejsou distribuovány spotřebitelům, včetně mechanismů těchto tyček;</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nádoby na potraviny vyrobené z expandovaného polystyrenu, tj. nádoby, jako jsou krabičky s víkem či bez něj, jež se používají na potraviny, které: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jsou určeny k okamžité spotřebě, a to buď na místě, nebo k odnesení s sebou,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jsou obvykle spotřebovávány z této nádoby a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jsou připraveny ke spotřebě bez jakékoli další přípravy, jako je vaření nebo ohřívání,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včetně nádob na potraviny používaných pro rychlé občerstvení nebo jiná jídla připravená k okamžité spotřebě, s výjimkou nádob na nápoje, talířů a krabiček a obalů obsahujících potraviny;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nádoby na nápoje vyrobené z expandovaného polystyrenu, včetně jejich uzávěrů a víček;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kelímky na nápoje vyrobené z expandovaného polystyrenu, včetně jejich uzávěrů a víček;</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lastRenderedPageBreak/>
        <w:t xml:space="preserve">nádoby na nápoje o objemu až tří litrů, tj. nádoby používané k uchovávání kapalin, jako jsou nápojové láhve včetně jejich uzávěrů a víček a kompozitní nápojové obaly včetně jejich uzávěrů a víček, avšak nikoli: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skleněné nebo kovové nádoby na nápoje, které mají uzávěry a víčka vyrobená z plastu;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nádoby na nápoje určené a používané na potraviny pro zvláštní lékařské účely ve smyslu čl. 2 písm. g) nařízení Evropského parlamentu a Rady (EU) č. 609/2013 (3), které jsou v kapalné formě.</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hygienické vložky, tampóny a tampónové aplikátory;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mokré ubrousky, tj. vlhčené ubrousky pro osobní péči a domácí použití;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tabákové výrobky s filtry a filtry uváděné na trh za účelem jejich použití ve spojení s tabákovými výrobky;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krabičky a obaly zhotovené z pružného materiálu, které obsahují potraviny určené k okamžité spotřebě z balíčku nebo obalu bez jakékoli další přípravy;</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lehké plastové nákupní tašky;</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balónky, kromě balónků pro průmyslové či jiné profesionální použití a upotřebení, jež nejsou distribuovány spotřebitelům.</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CCFC4" w14:textId="77777777" w:rsidR="002C0F3F" w:rsidRDefault="002C0F3F" w:rsidP="007879A9">
      <w:pPr>
        <w:spacing w:after="0" w:line="240" w:lineRule="auto"/>
      </w:pPr>
      <w:r>
        <w:separator/>
      </w:r>
    </w:p>
  </w:endnote>
  <w:endnote w:type="continuationSeparator" w:id="0">
    <w:p w14:paraId="359FB8E6" w14:textId="77777777" w:rsidR="002C0F3F" w:rsidRDefault="002C0F3F"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 xml:space="preserve">Verze </w:t>
    </w:r>
    <w:r>
      <w:t>15.03.2021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09F6B" w14:textId="77777777" w:rsidR="002C0F3F" w:rsidRDefault="002C0F3F" w:rsidP="007879A9">
      <w:pPr>
        <w:spacing w:after="0" w:line="240" w:lineRule="auto"/>
      </w:pPr>
      <w:r>
        <w:separator/>
      </w:r>
    </w:p>
  </w:footnote>
  <w:footnote w:type="continuationSeparator" w:id="0">
    <w:p w14:paraId="76BFD6F5" w14:textId="77777777" w:rsidR="002C0F3F" w:rsidRDefault="002C0F3F"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w:t>
    </w:r>
    <w:r>
      <w:rPr>
        <w:rFonts w:ascii="Palatino" w:hAnsi="Palatino"/>
        <w:sz w:val="32"/>
      </w:rPr>
      <w:t>Ministr</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2C0F3F">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t>Nařízení</w:t>
    </w:r>
    <w:r>
      <w:tab/>
      <w:t>č.</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07EEA280"/>
    <w:lvl w:ilvl="0" w:tplc="9C420368">
      <w:start w:val="1"/>
      <w:numFmt w:val="upperRoman"/>
      <w:pStyle w:val="Heading1"/>
      <w:lvlText w:val="KAPITOLA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ED4E7FD6"/>
    <w:lvl w:ilvl="0" w:tplc="069E32BE">
      <w:start w:val="1"/>
      <w:numFmt w:val="upperRoman"/>
      <w:pStyle w:val="Heading3"/>
      <w:lvlText w:val="Příloha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C0F3F"/>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2A1"/>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30</Pages>
  <Words>7558</Words>
  <Characters>43086</Characters>
  <Application>Microsoft Office Word</Application>
  <DocSecurity>0</DocSecurity>
  <Lines>359</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2021-03-30T14:44:00Z</dcterms:modified>
</cp:coreProperties>
</file>