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61248" w14:textId="77777777" w:rsidR="00E504C2" w:rsidRPr="00E504C2" w:rsidRDefault="00E504C2" w:rsidP="00E504C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sz w:val="36"/>
        </w:rPr>
        <w:t>Uredba z dne 30. decembra 2021 o izvajanju člena R. 5132-86 zakonika o javnem zdravju</w:t>
      </w:r>
    </w:p>
    <w:p w14:paraId="4522AB32" w14:textId="77777777" w:rsidR="003D0791" w:rsidRDefault="00E504C2" w:rsidP="00E504C2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Št.: SSAP2139161A </w:t>
      </w:r>
    </w:p>
    <w:p w14:paraId="6D983689" w14:textId="1D544689" w:rsidR="00E504C2" w:rsidRPr="00E504C2" w:rsidRDefault="00E504C2" w:rsidP="00E504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ELI: https://www.legifrance.gouv.fr/eli/arrete/2021/12/30/SSAP2139161A/jo/texte </w:t>
      </w:r>
      <w:r>
        <w:rPr>
          <w:rFonts w:ascii="Times New Roman" w:hAnsi="Times New Roman"/>
          <w:sz w:val="24"/>
        </w:rPr>
        <w:br/>
        <w:t xml:space="preserve">JORF št. 0304 z dne 31. decembra 2021 </w:t>
      </w:r>
      <w:r>
        <w:rPr>
          <w:rFonts w:ascii="Times New Roman" w:hAnsi="Times New Roman"/>
          <w:sz w:val="24"/>
        </w:rPr>
        <w:br/>
        <w:t>Besedilo št. 110</w:t>
      </w:r>
    </w:p>
    <w:p w14:paraId="03711292" w14:textId="77777777" w:rsidR="00E504C2" w:rsidRPr="00E504C2" w:rsidRDefault="00E504C2" w:rsidP="00E504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Priloga</w:t>
      </w:r>
    </w:p>
    <w:p w14:paraId="378F436A" w14:textId="77777777" w:rsidR="00C05F6D" w:rsidRDefault="00E504C2" w:rsidP="00C05F6D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/>
        <w:t>Minister za solidarnost in zdravje, minister za kmetijstvo in prehrano, minister za gospodarstvo, finance in okrevanje, pristojen za javne finance, ter minister za gospodarstvo, finance in okrevanje, pristojen za industrijo,</w:t>
      </w:r>
      <w:r>
        <w:rPr>
          <w:rFonts w:ascii="Times New Roman" w:hAnsi="Times New Roman"/>
          <w:sz w:val="24"/>
        </w:rPr>
        <w:br/>
        <w:t>ob upoštevanju Uredbe (ES) št. 178/2002 Evropskega parlamenta in Sveta z dne 28. januarja 2002 o določitvi splošnih načel in zahtevah živilske zakonodaje, ustanovitvi Evropske agencije za varnost hrane in postopkih, ki zadevajo varnost hrane, zlasti členov 14 in 15,</w:t>
      </w:r>
      <w:r>
        <w:rPr>
          <w:rFonts w:ascii="Times New Roman" w:hAnsi="Times New Roman"/>
          <w:sz w:val="24"/>
        </w:rPr>
        <w:br/>
        <w:t>ob upoštevanju Uredbe (ES) št. 767/2009 Evropskega parlamenta in Sveta z dne 13. julija 2009 o dajanju krme v promet in njeni uporabi, spremembi Uredbe (ES) št. 1831/2003 Evropskega parlamenta in Sveta in razveljavitvi Direktive Sveta 79/373/EGS, Direktive Komisije 80/511/EGS, direktiv Sveta 82/471/EGS, 83/228/EGS, 93/74/EGS, 93/113/ES in 96/25/ES ter Odločbe Komisije 2004/217/ES in zlasti člena 4,</w:t>
      </w:r>
      <w:r>
        <w:rPr>
          <w:rFonts w:ascii="Times New Roman" w:hAnsi="Times New Roman"/>
          <w:sz w:val="24"/>
        </w:rPr>
        <w:br/>
        <w:t>ob upoštevanju Uredbe (ES) št. 2015/2283 Evropskega parlamenta in Sveta z dne 25. novembra 2015 o novih živilih, spremembi Uredbe (EU) št. 1169/2011 Evropskega parlamenta in Sveta in razveljavitvi Uredbe (ES) št. 258/97 Evropskega parlamenta in Sveta ter Uredbe Komisije (ES) št. 1852/2001,</w:t>
      </w:r>
      <w:r>
        <w:rPr>
          <w:rFonts w:ascii="Times New Roman" w:hAnsi="Times New Roman"/>
          <w:sz w:val="24"/>
        </w:rPr>
        <w:br/>
        <w:t>ob upoštevanju Direktive Sveta 2002/53/ES z dne 13. junija 2002 o skupnem katalogu sort poljščin,</w:t>
      </w:r>
      <w:r>
        <w:rPr>
          <w:rFonts w:ascii="Times New Roman" w:hAnsi="Times New Roman"/>
          <w:sz w:val="24"/>
        </w:rPr>
        <w:br/>
        <w:t>ob upoštevanju Direktive (EU) 2015/1535 Evropskega parlamenta in Sveta z dne 9. septembra 2015 o določitvi postopka za zbiranje informacij na področju tehničnih predpisov in pravil za storitve informacijske družbe, zlasti uradnega obvestila št. 2021/481/F,</w:t>
      </w:r>
      <w:r>
        <w:rPr>
          <w:rFonts w:ascii="Times New Roman" w:hAnsi="Times New Roman"/>
          <w:sz w:val="24"/>
        </w:rPr>
        <w:br/>
        <w:t>ob upoštevanju francoskega Zakonika o javnem zdravju, s posebnim sklicevanjem na člene L.3232-8 in R. 5132-86 Zakonika,</w:t>
      </w:r>
      <w:r>
        <w:rPr>
          <w:rFonts w:ascii="Times New Roman" w:hAnsi="Times New Roman"/>
          <w:sz w:val="24"/>
        </w:rPr>
        <w:br/>
        <w:t>ob upoštevanju spremenjenega odloka št. 81-605 z dne 18. maja 1981, sprejetega v skladu z zakonom z dne 1. avgusta 1905 o preprečevanju goljufij v zvezi s trgovino s semeni in rastlinami,</w:t>
      </w:r>
      <w:r>
        <w:rPr>
          <w:rFonts w:ascii="Times New Roman" w:hAnsi="Times New Roman"/>
          <w:sz w:val="24"/>
        </w:rPr>
        <w:br/>
        <w:t xml:space="preserve">na predlog generalnega direktorja nacionalne agencije za varnost zdravil in zdravstvenih izdelkov z dne 22. decembra 2021, </w:t>
      </w:r>
    </w:p>
    <w:p w14:paraId="23E214A0" w14:textId="34F1B3E6" w:rsidR="00E504C2" w:rsidRPr="00E504C2" w:rsidRDefault="00E504C2" w:rsidP="00C05F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v nadaljevanju:</w:t>
      </w:r>
    </w:p>
    <w:p w14:paraId="333E10B2" w14:textId="77777777" w:rsidR="00E504C2" w:rsidRPr="00E504C2" w:rsidRDefault="00E504C2" w:rsidP="00E504C2">
      <w:pPr>
        <w:spacing w:before="100" w:beforeAutospacing="1" w:after="100" w:afterAutospacing="1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Člen 1</w:t>
      </w:r>
    </w:p>
    <w:p w14:paraId="6F135CF2" w14:textId="77777777" w:rsidR="00E504C2" w:rsidRPr="00E504C2" w:rsidRDefault="00E504C2" w:rsidP="00E504C2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 xml:space="preserve">I. - V skladu s členom R. 5132-86 zakonika o javnem zdravju se dovoli gojenje, uvoz, izvoz ter industrijska in tržna uporaba samo sort Cannabis sativa L., katerih delta-9-tetrahidrokanabinol ne presega 0,30 % in ki so vključene v skupni katalog sort poljščin ali v uradni katalog vrst in sort rastlin, ki se gojijo v Franciji. Določitev vsebnosti delta-9-tetrahidrokanabinola v zgoraj navedenih sortah in odvzem vzorcev za to določitev se </w:t>
      </w:r>
      <w:r>
        <w:rPr>
          <w:rFonts w:ascii="Times New Roman" w:hAnsi="Times New Roman"/>
          <w:sz w:val="24"/>
        </w:rPr>
        <w:lastRenderedPageBreak/>
        <w:t>izvedeta v skladu z metodo iz Priloge;</w:t>
      </w:r>
      <w:r>
        <w:rPr>
          <w:rFonts w:ascii="Times New Roman" w:hAnsi="Times New Roman"/>
          <w:sz w:val="24"/>
        </w:rPr>
        <w:br/>
        <w:t>Cvetovi in listi se pridelujejo iz certificiranih semenskih rastlin. Prodaja rastlin in praksa rezanja sta prepovedana.</w:t>
      </w:r>
      <w:r>
        <w:rPr>
          <w:rFonts w:ascii="Times New Roman" w:hAnsi="Times New Roman"/>
          <w:sz w:val="24"/>
        </w:rPr>
        <w:br/>
        <w:t>Samo aktivni kmetje v smislu veljavnih evropskih in nacionalnih predpisov lahko gojijo cvetje in listje konoplje.</w:t>
      </w:r>
      <w:r>
        <w:rPr>
          <w:rFonts w:ascii="Times New Roman" w:hAnsi="Times New Roman"/>
          <w:sz w:val="24"/>
        </w:rPr>
        <w:br/>
        <w:t>II.- Cvetovi in listi sort, navedenih v točki I, se lahko pobirajo, uvažajo ali uporabljajo samo za industrijsko proizvodnjo izvlečkov konoplje. Zlasti je prepovedana prodaja cvetja ali surovih listov v vseh oblikah potrošnikom, sama ali v kombinaciji z drugimi sestavinami, njihova posest s strani potrošnikov in njihovo uživanje.</w:t>
      </w:r>
      <w:r>
        <w:rPr>
          <w:rFonts w:ascii="Times New Roman" w:hAnsi="Times New Roman"/>
          <w:sz w:val="24"/>
        </w:rPr>
        <w:br/>
        <w:t>Nakup cvetja in listov konoplje, proizvedenih na francoskem ozemlju, je predmet pisne pogodbe med proizvajalcem in kupcem. Pogodba vključuje informacije o obsegu in ceni izdelkov. Pogodba lahko vsebuje informacije o pričakovani kakovosti proizvodov. Pogodba se sklene pred začetkom proizvodnega leta.</w:t>
      </w:r>
      <w:r>
        <w:rPr>
          <w:rFonts w:ascii="Times New Roman" w:hAnsi="Times New Roman"/>
          <w:sz w:val="24"/>
        </w:rPr>
        <w:br/>
        <w:t>III. Brez poseganja v člena 14 in 15 Uredbe (ES) št. 178/2002 in člen 4 Uredbe (ES) št. 767/2009 vsebnost delta-9-tetrahidrokanabinola v ekstraktih konoplje in proizvodih, ki jih vsebujejo, ne presega 0,30 %.</w:t>
      </w:r>
    </w:p>
    <w:p w14:paraId="54E1996A" w14:textId="77777777" w:rsidR="00E504C2" w:rsidRPr="00E504C2" w:rsidRDefault="00E504C2" w:rsidP="00E504C2">
      <w:pPr>
        <w:spacing w:before="100" w:beforeAutospacing="1" w:after="100" w:afterAutospacing="1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Člen 2</w:t>
      </w:r>
    </w:p>
    <w:p w14:paraId="6DC747C1" w14:textId="77777777" w:rsidR="00E504C2" w:rsidRPr="00E504C2" w:rsidRDefault="00E504C2" w:rsidP="00E504C2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Proizvodi iz konoplje iz 1. člena se lahko uvažajo iz držav zunaj Evropske unije ali izvažajo iz Evropske unije le, če so jim priloženi dokumenti, ki potrjujejo njihovo skladnost s to uredbo.</w:t>
      </w:r>
    </w:p>
    <w:p w14:paraId="1118A590" w14:textId="77777777" w:rsidR="00E504C2" w:rsidRPr="00E504C2" w:rsidRDefault="00E504C2" w:rsidP="00E504C2">
      <w:pPr>
        <w:spacing w:before="100" w:beforeAutospacing="1" w:after="100" w:afterAutospacing="1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Člen 3</w:t>
      </w:r>
    </w:p>
    <w:p w14:paraId="79942EE5" w14:textId="77777777" w:rsidR="00E504C2" w:rsidRPr="00E504C2" w:rsidRDefault="00E504C2" w:rsidP="00E504C2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Odlok z dne 22. avgusta 1990 o izvajanju člena R. 5132-86 zakonika o javnem zdravju konoplje se razveljavi.</w:t>
      </w:r>
    </w:p>
    <w:p w14:paraId="44D80020" w14:textId="77777777" w:rsidR="00E504C2" w:rsidRPr="00E504C2" w:rsidRDefault="00E504C2" w:rsidP="00E504C2">
      <w:pPr>
        <w:spacing w:before="100" w:beforeAutospacing="1" w:after="100" w:afterAutospacing="1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Člen 4</w:t>
      </w:r>
    </w:p>
    <w:p w14:paraId="2D89AC0F" w14:textId="77777777" w:rsidR="00E504C2" w:rsidRPr="00E504C2" w:rsidRDefault="00E504C2" w:rsidP="00E504C2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Za izvajanje tega odloka so odgovorni generalni direktor za zdravje, generalni direktor za prehrano in generalni direktor podjetij ter generalni direktor za carino in posredne dajatve, ki se objavi v Uradnem listu Republike Francije.</w:t>
      </w:r>
    </w:p>
    <w:p w14:paraId="159A8C86" w14:textId="77777777" w:rsidR="00E504C2" w:rsidRPr="00E504C2" w:rsidRDefault="00E504C2" w:rsidP="00E504C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/>
          <w:b/>
          <w:sz w:val="27"/>
        </w:rPr>
        <w:t>Priloga</w:t>
      </w:r>
    </w:p>
    <w:p w14:paraId="650DB8AF" w14:textId="77777777" w:rsidR="00E504C2" w:rsidRPr="00E504C2" w:rsidRDefault="00E504C2" w:rsidP="00E504C2">
      <w:pPr>
        <w:spacing w:before="100" w:beforeAutospacing="1" w:after="100" w:afterAutospacing="1" w:line="240" w:lineRule="auto"/>
        <w:ind w:left="7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Člen</w:t>
      </w:r>
    </w:p>
    <w:p w14:paraId="5A7300C4" w14:textId="77777777" w:rsidR="00E504C2" w:rsidRPr="00E504C2" w:rsidRDefault="00E504C2" w:rsidP="00E504C2">
      <w:pPr>
        <w:spacing w:before="100" w:beforeAutospacing="1" w:after="100" w:afterAutospacing="1" w:line="240" w:lineRule="auto"/>
        <w:ind w:left="7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 xml:space="preserve">PRILOGA </w:t>
      </w:r>
      <w:r>
        <w:rPr>
          <w:rFonts w:ascii="Times New Roman" w:hAnsi="Times New Roman"/>
          <w:sz w:val="24"/>
        </w:rPr>
        <w:br/>
        <w:t>METODA ZA KVANTITATIVNO DOLOČANJE DELTA-9-TETRAHIDROKANABINOLA (9-THC) V SORTAH KONOPLJE</w:t>
      </w:r>
    </w:p>
    <w:p w14:paraId="08F14E53" w14:textId="77777777" w:rsidR="00E504C2" w:rsidRPr="00E504C2" w:rsidRDefault="00E504C2" w:rsidP="00E504C2">
      <w:pPr>
        <w:spacing w:before="100" w:beforeAutospacing="1" w:after="100" w:afterAutospacing="1" w:line="240" w:lineRule="auto"/>
        <w:ind w:left="7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1. Predmet in področje uporabe</w:t>
      </w:r>
      <w:r>
        <w:rPr>
          <w:rFonts w:ascii="Times New Roman" w:hAnsi="Times New Roman"/>
          <w:sz w:val="24"/>
        </w:rPr>
        <w:br/>
        <w:t>Metoda se uporablja za določanje vsebnosti delta-9-tetrahidrokanabinola (9-THC) v Cannabis sativa L.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lastRenderedPageBreak/>
        <w:t>Odvisno od primera se uporablja v skladu s postopkom A ali postopkom B, opisanim spodaj. Ta metoda temelji na kvantitativnem določanju 9-THC po ekstrakciji s plinsko kromatografijo (GCP).</w:t>
      </w:r>
      <w:r>
        <w:rPr>
          <w:rFonts w:ascii="Times New Roman" w:hAnsi="Times New Roman"/>
          <w:sz w:val="24"/>
        </w:rPr>
        <w:br/>
        <w:t>1.1. Postopek A</w:t>
      </w:r>
      <w:r>
        <w:rPr>
          <w:rFonts w:ascii="Times New Roman" w:hAnsi="Times New Roman"/>
          <w:sz w:val="24"/>
        </w:rPr>
        <w:br/>
        <w:t>Postopek A se uporablja za namene nadzora sort iz člena 1 dekreta xxx o izvajanju člena R. 5181 zakonika o javnem zdravju konoplje.</w:t>
      </w:r>
      <w:r>
        <w:rPr>
          <w:rFonts w:ascii="Times New Roman" w:hAnsi="Times New Roman"/>
          <w:sz w:val="24"/>
        </w:rPr>
        <w:br/>
        <w:t>Če ugotovitve kažejo, da je za veliko število vzorcev določene sorte vsebnost 9-THC višja od dovoljene v 1. členu zgoraj navedene uredbe, se lahko uporabi postopek B.</w:t>
      </w:r>
      <w:r>
        <w:rPr>
          <w:rFonts w:ascii="Times New Roman" w:hAnsi="Times New Roman"/>
          <w:sz w:val="24"/>
        </w:rPr>
        <w:br/>
        <w:t>1.2. Postopek B</w:t>
      </w:r>
      <w:r>
        <w:rPr>
          <w:rFonts w:ascii="Times New Roman" w:hAnsi="Times New Roman"/>
          <w:sz w:val="24"/>
        </w:rPr>
        <w:br/>
        <w:t>Postopek B se uporablja za primere iz drugega pododstavka točke 1.1.</w:t>
      </w:r>
      <w:r>
        <w:rPr>
          <w:rFonts w:ascii="Times New Roman" w:hAnsi="Times New Roman"/>
          <w:sz w:val="24"/>
        </w:rPr>
        <w:br/>
        <w:t>2. Vzorčenje</w:t>
      </w:r>
      <w:r>
        <w:rPr>
          <w:rFonts w:ascii="Times New Roman" w:hAnsi="Times New Roman"/>
          <w:sz w:val="24"/>
        </w:rPr>
        <w:br/>
        <w:t>2.1. Vzorci</w:t>
      </w:r>
      <w:r>
        <w:rPr>
          <w:rFonts w:ascii="Times New Roman" w:hAnsi="Times New Roman"/>
          <w:sz w:val="24"/>
        </w:rPr>
        <w:br/>
        <w:t>Postopek A: Pri določeni populaciji konoplje se za vsako izbrano rastlino zbere 30 cm del vsaj enega ženskega socvetja. Vzorčenje se opravi v obdobju od dvajset dni po začetku in deset dni po koncu cvetenja, čez dan, po sistematični poti, ki omogoča reprezentativno zbiranje ploskve brez meja.</w:t>
      </w:r>
      <w:r>
        <w:rPr>
          <w:rFonts w:ascii="Times New Roman" w:hAnsi="Times New Roman"/>
          <w:sz w:val="24"/>
        </w:rPr>
        <w:br/>
        <w:t>Postopek B: V populaciji dane sorte Cannabis sativa L. se vzame zgornja tretjina vsake izbrane rastline. Vzorčenje se opravi v desetih dneh po koncu cvetenja čez dan po sistematični poti, ki omogoča reprezentativno zbiranje ploskve in izključuje meje. V primeru dvodomne sorte se zberejo le ženske rastline.</w:t>
      </w:r>
      <w:r>
        <w:rPr>
          <w:rFonts w:ascii="Times New Roman" w:hAnsi="Times New Roman"/>
          <w:sz w:val="24"/>
        </w:rPr>
        <w:br/>
        <w:t>2.2. Velikost vzorca</w:t>
      </w:r>
      <w:r>
        <w:rPr>
          <w:rFonts w:ascii="Times New Roman" w:hAnsi="Times New Roman"/>
          <w:sz w:val="24"/>
        </w:rPr>
        <w:br/>
        <w:t>Postopek A: Za vsako ploskev se vzorec odvzame iz 50 rastlin.</w:t>
      </w:r>
      <w:r>
        <w:rPr>
          <w:rFonts w:ascii="Times New Roman" w:hAnsi="Times New Roman"/>
          <w:sz w:val="24"/>
        </w:rPr>
        <w:br/>
        <w:t>Postopek B: Za vsako ploskev se vzorec odvzame iz 200 rastlin.</w:t>
      </w:r>
      <w:r>
        <w:rPr>
          <w:rFonts w:ascii="Times New Roman" w:hAnsi="Times New Roman"/>
          <w:sz w:val="24"/>
        </w:rPr>
        <w:br/>
        <w:t>Vsak vzorec se da brez nedovoljenega poseganja v krpo ali papirnato vrečko in nato pošlje laboratoriju, odgovornemu za določanje vsebnosti 9-THC.</w:t>
      </w:r>
      <w:r>
        <w:rPr>
          <w:rFonts w:ascii="Times New Roman" w:hAnsi="Times New Roman"/>
          <w:sz w:val="24"/>
        </w:rPr>
        <w:br/>
        <w:t>Drugi vzorec se lahko zbere za morebitno nasprotno analizo in shrani bodisi proizvajalec bodisi laboratorij.</w:t>
      </w:r>
      <w:r>
        <w:rPr>
          <w:rFonts w:ascii="Times New Roman" w:hAnsi="Times New Roman"/>
          <w:sz w:val="24"/>
        </w:rPr>
        <w:br/>
        <w:t>2.3. Sušenje in skladiščenje vzorca</w:t>
      </w:r>
      <w:r>
        <w:rPr>
          <w:rFonts w:ascii="Times New Roman" w:hAnsi="Times New Roman"/>
          <w:sz w:val="24"/>
        </w:rPr>
        <w:br/>
        <w:t>Sušenje vzorcev se začne čim prej, v vsakem primeru pa v 48 urah na kateri koli način pri temperaturi pod 70 °C. Vzorci se posušijo do konstantne teže, z vlažnostjo med 8 in 13 %.</w:t>
      </w:r>
      <w:r>
        <w:rPr>
          <w:rFonts w:ascii="Times New Roman" w:hAnsi="Times New Roman"/>
          <w:sz w:val="24"/>
        </w:rPr>
        <w:br/>
        <w:t>Suhi vzorci se ne kopičijo v temi in pri temperaturah pod 25 °C.</w:t>
      </w:r>
      <w:r>
        <w:rPr>
          <w:rFonts w:ascii="Times New Roman" w:hAnsi="Times New Roman"/>
          <w:sz w:val="24"/>
        </w:rPr>
        <w:br/>
        <w:t>3. Analiza vsebine v 9-THC</w:t>
      </w:r>
      <w:r>
        <w:rPr>
          <w:rFonts w:ascii="Times New Roman" w:hAnsi="Times New Roman"/>
          <w:sz w:val="24"/>
        </w:rPr>
        <w:br/>
        <w:t>3.1. Priprava analitskega vzorca</w:t>
      </w:r>
      <w:r>
        <w:rPr>
          <w:rFonts w:ascii="Times New Roman" w:hAnsi="Times New Roman"/>
          <w:sz w:val="24"/>
        </w:rPr>
        <w:br/>
        <w:t>Suhi vzorci se odstranijo iz stebel in semen, večjih od 2 mm.</w:t>
      </w:r>
      <w:r>
        <w:rPr>
          <w:rFonts w:ascii="Times New Roman" w:hAnsi="Times New Roman"/>
          <w:sz w:val="24"/>
        </w:rPr>
        <w:br/>
        <w:t>Posušeni vzorci se zmeljejo na polfin prah (1-milimetrsko sito).</w:t>
      </w:r>
      <w:r>
        <w:rPr>
          <w:rFonts w:ascii="Times New Roman" w:hAnsi="Times New Roman"/>
          <w:sz w:val="24"/>
        </w:rPr>
        <w:br/>
        <w:t>Maksimalno shranjevanje praška 10 tednov v suhem, temnem prostoru pri temperaturah pod 25 °C.</w:t>
      </w:r>
      <w:r>
        <w:rPr>
          <w:rFonts w:ascii="Times New Roman" w:hAnsi="Times New Roman"/>
          <w:sz w:val="24"/>
        </w:rPr>
        <w:br/>
        <w:t>3.2. Reagenti, ekstrakcijska raztopina</w:t>
      </w:r>
      <w:r>
        <w:rPr>
          <w:rFonts w:ascii="Times New Roman" w:hAnsi="Times New Roman"/>
          <w:sz w:val="24"/>
        </w:rPr>
        <w:br/>
        <w:t>Reagenti:</w:t>
      </w:r>
      <w:r>
        <w:rPr>
          <w:rFonts w:ascii="Times New Roman" w:hAnsi="Times New Roman"/>
          <w:sz w:val="24"/>
        </w:rPr>
        <w:br/>
        <w:t>9-tetrahidrokanabinol kromatografsko čist;</w:t>
      </w:r>
      <w:r>
        <w:rPr>
          <w:rFonts w:ascii="Times New Roman" w:hAnsi="Times New Roman"/>
          <w:sz w:val="24"/>
        </w:rPr>
        <w:br/>
        <w:t>Kromatografsko čist skvalan kot interni standard.</w:t>
      </w:r>
      <w:r>
        <w:rPr>
          <w:rFonts w:ascii="Times New Roman" w:hAnsi="Times New Roman"/>
          <w:sz w:val="24"/>
        </w:rPr>
        <w:br/>
        <w:t>Ekstrakcijska raztopina:</w:t>
      </w:r>
      <w:r>
        <w:rPr>
          <w:rFonts w:ascii="Times New Roman" w:hAnsi="Times New Roman"/>
          <w:sz w:val="24"/>
        </w:rPr>
        <w:br/>
        <w:t>35 mg skvalana na 100 ml heksana.</w:t>
      </w:r>
      <w:r>
        <w:rPr>
          <w:rFonts w:ascii="Times New Roman" w:hAnsi="Times New Roman"/>
          <w:sz w:val="24"/>
        </w:rPr>
        <w:br/>
        <w:t>3.3. Ekstrakcija 9-THC</w:t>
      </w:r>
      <w:r>
        <w:rPr>
          <w:rFonts w:ascii="Times New Roman" w:hAnsi="Times New Roman"/>
          <w:sz w:val="24"/>
        </w:rPr>
        <w:br/>
        <w:t>Natehtajte 100 mg praška preskusnega vzorca in ga dajte v epruveto za centrifugiranje; doda se 5 ml ekstrakcijske raztopine, ki vsebuje notranjo kontrolo.</w:t>
      </w:r>
      <w:r>
        <w:rPr>
          <w:rFonts w:ascii="Times New Roman" w:hAnsi="Times New Roman"/>
          <w:sz w:val="24"/>
        </w:rPr>
        <w:br/>
        <w:t>Vse potopite 20 minut v ultrazvočno kopel. Centrifugirajte 5 minut pri 3000 vrt/min in vzemite supernatant 9-THC topilo. Vbrizgajte slednje v kromatografski aparat in opravite kvantitativno analizo.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lastRenderedPageBreak/>
        <w:t>3.4. Plinska kromatografija</w:t>
      </w:r>
      <w:r>
        <w:rPr>
          <w:rFonts w:ascii="Times New Roman" w:hAnsi="Times New Roman"/>
          <w:sz w:val="24"/>
        </w:rPr>
        <w:br/>
        <w:t>(a) Oprema:</w:t>
      </w:r>
    </w:p>
    <w:p w14:paraId="2C5687F1" w14:textId="0AA1A1B6" w:rsidR="00E504C2" w:rsidRPr="00E504C2" w:rsidRDefault="00E504C2" w:rsidP="00E504C2">
      <w:pPr>
        <w:spacing w:before="100" w:beforeAutospacing="1" w:after="100" w:afterAutospacing="1" w:line="240" w:lineRule="auto"/>
        <w:ind w:left="7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– plinski kromatograf, opremljen s plamensko-ionizacijskim detektorjem in šobo brez razcepa;</w:t>
      </w:r>
      <w:r>
        <w:rPr>
          <w:rFonts w:ascii="Times New Roman" w:hAnsi="Times New Roman"/>
          <w:sz w:val="24"/>
        </w:rPr>
        <w:br/>
        <w:t>– kolona, ki omogoča dobro ločevanje kanabinoidov, npr. 25 m dolga in 0,22 mm steklena kapilarna kolona, impregnirana s 5 % apolarno fazo fenil-metil-siloksana.</w:t>
      </w:r>
    </w:p>
    <w:p w14:paraId="0EA9EE76" w14:textId="77777777" w:rsidR="00E504C2" w:rsidRPr="00E504C2" w:rsidRDefault="00E504C2" w:rsidP="00E504C2">
      <w:pPr>
        <w:spacing w:before="100" w:beforeAutospacing="1" w:after="100" w:afterAutospacing="1" w:line="240" w:lineRule="auto"/>
        <w:ind w:left="7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(b) Kalibracijska območja:</w:t>
      </w:r>
      <w:r>
        <w:rPr>
          <w:rFonts w:ascii="Times New Roman" w:hAnsi="Times New Roman"/>
          <w:sz w:val="24"/>
        </w:rPr>
        <w:br/>
        <w:t>Vsaj 3 točke za postopek A in 5 točk za postopek B, s točkama 0,04 in 0,50 mg/ml 9-THC v ekstrakcijski raztopini.</w:t>
      </w:r>
      <w:r>
        <w:rPr>
          <w:rFonts w:ascii="Times New Roman" w:hAnsi="Times New Roman"/>
          <w:sz w:val="24"/>
        </w:rPr>
        <w:br/>
        <w:t>(c) Pogoji opreme:</w:t>
      </w:r>
      <w:r>
        <w:rPr>
          <w:rFonts w:ascii="Times New Roman" w:hAnsi="Times New Roman"/>
          <w:sz w:val="24"/>
        </w:rPr>
        <w:br/>
        <w:t>Kot primer za stolpec iz točke a so navedeni naslednji pogoji:</w:t>
      </w:r>
    </w:p>
    <w:p w14:paraId="282DEA67" w14:textId="177C18BB" w:rsidR="00E504C2" w:rsidRPr="00E504C2" w:rsidRDefault="00E504C2" w:rsidP="00E504C2">
      <w:pPr>
        <w:spacing w:before="100" w:beforeAutospacing="1" w:after="100" w:afterAutospacing="1" w:line="240" w:lineRule="auto"/>
        <w:ind w:left="7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– temperatura peči: 260 °C;</w:t>
      </w:r>
      <w:r>
        <w:rPr>
          <w:rFonts w:ascii="Times New Roman" w:hAnsi="Times New Roman"/>
          <w:sz w:val="24"/>
        </w:rPr>
        <w:br/>
        <w:t>– temperatura injektorja: 300 °C;</w:t>
      </w:r>
      <w:r>
        <w:rPr>
          <w:rFonts w:ascii="Times New Roman" w:hAnsi="Times New Roman"/>
          <w:sz w:val="24"/>
        </w:rPr>
        <w:br/>
        <w:t>– temperatura detektorja: 300 °C.</w:t>
      </w:r>
    </w:p>
    <w:p w14:paraId="04863A7A" w14:textId="77777777" w:rsidR="00E504C2" w:rsidRPr="00E504C2" w:rsidRDefault="00E504C2" w:rsidP="00E504C2">
      <w:pPr>
        <w:spacing w:before="100" w:beforeAutospacing="1" w:after="100" w:afterAutospacing="1" w:line="240" w:lineRule="auto"/>
        <w:ind w:left="7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(d) injicirani volumen: 1 ml.</w:t>
      </w:r>
      <w:r>
        <w:rPr>
          <w:rFonts w:ascii="Times New Roman" w:hAnsi="Times New Roman"/>
          <w:sz w:val="24"/>
        </w:rPr>
        <w:br/>
        <w:t>4. Rezultati</w:t>
      </w:r>
      <w:r>
        <w:rPr>
          <w:rFonts w:ascii="Times New Roman" w:hAnsi="Times New Roman"/>
          <w:sz w:val="24"/>
        </w:rPr>
        <w:br/>
        <w:t>Rezultat se izrazi z dvema decimalnima mestoma, v gramih 9-THC na 100 gramov preskusnega vzorca, sušenega do konstantne teže. Za rezultat velja toleranca 0,03 % absolutne vrednosti.</w:t>
      </w:r>
      <w:r>
        <w:rPr>
          <w:rFonts w:ascii="Times New Roman" w:hAnsi="Times New Roman"/>
          <w:sz w:val="24"/>
        </w:rPr>
        <w:br/>
        <w:t>Postopek A: Rezultat ustreza določitvi na analitski vzorec. Če tako dobljeni rezultat presega mejo, določeno v oddelku 1 uredbe xxx o uporabi člena R. 5181 zakonika o javnem zdravju za konoplja, se opravi druga določitev na preskusni vzorec, rezultat pa je povprečje teh dveh določitev.</w:t>
      </w:r>
      <w:r>
        <w:rPr>
          <w:rFonts w:ascii="Times New Roman" w:hAnsi="Times New Roman"/>
          <w:sz w:val="24"/>
        </w:rPr>
        <w:br/>
        <w:t>Postopek B: Rezultat ustreza povprečju dveh določitev na preskusni vzorec.</w:t>
      </w:r>
    </w:p>
    <w:p w14:paraId="2C7E119E" w14:textId="77777777" w:rsidR="00E504C2" w:rsidRPr="00E504C2" w:rsidRDefault="00E504C2" w:rsidP="00E504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Z dne 30. decembra 2021</w:t>
      </w:r>
    </w:p>
    <w:p w14:paraId="7B76B62F" w14:textId="77777777" w:rsidR="00E504C2" w:rsidRPr="00E504C2" w:rsidRDefault="00E504C2" w:rsidP="00E504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Minister za solidarnost in zdravje,</w:t>
      </w:r>
      <w:r>
        <w:rPr>
          <w:rFonts w:ascii="Times New Roman" w:hAnsi="Times New Roman"/>
          <w:sz w:val="24"/>
        </w:rPr>
        <w:br/>
        <w:t>Olivier Véran</w:t>
      </w:r>
    </w:p>
    <w:p w14:paraId="14381679" w14:textId="77777777" w:rsidR="00E504C2" w:rsidRPr="00E504C2" w:rsidRDefault="00E504C2" w:rsidP="00E504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Minister za kmetijstvo in prehrano,</w:t>
      </w:r>
      <w:r>
        <w:rPr>
          <w:rFonts w:ascii="Times New Roman" w:hAnsi="Times New Roman"/>
          <w:sz w:val="24"/>
        </w:rPr>
        <w:br/>
        <w:t>Julien Denormandie</w:t>
      </w:r>
    </w:p>
    <w:p w14:paraId="46C2DAED" w14:textId="77777777" w:rsidR="00E504C2" w:rsidRPr="00E504C2" w:rsidRDefault="00E504C2" w:rsidP="00E504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Minister za javne finance pri ministru za gospodarstvo, finance in okrevanje,</w:t>
      </w:r>
      <w:r>
        <w:rPr>
          <w:rFonts w:ascii="Times New Roman" w:hAnsi="Times New Roman"/>
          <w:sz w:val="24"/>
        </w:rPr>
        <w:br/>
        <w:t>Olivier Dussopt</w:t>
      </w:r>
    </w:p>
    <w:p w14:paraId="3C558E10" w14:textId="77777777" w:rsidR="00E504C2" w:rsidRPr="00E504C2" w:rsidRDefault="00E504C2" w:rsidP="00E504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lastRenderedPageBreak/>
        <w:br/>
        <w:t>Odposlanka ministra za gospodarstvo, finance in okrevanje, pristojna za industrijo,</w:t>
      </w:r>
      <w:r>
        <w:rPr>
          <w:rFonts w:ascii="Times New Roman" w:hAnsi="Times New Roman"/>
          <w:sz w:val="24"/>
        </w:rPr>
        <w:br/>
        <w:t>Agnès Pannier-Runacher</w:t>
      </w:r>
    </w:p>
    <w:p w14:paraId="3937DF18" w14:textId="77777777" w:rsidR="002352A1" w:rsidRDefault="002352A1"/>
    <w:sectPr w:rsidR="002352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73274"/>
    <w:multiLevelType w:val="multilevel"/>
    <w:tmpl w:val="AFE09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4C2"/>
    <w:rsid w:val="002352A1"/>
    <w:rsid w:val="003D0791"/>
    <w:rsid w:val="00470627"/>
    <w:rsid w:val="00532247"/>
    <w:rsid w:val="005C1719"/>
    <w:rsid w:val="00C05F6D"/>
    <w:rsid w:val="00E50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8B637"/>
  <w15:chartTrackingRefBased/>
  <w15:docId w15:val="{18256E79-2D95-456D-9B5C-7836B6D61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812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16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8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1322</Words>
  <Characters>7578</Characters>
  <Application>Microsoft Office Word</Application>
  <DocSecurity>0</DocSecurity>
  <Lines>176</Lines>
  <Paragraphs>29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Secrétariat Général</Company>
  <LinksUpToDate>false</LinksUpToDate>
  <CharactersWithSpaces>8871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PORTOU-DUPIN Josiane</dc:creator>
  <cp:keywords>class='Internal'</cp:keywords>
  <dc:description/>
  <cp:lastModifiedBy>Antonia Čarija</cp:lastModifiedBy>
  <cp:revision>2</cp:revision>
  <dcterms:created xsi:type="dcterms:W3CDTF">2022-04-01T14:40:00Z</dcterms:created>
  <dcterms:modified xsi:type="dcterms:W3CDTF">2022-04-01T14:40:00Z</dcterms:modified>
</cp:coreProperties>
</file>