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C56AE5" w:rsidRDefault="004D73A6" w:rsidP="004D73A6">
      <w:pPr>
        <w:ind w:right="-755"/>
        <w:jc w:val="left"/>
        <w:rPr>
          <w:rFonts w:ascii="Courier New" w:hAnsi="Courier New"/>
          <w:sz w:val="20"/>
        </w:rPr>
      </w:pPr>
      <w:r w:rsidRPr="00C56AE5">
        <w:rPr>
          <w:rFonts w:ascii="Courier New" w:hAnsi="Courier New"/>
          <w:sz w:val="20"/>
        </w:rPr>
        <w:t>1. ------IND- 2021 0045 D-- ES- ------ 20210210 --- --- PROJET</w:t>
      </w:r>
    </w:p>
    <w:p w14:paraId="2A1D7EB4" w14:textId="77777777" w:rsidR="00A1618A" w:rsidRPr="00C56AE5" w:rsidRDefault="00A1618A" w:rsidP="00E5776A">
      <w:pPr>
        <w:spacing w:after="240" w:line="360" w:lineRule="auto"/>
        <w:rPr>
          <w:rFonts w:ascii="Arial" w:hAnsi="Arial" w:cs="Arial"/>
          <w:spacing w:val="-4"/>
          <w:sz w:val="26"/>
          <w:szCs w:val="26"/>
        </w:rPr>
      </w:pPr>
      <w:r w:rsidRPr="00C56AE5">
        <w:rPr>
          <w:rFonts w:ascii="Arial" w:hAnsi="Arial"/>
          <w:spacing w:val="-4"/>
          <w:sz w:val="26"/>
          <w:szCs w:val="26"/>
        </w:rPr>
        <w:t>Ministro Federal de Justicia y Protección de los Consumidores</w:t>
      </w:r>
    </w:p>
    <w:p w14:paraId="4892787C" w14:textId="77777777" w:rsidR="00A1618A" w:rsidRPr="00C56AE5" w:rsidRDefault="00A1618A" w:rsidP="00E5776A">
      <w:pPr>
        <w:spacing w:after="360" w:line="360" w:lineRule="auto"/>
        <w:jc w:val="center"/>
        <w:rPr>
          <w:rFonts w:ascii="Arial Fett" w:hAnsi="Arial Fett" w:cs="Arial"/>
          <w:b/>
          <w:spacing w:val="-4"/>
          <w:sz w:val="30"/>
          <w:szCs w:val="30"/>
        </w:rPr>
      </w:pPr>
      <w:r w:rsidRPr="00C56AE5">
        <w:rPr>
          <w:rFonts w:ascii="Arial Fett" w:hAnsi="Arial Fett"/>
          <w:b/>
          <w:spacing w:val="-4"/>
          <w:sz w:val="30"/>
          <w:szCs w:val="30"/>
        </w:rPr>
        <w:t>Propuesta de modificación</w:t>
      </w:r>
    </w:p>
    <w:p w14:paraId="3625169F" w14:textId="77777777" w:rsidR="00A1618A" w:rsidRPr="00C56AE5" w:rsidRDefault="00A1618A" w:rsidP="00E5776A">
      <w:pPr>
        <w:spacing w:line="360" w:lineRule="auto"/>
        <w:rPr>
          <w:rFonts w:ascii="Arial" w:hAnsi="Arial" w:cs="Arial"/>
          <w:b/>
          <w:spacing w:val="-4"/>
          <w:sz w:val="26"/>
          <w:szCs w:val="26"/>
        </w:rPr>
      </w:pPr>
      <w:r w:rsidRPr="00C56AE5">
        <w:rPr>
          <w:rFonts w:ascii="Arial" w:hAnsi="Arial"/>
          <w:b/>
          <w:spacing w:val="-4"/>
          <w:sz w:val="26"/>
          <w:szCs w:val="26"/>
        </w:rPr>
        <w:t>en referencia al proyecto de Ley del Gobierno federal</w:t>
      </w:r>
    </w:p>
    <w:p w14:paraId="47E1A8FA" w14:textId="77777777" w:rsidR="00A1618A" w:rsidRPr="00C56AE5" w:rsidRDefault="00A1618A" w:rsidP="00E5776A">
      <w:pPr>
        <w:spacing w:after="240" w:line="360" w:lineRule="auto"/>
        <w:rPr>
          <w:rFonts w:ascii="Arial" w:hAnsi="Arial" w:cs="Arial"/>
          <w:b/>
          <w:spacing w:val="-4"/>
          <w:sz w:val="26"/>
          <w:szCs w:val="26"/>
        </w:rPr>
      </w:pPr>
      <w:r w:rsidRPr="00C56AE5">
        <w:rPr>
          <w:rFonts w:ascii="Arial" w:hAnsi="Arial"/>
          <w:b/>
          <w:spacing w:val="-4"/>
          <w:sz w:val="26"/>
          <w:szCs w:val="26"/>
        </w:rPr>
        <w:t xml:space="preserve">– Documento </w:t>
      </w:r>
      <w:r w:rsidRPr="00C56AE5">
        <w:rPr>
          <w:rStyle w:val="Marker"/>
          <w:b/>
          <w:spacing w:val="-4"/>
        </w:rPr>
        <w:t>[…]</w:t>
      </w:r>
      <w:r w:rsidRPr="00C56AE5">
        <w:rPr>
          <w:rFonts w:ascii="Arial" w:hAnsi="Arial"/>
          <w:b/>
          <w:spacing w:val="-4"/>
          <w:sz w:val="26"/>
          <w:szCs w:val="26"/>
        </w:rPr>
        <w:t xml:space="preserve"> –</w:t>
      </w:r>
    </w:p>
    <w:p w14:paraId="371C6925" w14:textId="77777777" w:rsidR="00A1618A" w:rsidRPr="00C56AE5" w:rsidRDefault="00A1618A" w:rsidP="00E5776A">
      <w:pPr>
        <w:spacing w:after="480" w:line="360" w:lineRule="auto"/>
        <w:rPr>
          <w:rStyle w:val="Marker"/>
          <w:spacing w:val="-4"/>
        </w:rPr>
      </w:pPr>
      <w:r w:rsidRPr="00C56AE5">
        <w:rPr>
          <w:rStyle w:val="Marker"/>
          <w:spacing w:val="-4"/>
        </w:rPr>
        <w:t>[…]</w:t>
      </w:r>
    </w:p>
    <w:p w14:paraId="57FA809D" w14:textId="77777777" w:rsidR="00A1618A" w:rsidRPr="00C56AE5" w:rsidRDefault="00A1618A" w:rsidP="00E5776A">
      <w:pPr>
        <w:spacing w:line="360" w:lineRule="auto"/>
        <w:rPr>
          <w:rFonts w:ascii="Arial" w:hAnsi="Arial" w:cs="Arial"/>
          <w:spacing w:val="-4"/>
          <w:sz w:val="22"/>
        </w:rPr>
      </w:pPr>
      <w:r w:rsidRPr="00C56AE5">
        <w:rPr>
          <w:rFonts w:ascii="Arial" w:hAnsi="Arial"/>
          <w:spacing w:val="-4"/>
          <w:sz w:val="22"/>
        </w:rPr>
        <w:t xml:space="preserve">El </w:t>
      </w:r>
      <w:proofErr w:type="spellStart"/>
      <w:r w:rsidRPr="00C56AE5">
        <w:rPr>
          <w:rFonts w:ascii="Arial" w:hAnsi="Arial"/>
          <w:spacing w:val="-4"/>
          <w:sz w:val="22"/>
        </w:rPr>
        <w:t>Bundestag</w:t>
      </w:r>
      <w:proofErr w:type="spellEnd"/>
      <w:r w:rsidRPr="00C56AE5">
        <w:rPr>
          <w:rFonts w:ascii="Arial" w:hAnsi="Arial"/>
          <w:spacing w:val="-4"/>
          <w:sz w:val="22"/>
        </w:rPr>
        <w:t xml:space="preserve"> resuelve:</w:t>
      </w:r>
    </w:p>
    <w:p w14:paraId="7B2A7215" w14:textId="5911DA34" w:rsidR="0063228E" w:rsidRPr="00C56AE5" w:rsidRDefault="00A1618A" w:rsidP="00E5776A">
      <w:pPr>
        <w:spacing w:line="360" w:lineRule="auto"/>
        <w:rPr>
          <w:rFonts w:ascii="Arial" w:hAnsi="Arial" w:cs="Arial"/>
          <w:spacing w:val="-4"/>
          <w:sz w:val="22"/>
        </w:rPr>
      </w:pPr>
      <w:r w:rsidRPr="00C56AE5">
        <w:rPr>
          <w:rFonts w:ascii="Arial" w:hAnsi="Arial"/>
          <w:spacing w:val="-4"/>
          <w:sz w:val="22"/>
        </w:rPr>
        <w:t xml:space="preserve">adoptar el proyecto de Ley en el documento </w:t>
      </w:r>
      <w:r w:rsidRPr="00C56AE5">
        <w:rPr>
          <w:rStyle w:val="Marker"/>
          <w:spacing w:val="-4"/>
        </w:rPr>
        <w:t>[…]</w:t>
      </w:r>
      <w:r w:rsidRPr="00C56AE5">
        <w:rPr>
          <w:rFonts w:ascii="Arial" w:hAnsi="Arial"/>
          <w:spacing w:val="-4"/>
          <w:sz w:val="22"/>
        </w:rPr>
        <w:t>, con las siguientes condiciones y, por lo demás, sin cambios:</w:t>
      </w:r>
    </w:p>
    <w:p w14:paraId="63DEEB82" w14:textId="1DF3B60D" w:rsidR="00A1618A" w:rsidRPr="00C56AE5" w:rsidRDefault="00A1618A" w:rsidP="00D44883">
      <w:pPr>
        <w:pStyle w:val="EmpfehlungNummerierungStufe1"/>
        <w:rPr>
          <w:spacing w:val="-4"/>
        </w:rPr>
      </w:pPr>
      <w:r w:rsidRPr="00C56AE5">
        <w:rPr>
          <w:spacing w:val="-4"/>
        </w:rPr>
        <w:t>después del artículo … , se añade el siguiente artículo …:</w:t>
      </w:r>
    </w:p>
    <w:p w14:paraId="299BD583" w14:textId="5B63D453" w:rsidR="00E5776A" w:rsidRPr="00C56AE5" w:rsidRDefault="00E5776A" w:rsidP="009C727B">
      <w:pPr>
        <w:pStyle w:val="RevisionArtikelBezeichnermanuell"/>
        <w:ind w:left="425" w:hanging="70"/>
        <w:rPr>
          <w:spacing w:val="-4"/>
        </w:rPr>
      </w:pPr>
      <w:r w:rsidRPr="00C56AE5">
        <w:rPr>
          <w:spacing w:val="-4"/>
        </w:rPr>
        <w:t xml:space="preserve">«Artículo </w:t>
      </w:r>
      <w:r w:rsidRPr="00C56AE5">
        <w:rPr>
          <w:rStyle w:val="Marker"/>
          <w:spacing w:val="-4"/>
        </w:rPr>
        <w:t>[…]</w:t>
      </w:r>
      <w:r w:rsidRPr="00C56AE5">
        <w:rPr>
          <w:rStyle w:val="FootnoteReference"/>
          <w:color w:val="0000FF"/>
          <w:spacing w:val="-4"/>
        </w:rPr>
        <w:footnoteReference w:customMarkFollows="1" w:id="1"/>
        <w:t>*</w:t>
      </w:r>
      <w:r w:rsidRPr="00C56AE5">
        <w:rPr>
          <w:rStyle w:val="FootnoteReference"/>
          <w:color w:val="0000FF"/>
          <w:spacing w:val="-4"/>
          <w:vertAlign w:val="baseline"/>
        </w:rPr>
        <w:t>)</w:t>
      </w:r>
      <w:r w:rsidRPr="00C56AE5">
        <w:rPr>
          <w:rStyle w:val="Marker"/>
          <w:spacing w:val="-4"/>
        </w:rPr>
        <w:t xml:space="preserve"> </w:t>
      </w:r>
    </w:p>
    <w:p w14:paraId="0353C7F8" w14:textId="06DB94DE" w:rsidR="00D879BF" w:rsidRPr="00C56AE5" w:rsidRDefault="00D879BF" w:rsidP="009C727B">
      <w:pPr>
        <w:pStyle w:val="RevisionArtikelberschrift"/>
        <w:ind w:left="425"/>
        <w:rPr>
          <w:spacing w:val="-4"/>
        </w:rPr>
      </w:pPr>
      <w:r w:rsidRPr="00C56AE5">
        <w:rPr>
          <w:b/>
          <w:spacing w:val="-4"/>
        </w:rPr>
        <w:t>Modificación de la Ley de ejecución relativa a las redes sociales</w:t>
      </w:r>
    </w:p>
    <w:p w14:paraId="17D06E04" w14:textId="3ADED5F0" w:rsidR="00A1618A" w:rsidRPr="00C56AE5" w:rsidRDefault="00A1618A" w:rsidP="0018171E">
      <w:pPr>
        <w:pStyle w:val="RevisionJuristischerAbsatzmanuell"/>
        <w:keepNext/>
        <w:tabs>
          <w:tab w:val="clear" w:pos="850"/>
          <w:tab w:val="left" w:pos="1275"/>
        </w:tabs>
        <w:ind w:left="425"/>
        <w:rPr>
          <w:spacing w:val="-4"/>
        </w:rPr>
      </w:pPr>
      <w:r w:rsidRPr="00C56AE5">
        <w:rPr>
          <w:spacing w:val="-4"/>
        </w:rPr>
        <w:t xml:space="preserve">La Ley de ejecución relativa a las redes sociales, de 1 de septiembre de 2017 (Boletín Oficial Federal, parte I, p. 3352), modificada por última vez por … [artículo 1 del proyecto de Ley relativa a la modificación de la Ley de ejecución relativa a las redes sociales, Documento 19/18792 del </w:t>
      </w:r>
      <w:proofErr w:type="spellStart"/>
      <w:r w:rsidRPr="00C56AE5">
        <w:rPr>
          <w:spacing w:val="-4"/>
        </w:rPr>
        <w:t>Bundestag</w:t>
      </w:r>
      <w:proofErr w:type="spellEnd"/>
      <w:r w:rsidRPr="00C56AE5">
        <w:rPr>
          <w:spacing w:val="-4"/>
        </w:rPr>
        <w:t>], se</w:t>
      </w:r>
      <w:r w:rsidR="00C56AE5">
        <w:rPr>
          <w:spacing w:val="-4"/>
        </w:rPr>
        <w:t> </w:t>
      </w:r>
      <w:r w:rsidRPr="00C56AE5">
        <w:rPr>
          <w:spacing w:val="-4"/>
        </w:rPr>
        <w:t>modifica como sigue:</w:t>
      </w:r>
    </w:p>
    <w:p w14:paraId="32195031" w14:textId="0D6EA219" w:rsidR="00A1618A" w:rsidRPr="00C56AE5" w:rsidRDefault="00A1618A" w:rsidP="00D44883">
      <w:pPr>
        <w:pStyle w:val="RevisionNummerierungStufe1"/>
        <w:tabs>
          <w:tab w:val="clear" w:pos="425"/>
        </w:tabs>
        <w:ind w:left="900" w:hanging="450"/>
        <w:rPr>
          <w:spacing w:val="-4"/>
        </w:rPr>
      </w:pPr>
      <w:r w:rsidRPr="00C56AE5">
        <w:rPr>
          <w:spacing w:val="-4"/>
        </w:rPr>
        <w:t xml:space="preserve">en el artículo 1, apartado 2, se sustituye la indicación </w:t>
      </w:r>
      <w:r w:rsidRPr="00C56AE5">
        <w:rPr>
          <w:rStyle w:val="RevisionText"/>
          <w:spacing w:val="-4"/>
        </w:rPr>
        <w:t xml:space="preserve">«artículos 2 a 3 </w:t>
      </w:r>
      <w:r w:rsidRPr="00C56AE5">
        <w:rPr>
          <w:rStyle w:val="RevisionText"/>
          <w:i/>
          <w:iCs/>
          <w:spacing w:val="-4"/>
        </w:rPr>
        <w:t>ter</w:t>
      </w:r>
      <w:r w:rsidRPr="00C56AE5">
        <w:rPr>
          <w:rStyle w:val="RevisionText"/>
          <w:spacing w:val="-4"/>
        </w:rPr>
        <w:t>»</w:t>
      </w:r>
      <w:r w:rsidRPr="00C56AE5">
        <w:rPr>
          <w:spacing w:val="-4"/>
        </w:rPr>
        <w:t xml:space="preserve"> por la indicación </w:t>
      </w:r>
      <w:r w:rsidRPr="00C56AE5">
        <w:rPr>
          <w:rStyle w:val="RevisionText"/>
          <w:spacing w:val="-4"/>
        </w:rPr>
        <w:t xml:space="preserve">«artículos 2 a 3 </w:t>
      </w:r>
      <w:r w:rsidRPr="00C56AE5">
        <w:rPr>
          <w:rStyle w:val="RevisionText"/>
          <w:i/>
          <w:iCs/>
          <w:spacing w:val="-4"/>
        </w:rPr>
        <w:t>ter</w:t>
      </w:r>
      <w:r w:rsidRPr="00C56AE5">
        <w:rPr>
          <w:rStyle w:val="RevisionText"/>
          <w:spacing w:val="-4"/>
        </w:rPr>
        <w:t xml:space="preserve"> y 5 </w:t>
      </w:r>
      <w:r w:rsidRPr="00C56AE5">
        <w:rPr>
          <w:rStyle w:val="RevisionText"/>
          <w:i/>
          <w:iCs/>
          <w:spacing w:val="-4"/>
        </w:rPr>
        <w:t>bis</w:t>
      </w:r>
      <w:r w:rsidRPr="00C56AE5">
        <w:rPr>
          <w:rStyle w:val="RevisionText"/>
          <w:spacing w:val="-4"/>
        </w:rPr>
        <w:t>»</w:t>
      </w:r>
      <w:r w:rsidRPr="00C56AE5">
        <w:rPr>
          <w:spacing w:val="-4"/>
        </w:rPr>
        <w:t>;</w:t>
      </w:r>
    </w:p>
    <w:p w14:paraId="10263F3F" w14:textId="0779D0EE" w:rsidR="00A1618A" w:rsidRPr="00C56AE5" w:rsidRDefault="00A1618A" w:rsidP="009C727B">
      <w:pPr>
        <w:pStyle w:val="RevisionNummerierungStufe1"/>
        <w:tabs>
          <w:tab w:val="clear" w:pos="425"/>
          <w:tab w:val="num" w:pos="850"/>
        </w:tabs>
        <w:ind w:left="850"/>
        <w:rPr>
          <w:spacing w:val="-4"/>
        </w:rPr>
      </w:pPr>
      <w:r w:rsidRPr="00C56AE5">
        <w:rPr>
          <w:spacing w:val="-4"/>
        </w:rPr>
        <w:t xml:space="preserve">en el artículo 2, apartado 2, punto 2, después de las palabras </w:t>
      </w:r>
      <w:r w:rsidRPr="00C56AE5">
        <w:rPr>
          <w:rStyle w:val="RevisionText"/>
          <w:spacing w:val="-4"/>
        </w:rPr>
        <w:t>«son asistidos»</w:t>
      </w:r>
      <w:r w:rsidRPr="00C56AE5">
        <w:rPr>
          <w:spacing w:val="-4"/>
        </w:rPr>
        <w:t xml:space="preserve">, se añaden las palabras </w:t>
      </w:r>
      <w:r w:rsidRPr="00C56AE5">
        <w:rPr>
          <w:rStyle w:val="RevisionText"/>
          <w:spacing w:val="-4"/>
        </w:rPr>
        <w:t>«y a los que se les concedió acceso a la información que posee el proveedor para este fin»</w:t>
      </w:r>
      <w:r w:rsidRPr="00C56AE5">
        <w:rPr>
          <w:spacing w:val="-4"/>
        </w:rPr>
        <w:t>;</w:t>
      </w:r>
    </w:p>
    <w:p w14:paraId="26550664" w14:textId="0FE945BB" w:rsidR="00A1618A" w:rsidRPr="00C56AE5" w:rsidRDefault="00A1618A" w:rsidP="0018171E">
      <w:pPr>
        <w:pStyle w:val="RevisionNummerierungStufe1"/>
        <w:keepNext/>
        <w:tabs>
          <w:tab w:val="clear" w:pos="425"/>
          <w:tab w:val="num" w:pos="850"/>
        </w:tabs>
        <w:ind w:left="850"/>
        <w:rPr>
          <w:spacing w:val="-4"/>
        </w:rPr>
      </w:pPr>
      <w:r w:rsidRPr="00C56AE5">
        <w:rPr>
          <w:spacing w:val="-4"/>
        </w:rPr>
        <w:t xml:space="preserve">después del artículo 5, se añade el siguiente artículo 5 </w:t>
      </w:r>
      <w:r w:rsidRPr="00C56AE5">
        <w:rPr>
          <w:i/>
          <w:iCs/>
          <w:spacing w:val="-4"/>
        </w:rPr>
        <w:t>bis</w:t>
      </w:r>
      <w:r w:rsidRPr="00C56AE5">
        <w:rPr>
          <w:spacing w:val="-4"/>
        </w:rPr>
        <w:t>:</w:t>
      </w:r>
    </w:p>
    <w:p w14:paraId="0324CC36" w14:textId="2F7FB129" w:rsidR="00D879BF" w:rsidRPr="00C56AE5" w:rsidRDefault="00D879BF" w:rsidP="009C727B">
      <w:pPr>
        <w:pStyle w:val="RevisionParagraphBezeichnermanuell"/>
        <w:ind w:left="850" w:hanging="90"/>
        <w:rPr>
          <w:spacing w:val="-4"/>
        </w:rPr>
      </w:pPr>
      <w:r w:rsidRPr="00C56AE5">
        <w:rPr>
          <w:spacing w:val="-4"/>
        </w:rPr>
        <w:t>"Artículo 5 </w:t>
      </w:r>
      <w:r w:rsidRPr="00C56AE5">
        <w:rPr>
          <w:i/>
          <w:iCs/>
          <w:spacing w:val="-4"/>
        </w:rPr>
        <w:t>bis</w:t>
      </w:r>
    </w:p>
    <w:p w14:paraId="726DC658" w14:textId="39CB7E5F" w:rsidR="00D879BF" w:rsidRPr="00C56AE5" w:rsidRDefault="00D879BF" w:rsidP="009C727B">
      <w:pPr>
        <w:pStyle w:val="RevisionParagraphberschrift"/>
        <w:ind w:left="850"/>
        <w:rPr>
          <w:spacing w:val="-4"/>
        </w:rPr>
      </w:pPr>
      <w:r w:rsidRPr="00C56AE5">
        <w:rPr>
          <w:spacing w:val="-4"/>
        </w:rPr>
        <w:t>Información para la investigación científica</w:t>
      </w:r>
    </w:p>
    <w:p w14:paraId="315707B1" w14:textId="77777777" w:rsidR="00D44883" w:rsidRPr="00C56AE5" w:rsidRDefault="00792014" w:rsidP="00D44883">
      <w:pPr>
        <w:pStyle w:val="RevisionJuristischerAbsatz"/>
        <w:numPr>
          <w:ilvl w:val="6"/>
          <w:numId w:val="37"/>
        </w:numPr>
        <w:tabs>
          <w:tab w:val="left" w:pos="1170"/>
        </w:tabs>
        <w:ind w:left="810" w:firstLine="360"/>
        <w:rPr>
          <w:spacing w:val="-4"/>
        </w:rPr>
      </w:pPr>
      <w:r w:rsidRPr="00C56AE5">
        <w:rPr>
          <w:spacing w:val="-4"/>
        </w:rPr>
        <w:t>A efectos de la presente disposición, por ‘investigador’ se entenderá toda persona física o jurídica que lleve a cabo una investigación científica.</w:t>
      </w:r>
    </w:p>
    <w:p w14:paraId="465DF5C8" w14:textId="0602B7EF" w:rsidR="003E7797" w:rsidRPr="00C56AE5" w:rsidRDefault="003E7797" w:rsidP="00D44883">
      <w:pPr>
        <w:pStyle w:val="RevisionJuristischerAbsatz"/>
        <w:numPr>
          <w:ilvl w:val="6"/>
          <w:numId w:val="37"/>
        </w:numPr>
        <w:tabs>
          <w:tab w:val="left" w:pos="1170"/>
        </w:tabs>
        <w:ind w:left="810" w:firstLine="360"/>
        <w:rPr>
          <w:spacing w:val="-4"/>
        </w:rPr>
      </w:pPr>
      <w:r w:rsidRPr="00C56AE5">
        <w:rPr>
          <w:spacing w:val="-4"/>
        </w:rPr>
        <w:t>Un investigador podrá solicitar información cualificada a un proveedor de redes sociales sobre:</w:t>
      </w:r>
    </w:p>
    <w:p w14:paraId="1DAACCE7" w14:textId="576C75C0" w:rsidR="003E7797" w:rsidRPr="00C56AE5" w:rsidRDefault="003E7797" w:rsidP="00D44883">
      <w:pPr>
        <w:pStyle w:val="RevisionNummerierungStufe1"/>
        <w:numPr>
          <w:ilvl w:val="3"/>
          <w:numId w:val="38"/>
        </w:numPr>
        <w:tabs>
          <w:tab w:val="clear" w:pos="425"/>
          <w:tab w:val="num" w:pos="1275"/>
        </w:tabs>
        <w:ind w:left="1260" w:hanging="450"/>
        <w:rPr>
          <w:spacing w:val="-4"/>
        </w:rPr>
      </w:pPr>
      <w:r w:rsidRPr="00C56AE5">
        <w:rPr>
          <w:spacing w:val="-4"/>
        </w:rPr>
        <w:lastRenderedPageBreak/>
        <w:t>la utilización y el funcionamiento específico de los procedimientos de detección automática de los contenidos que deben eliminarse o bloquearse, en particular la naturaleza y el alcance de las tecnologías utilizadas y los fines, criterios y parámetros de su programación, así como los datos utilizados;</w:t>
      </w:r>
    </w:p>
    <w:p w14:paraId="0606E651" w14:textId="77777777" w:rsidR="00D44883" w:rsidRPr="00C56AE5" w:rsidRDefault="003E7797" w:rsidP="00D44883">
      <w:pPr>
        <w:pStyle w:val="RevisionNummerierungStufe1"/>
        <w:tabs>
          <w:tab w:val="clear" w:pos="425"/>
          <w:tab w:val="num" w:pos="1275"/>
        </w:tabs>
        <w:ind w:left="1275"/>
        <w:rPr>
          <w:spacing w:val="-4"/>
        </w:rPr>
      </w:pPr>
      <w:r w:rsidRPr="00C56AE5">
        <w:rPr>
          <w:spacing w:val="-4"/>
        </w:rPr>
        <w:t>la difusión de contenidos que hayan sido objeto de quejas por contenidos ilegales o que hayan sido eliminados o bloqueados por el proveedor, en particular el contenido pertinente, así como información sobre qué usuarios han interactuado con el contenido y de qué manera.</w:t>
      </w:r>
    </w:p>
    <w:p w14:paraId="47E0B79C" w14:textId="77777777" w:rsidR="00D44883" w:rsidRPr="00C56AE5" w:rsidRDefault="003E7797" w:rsidP="00D44883">
      <w:pPr>
        <w:pStyle w:val="RevisionNummerierungStufe1"/>
        <w:numPr>
          <w:ilvl w:val="6"/>
          <w:numId w:val="37"/>
        </w:numPr>
        <w:ind w:left="810" w:firstLine="360"/>
        <w:rPr>
          <w:spacing w:val="-4"/>
        </w:rPr>
      </w:pPr>
      <w:r w:rsidRPr="00C56AE5">
        <w:rPr>
          <w:spacing w:val="-4"/>
        </w:rPr>
        <w:t>La información en virtud del apartado 2 solo podrá solicitarse en la medida en que sea necesaria para proyectos de investigación científica de interés público sobre la naturaleza, el alcance, las causas y los efectos de la comunicación pública en las redes sociales y el modo en que los proveedores la abordan.</w:t>
      </w:r>
    </w:p>
    <w:p w14:paraId="0D5D8322" w14:textId="28B521DC" w:rsidR="003B0970" w:rsidRPr="00C56AE5" w:rsidRDefault="003B0970" w:rsidP="00D44883">
      <w:pPr>
        <w:pStyle w:val="RevisionNummerierungStufe1"/>
        <w:numPr>
          <w:ilvl w:val="6"/>
          <w:numId w:val="37"/>
        </w:numPr>
        <w:ind w:left="810" w:firstLine="360"/>
        <w:rPr>
          <w:spacing w:val="-4"/>
        </w:rPr>
      </w:pPr>
      <w:r w:rsidRPr="00C56AE5">
        <w:rPr>
          <w:spacing w:val="-4"/>
        </w:rPr>
        <w:t>La información únicamente podrá proporcionarse si el investigador presenta un proyecto de protección al proveedor de la red social. El proyecto de protección incluirá:</w:t>
      </w:r>
    </w:p>
    <w:p w14:paraId="577C67EC" w14:textId="60CDC11C" w:rsidR="003B0970" w:rsidRPr="00C56AE5" w:rsidRDefault="003B0970" w:rsidP="00D44883">
      <w:pPr>
        <w:pStyle w:val="EmpfehlungNummerierungStufe3"/>
        <w:numPr>
          <w:ilvl w:val="3"/>
          <w:numId w:val="39"/>
        </w:numPr>
        <w:rPr>
          <w:color w:val="800000"/>
          <w:spacing w:val="-4"/>
        </w:rPr>
      </w:pPr>
      <w:r w:rsidRPr="00C56AE5">
        <w:rPr>
          <w:color w:val="800000"/>
          <w:spacing w:val="-4"/>
        </w:rPr>
        <w:t>una descripción de la información requerida para los fines de investigación de acuerdo con el apartado 3;</w:t>
      </w:r>
    </w:p>
    <w:p w14:paraId="5AABA7E4" w14:textId="3A66C314" w:rsidR="003B0970" w:rsidRPr="00C56AE5" w:rsidRDefault="003B0970" w:rsidP="00D44883">
      <w:pPr>
        <w:pStyle w:val="EmpfehlungNummerierungStufe3"/>
        <w:rPr>
          <w:color w:val="800000"/>
          <w:spacing w:val="-4"/>
        </w:rPr>
      </w:pPr>
      <w:r w:rsidRPr="00C56AE5">
        <w:rPr>
          <w:color w:val="800000"/>
          <w:spacing w:val="-4"/>
        </w:rPr>
        <w:t>una descripción del uso previsto de la información;</w:t>
      </w:r>
    </w:p>
    <w:p w14:paraId="0654C9E5" w14:textId="4D2A02B0" w:rsidR="003B0970" w:rsidRPr="00C56AE5" w:rsidRDefault="009A5C22" w:rsidP="00D44883">
      <w:pPr>
        <w:pStyle w:val="EmpfehlungNummerierungStufe3"/>
        <w:rPr>
          <w:color w:val="800000"/>
          <w:spacing w:val="-4"/>
        </w:rPr>
      </w:pPr>
      <w:r w:rsidRPr="00C56AE5">
        <w:rPr>
          <w:color w:val="800000"/>
          <w:spacing w:val="-4"/>
        </w:rPr>
        <w:t>una descripción de las precauciones tomadas para evitar que la información se utilice con otros fines;</w:t>
      </w:r>
    </w:p>
    <w:p w14:paraId="7DD21787" w14:textId="65E2C567" w:rsidR="003B0970" w:rsidRPr="00C56AE5" w:rsidRDefault="009A5C22" w:rsidP="00D44883">
      <w:pPr>
        <w:pStyle w:val="EmpfehlungNummerierungStufe3"/>
        <w:rPr>
          <w:color w:val="800000"/>
          <w:spacing w:val="-4"/>
        </w:rPr>
      </w:pPr>
      <w:r w:rsidRPr="00C56AE5">
        <w:rPr>
          <w:color w:val="800000"/>
          <w:spacing w:val="-4"/>
        </w:rPr>
        <w:t>una descripción de las medidas para proteger los intereses legítimos del proveedor; y</w:t>
      </w:r>
    </w:p>
    <w:p w14:paraId="7FDD7EDD" w14:textId="6C7443DB" w:rsidR="003B0970" w:rsidRPr="00C56AE5" w:rsidRDefault="003B0970" w:rsidP="00D44883">
      <w:pPr>
        <w:pStyle w:val="EmpfehlungNummerierungStufe3"/>
        <w:rPr>
          <w:color w:val="800000"/>
          <w:spacing w:val="-4"/>
        </w:rPr>
      </w:pPr>
      <w:r w:rsidRPr="00C56AE5">
        <w:rPr>
          <w:color w:val="800000"/>
          <w:spacing w:val="-4"/>
        </w:rPr>
        <w:t>una descripción de las medidas técnicas y organizativas adoptadas para garantizar la protección de los datos personales.</w:t>
      </w:r>
    </w:p>
    <w:p w14:paraId="6F58E8FB" w14:textId="7863B11B" w:rsidR="003B0970" w:rsidRPr="00C56AE5" w:rsidRDefault="003B0970" w:rsidP="009C727B">
      <w:pPr>
        <w:pStyle w:val="RevisionJuristischerAbsatzFolgeabsatz"/>
        <w:ind w:left="850"/>
        <w:rPr>
          <w:spacing w:val="-4"/>
        </w:rPr>
      </w:pPr>
      <w:r w:rsidRPr="00C56AE5">
        <w:rPr>
          <w:spacing w:val="-4"/>
        </w:rPr>
        <w:t>El proyecto de protección deberá presentarse a la autoridad de control encargada de la protección de datos competente al mismo tiempo que la solicitud de información.</w:t>
      </w:r>
    </w:p>
    <w:p w14:paraId="4D175D2B" w14:textId="03C196CE" w:rsidR="009C0AFB" w:rsidRPr="00C56AE5" w:rsidRDefault="003E7797" w:rsidP="00D44883">
      <w:pPr>
        <w:pStyle w:val="RevisionJuristischerAbsatz"/>
        <w:keepNext/>
        <w:numPr>
          <w:ilvl w:val="6"/>
          <w:numId w:val="40"/>
        </w:numPr>
        <w:ind w:left="810" w:firstLine="360"/>
        <w:rPr>
          <w:spacing w:val="-4"/>
        </w:rPr>
      </w:pPr>
      <w:r w:rsidRPr="00C56AE5">
        <w:rPr>
          <w:spacing w:val="-4"/>
        </w:rPr>
        <w:t>El proveedor de una red social podrá negarse a proporcionar información si:</w:t>
      </w:r>
    </w:p>
    <w:p w14:paraId="20E7290B" w14:textId="1403DA61" w:rsidR="009C0AFB" w:rsidRPr="00C56AE5" w:rsidRDefault="003E7797" w:rsidP="00D44883">
      <w:pPr>
        <w:pStyle w:val="EmpfehlungNummerierungStufe3"/>
        <w:numPr>
          <w:ilvl w:val="3"/>
          <w:numId w:val="41"/>
        </w:numPr>
        <w:rPr>
          <w:color w:val="800000"/>
          <w:spacing w:val="-4"/>
        </w:rPr>
      </w:pPr>
      <w:r w:rsidRPr="00C56AE5">
        <w:rPr>
          <w:color w:val="800000"/>
          <w:spacing w:val="-4"/>
        </w:rPr>
        <w:t>sus intereses legítimos superan considerablemente el interés público de la investigación; o</w:t>
      </w:r>
    </w:p>
    <w:p w14:paraId="0330033E" w14:textId="544CB962" w:rsidR="003E7797" w:rsidRPr="00C56AE5" w:rsidRDefault="003E7797" w:rsidP="00D44883">
      <w:pPr>
        <w:pStyle w:val="EmpfehlungNummerierungStufe3"/>
        <w:rPr>
          <w:color w:val="800000"/>
          <w:spacing w:val="-4"/>
        </w:rPr>
      </w:pPr>
      <w:r w:rsidRPr="00C56AE5">
        <w:rPr>
          <w:color w:val="800000"/>
          <w:spacing w:val="-4"/>
        </w:rPr>
        <w:t>los intereses legítimos de las personas afectadas se ven perjudicados y el interés público de la investigación no supera el interés de confidencialidad de las personas en cuestión.</w:t>
      </w:r>
    </w:p>
    <w:p w14:paraId="63F909E8" w14:textId="67B08A8B" w:rsidR="00D969A6" w:rsidRPr="00C56AE5" w:rsidRDefault="00D969A6" w:rsidP="00115E38">
      <w:pPr>
        <w:pStyle w:val="RevisionJuristischerAbsatz"/>
        <w:keepNext/>
        <w:numPr>
          <w:ilvl w:val="6"/>
          <w:numId w:val="42"/>
        </w:numPr>
        <w:ind w:left="810" w:firstLine="360"/>
        <w:rPr>
          <w:spacing w:val="-4"/>
        </w:rPr>
      </w:pPr>
      <w:r w:rsidRPr="00C56AE5">
        <w:rPr>
          <w:spacing w:val="-4"/>
        </w:rPr>
        <w:t>El proveedor de la red social podrá transmitir los siguientes datos personales con el fin de proporcionar información de acuerdo con el apartado 2:</w:t>
      </w:r>
    </w:p>
    <w:p w14:paraId="63FE05D0" w14:textId="1ABFB4BC" w:rsidR="00D969A6" w:rsidRPr="00C56AE5" w:rsidRDefault="00D969A6" w:rsidP="00115E38">
      <w:pPr>
        <w:pStyle w:val="EmpfehlungNummerierungStufe3"/>
        <w:numPr>
          <w:ilvl w:val="3"/>
          <w:numId w:val="43"/>
        </w:numPr>
        <w:rPr>
          <w:color w:val="800000"/>
          <w:spacing w:val="-4"/>
        </w:rPr>
      </w:pPr>
      <w:r w:rsidRPr="00C56AE5">
        <w:rPr>
          <w:color w:val="800000"/>
          <w:spacing w:val="-4"/>
        </w:rPr>
        <w:t>los contenidos difundidos;</w:t>
      </w:r>
    </w:p>
    <w:p w14:paraId="2331E910" w14:textId="7E2B248A" w:rsidR="00D969A6" w:rsidRPr="00C56AE5" w:rsidRDefault="00D969A6" w:rsidP="00D44883">
      <w:pPr>
        <w:pStyle w:val="EmpfehlungNummerierungStufe3"/>
        <w:rPr>
          <w:color w:val="800000"/>
          <w:spacing w:val="-4"/>
        </w:rPr>
      </w:pPr>
      <w:r w:rsidRPr="00C56AE5">
        <w:rPr>
          <w:color w:val="800000"/>
          <w:spacing w:val="-4"/>
        </w:rPr>
        <w:t>las quejas sobre contenidos ilegales;</w:t>
      </w:r>
    </w:p>
    <w:p w14:paraId="4CC6BEE3" w14:textId="48B4D2C4" w:rsidR="00D969A6" w:rsidRPr="00C56AE5" w:rsidRDefault="00D969A6" w:rsidP="00D44883">
      <w:pPr>
        <w:pStyle w:val="EmpfehlungNummerierungStufe3"/>
        <w:rPr>
          <w:color w:val="800000"/>
          <w:spacing w:val="-4"/>
        </w:rPr>
      </w:pPr>
      <w:r w:rsidRPr="00C56AE5">
        <w:rPr>
          <w:color w:val="800000"/>
          <w:spacing w:val="-4"/>
        </w:rPr>
        <w:t>los nombres de usuario de los implicados en la difusión;</w:t>
      </w:r>
    </w:p>
    <w:p w14:paraId="7F95ED84" w14:textId="6E103565" w:rsidR="00D969A6" w:rsidRPr="00C56AE5" w:rsidRDefault="00D969A6" w:rsidP="00D44883">
      <w:pPr>
        <w:pStyle w:val="EmpfehlungNummerierungStufe3"/>
        <w:rPr>
          <w:color w:val="800000"/>
          <w:spacing w:val="-4"/>
        </w:rPr>
      </w:pPr>
      <w:r w:rsidRPr="00C56AE5">
        <w:rPr>
          <w:color w:val="800000"/>
          <w:spacing w:val="-4"/>
        </w:rPr>
        <w:t>las circunstancias de las interacciones de los participantes en la difusión con respecto a los respectivos contenidos; y</w:t>
      </w:r>
    </w:p>
    <w:p w14:paraId="35C5E61A" w14:textId="08449E2C" w:rsidR="00D969A6" w:rsidRPr="00C56AE5" w:rsidRDefault="00D969A6" w:rsidP="00D44883">
      <w:pPr>
        <w:pStyle w:val="EmpfehlungNummerierungStufe3"/>
        <w:rPr>
          <w:color w:val="800000"/>
          <w:spacing w:val="-4"/>
        </w:rPr>
      </w:pPr>
      <w:r w:rsidRPr="00C56AE5">
        <w:rPr>
          <w:color w:val="800000"/>
          <w:spacing w:val="-4"/>
        </w:rPr>
        <w:lastRenderedPageBreak/>
        <w:t>los datos de formación de procedimientos de detección automática de los contenidos que deben eliminarse o bloquearse, así como información sobre el modo de funcionamiento, los fines, los criterios y los parámetros de programación de tales procedimientos.</w:t>
      </w:r>
    </w:p>
    <w:p w14:paraId="041944BF" w14:textId="44C7953A" w:rsidR="00D969A6" w:rsidRPr="00C56AE5" w:rsidRDefault="00D969A6" w:rsidP="009C727B">
      <w:pPr>
        <w:pStyle w:val="RevisionJuristischerAbsatzFolgeabsatz"/>
        <w:ind w:left="850"/>
        <w:rPr>
          <w:spacing w:val="-4"/>
        </w:rPr>
      </w:pPr>
      <w:r w:rsidRPr="00C56AE5">
        <w:rPr>
          <w:spacing w:val="-4"/>
        </w:rPr>
        <w:t>Los datos se transmitirán de forma anónima o, al menos, con seudónimos, en la medida en que ello sea posible sin poner en riesgo la finalidad de la investigación.</w:t>
      </w:r>
    </w:p>
    <w:p w14:paraId="7D3CE5DF" w14:textId="77777777" w:rsidR="00115E38" w:rsidRPr="00C56AE5" w:rsidRDefault="00D969A6" w:rsidP="00115E38">
      <w:pPr>
        <w:pStyle w:val="RevisionJuristischerAbsatz"/>
        <w:numPr>
          <w:ilvl w:val="6"/>
          <w:numId w:val="44"/>
        </w:numPr>
        <w:ind w:left="810" w:firstLine="360"/>
        <w:rPr>
          <w:spacing w:val="-4"/>
        </w:rPr>
      </w:pPr>
      <w:r w:rsidRPr="00C56AE5">
        <w:rPr>
          <w:spacing w:val="-4"/>
        </w:rPr>
        <w:t>El investigador solamente podrá tratar los datos para los fines de los proyectos de investigación científica mencionados en el apartado 3. En la medida en que se traten las categorías especiales de datos en el sentido del artículo 9, apartado 1, del Reglamento (UE) n.º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 DO L 314 de 22.11.2016, p. 72; DO L 127 de 23.5.2018, p. 2), en su correspondiente versión vigente, el investigador deberá adoptar medidas adecuadas y específicas para este fin, con el objetivo de salvaguardar los intereses de las personas en cuestión de conformidad con el artículo 22, apartado 2, frase segunda, de la Ley federal de protección de datos. Además de las medidas mencionadas en ahí mencionadas, los datos según el artículo 9, apartado 1, del Reglamento (UE) n.º 2016/679 deberán anonimizarse, en cuanto sea posible, en función del objetivo de la investigación. Las demás disposiciones en materia de protección de datos permanecen inalterados.</w:t>
      </w:r>
    </w:p>
    <w:p w14:paraId="1627C846" w14:textId="0BC41A98" w:rsidR="0063228E" w:rsidRPr="00C56AE5" w:rsidRDefault="00D969A6" w:rsidP="00115E38">
      <w:pPr>
        <w:pStyle w:val="RevisionJuristischerAbsatz"/>
        <w:numPr>
          <w:ilvl w:val="6"/>
          <w:numId w:val="44"/>
        </w:numPr>
        <w:ind w:left="810" w:firstLine="360"/>
        <w:rPr>
          <w:spacing w:val="-4"/>
        </w:rPr>
      </w:pPr>
      <w:r w:rsidRPr="00C56AE5">
        <w:rPr>
          <w:spacing w:val="-4"/>
        </w:rPr>
        <w:t xml:space="preserve">El proveedor de una red social tendrá derecho a que el investigador le reembolse, en un importe razonable, los costes en los que haya incurrido al proporcionar la información en virtud del apartado 2. Para determinar el nivel adecuado, se tendrá en cuenta que los costes no deben constituir un obstáculo sustancial para el ejercicio del derecho de información. El artículo 287, apartado 1, del Código de Procedimiento Civil se aplicará </w:t>
      </w:r>
      <w:r w:rsidRPr="00C56AE5">
        <w:rPr>
          <w:i/>
          <w:iCs/>
          <w:spacing w:val="-4"/>
        </w:rPr>
        <w:t>mutatis mutandis</w:t>
      </w:r>
      <w:r w:rsidRPr="00C56AE5">
        <w:rPr>
          <w:spacing w:val="-4"/>
        </w:rPr>
        <w:t>. Los costes reembolsables podrán ascender a un importe máximo de 5 000 EUR. Este importe solo podrá superarse si el suministro de la información supone un coste excepcionalmente elevado. Tras la presentación del plan de protección de acuerdo con el apartado 4, el investigador podrá exigir al proveedor que presente un presupuesto gratuito en un plazo razonable.".»;</w:t>
      </w:r>
    </w:p>
    <w:p w14:paraId="36342A1E" w14:textId="099F92EE" w:rsidR="0063228E" w:rsidRPr="00C56AE5" w:rsidRDefault="00482E04" w:rsidP="0018171E">
      <w:pPr>
        <w:pStyle w:val="EmpfehlungNummerierungStufe1"/>
        <w:keepNext/>
        <w:rPr>
          <w:spacing w:val="-4"/>
        </w:rPr>
      </w:pPr>
      <w:r w:rsidRPr="00C56AE5">
        <w:rPr>
          <w:spacing w:val="-4"/>
        </w:rPr>
        <w:lastRenderedPageBreak/>
        <w:t xml:space="preserve">el artículo </w:t>
      </w:r>
      <w:r w:rsidRPr="00C56AE5">
        <w:rPr>
          <w:rStyle w:val="Marker"/>
          <w:spacing w:val="-4"/>
        </w:rPr>
        <w:t>[…]</w:t>
      </w:r>
      <w:r w:rsidRPr="00C56AE5">
        <w:rPr>
          <w:spacing w:val="-4"/>
        </w:rPr>
        <w:t xml:space="preserve"> se reformula como sigue:</w:t>
      </w:r>
    </w:p>
    <w:p w14:paraId="49D47905" w14:textId="31CE6EC1" w:rsidR="00173C16" w:rsidRPr="00C56AE5" w:rsidRDefault="00173C16" w:rsidP="009C727B">
      <w:pPr>
        <w:pStyle w:val="RevisionArtikelBezeichnermanuell"/>
        <w:ind w:left="425" w:hanging="90"/>
        <w:rPr>
          <w:spacing w:val="-4"/>
        </w:rPr>
      </w:pPr>
      <w:r w:rsidRPr="00C56AE5">
        <w:rPr>
          <w:spacing w:val="-4"/>
        </w:rPr>
        <w:t xml:space="preserve">«Artículo </w:t>
      </w:r>
      <w:r w:rsidRPr="00C56AE5">
        <w:rPr>
          <w:rStyle w:val="Marker"/>
          <w:spacing w:val="-4"/>
        </w:rPr>
        <w:t>[…]</w:t>
      </w:r>
    </w:p>
    <w:p w14:paraId="577BA21A" w14:textId="3EB5AE99" w:rsidR="00173C16" w:rsidRPr="00C56AE5" w:rsidRDefault="00173C16" w:rsidP="009C727B">
      <w:pPr>
        <w:pStyle w:val="RevisionArtikelberschrift"/>
        <w:ind w:left="425"/>
        <w:rPr>
          <w:spacing w:val="-4"/>
        </w:rPr>
      </w:pPr>
      <w:r w:rsidRPr="00C56AE5">
        <w:rPr>
          <w:rStyle w:val="Marker"/>
          <w:spacing w:val="-4"/>
        </w:rPr>
        <w:t>[…]</w:t>
      </w:r>
    </w:p>
    <w:p w14:paraId="5AF7FB2C" w14:textId="090B4924" w:rsidR="00173C16" w:rsidRPr="00C56AE5" w:rsidRDefault="00173C16" w:rsidP="00C56AE5">
      <w:pPr>
        <w:pStyle w:val="RevisionJuristischerAbsatzmanuell"/>
        <w:keepNext/>
        <w:keepLines/>
        <w:tabs>
          <w:tab w:val="clear" w:pos="850"/>
          <w:tab w:val="left" w:pos="1275"/>
        </w:tabs>
        <w:ind w:left="425"/>
        <w:rPr>
          <w:spacing w:val="-4"/>
        </w:rPr>
      </w:pPr>
      <w:r w:rsidRPr="00C56AE5">
        <w:rPr>
          <w:spacing w:val="-4"/>
        </w:rPr>
        <w:t xml:space="preserve">... </w:t>
      </w:r>
      <w:r w:rsidRPr="00C56AE5">
        <w:rPr>
          <w:rStyle w:val="Marker"/>
          <w:spacing w:val="-4"/>
        </w:rPr>
        <w:t>[en su caso, reglamentación de entrada en vigor independiente]</w:t>
      </w:r>
      <w:r w:rsidRPr="00C56AE5">
        <w:rPr>
          <w:spacing w:val="-4"/>
        </w:rPr>
        <w:t xml:space="preserve"> ...»</w:t>
      </w:r>
      <w:r w:rsidRPr="00C56AE5">
        <w:rPr>
          <w:color w:val="auto"/>
          <w:spacing w:val="-4"/>
        </w:rPr>
        <w:t>.</w:t>
      </w:r>
    </w:p>
    <w:p w14:paraId="2CDAA614" w14:textId="1C885BBD" w:rsidR="00A1618A" w:rsidRPr="00C56AE5" w:rsidRDefault="00A1618A" w:rsidP="009F08C0">
      <w:pPr>
        <w:pStyle w:val="EinzelbegrndungTitel"/>
        <w:rPr>
          <w:spacing w:val="-4"/>
        </w:rPr>
      </w:pPr>
      <w:r w:rsidRPr="00C56AE5">
        <w:rPr>
          <w:spacing w:val="-4"/>
        </w:rPr>
        <w:t>Exposición de motivos</w:t>
      </w:r>
    </w:p>
    <w:p w14:paraId="5B2223BB" w14:textId="271DB07E" w:rsidR="009F08C0" w:rsidRPr="00C56AE5" w:rsidRDefault="009F08C0" w:rsidP="0018171E">
      <w:pPr>
        <w:pStyle w:val="Text"/>
        <w:keepNext/>
        <w:rPr>
          <w:rStyle w:val="Marker"/>
          <w:b/>
          <w:color w:val="auto"/>
          <w:spacing w:val="-4"/>
        </w:rPr>
      </w:pPr>
      <w:r w:rsidRPr="00C56AE5">
        <w:rPr>
          <w:rStyle w:val="Marker"/>
          <w:b/>
          <w:color w:val="auto"/>
          <w:spacing w:val="-4"/>
        </w:rPr>
        <w:t xml:space="preserve">En relación con el punto 1 </w:t>
      </w:r>
    </w:p>
    <w:p w14:paraId="47C1AE4D" w14:textId="77777777" w:rsidR="00D969A6" w:rsidRPr="00C56AE5" w:rsidRDefault="00D969A6" w:rsidP="00C56AE5">
      <w:pPr>
        <w:pStyle w:val="Text"/>
        <w:keepNext/>
        <w:keepLines/>
        <w:rPr>
          <w:rStyle w:val="Marker"/>
          <w:color w:val="auto"/>
          <w:spacing w:val="-4"/>
        </w:rPr>
      </w:pPr>
      <w:r w:rsidRPr="00C56AE5">
        <w:rPr>
          <w:rStyle w:val="Marker"/>
          <w:color w:val="auto"/>
          <w:spacing w:val="-4"/>
        </w:rPr>
        <w:t xml:space="preserve">Los debates políticos y los procesos de formación de opinión se producen cada vez más en el espacio digital y en los medios sociales. El proceso de comunicación que tiene lugar ahí, ahora, es de considerable importancia para la formación de la opinión pública. Por ejemplo, el acceso a determinados medios sociales, que, debido a su importancia, constituyen un medio que no puede sustituirse fácilmente, puede ser de mayor importancia para la difusión de ideas y programas políticos (véase Tribunal Constitucional Federal, Orden provisional de 22 de mayo de 2019 – 1 </w:t>
      </w:r>
      <w:proofErr w:type="spellStart"/>
      <w:r w:rsidRPr="00C56AE5">
        <w:rPr>
          <w:rStyle w:val="Marker"/>
          <w:color w:val="auto"/>
          <w:spacing w:val="-4"/>
        </w:rPr>
        <w:t>BvQ</w:t>
      </w:r>
      <w:proofErr w:type="spellEnd"/>
      <w:r w:rsidRPr="00C56AE5">
        <w:rPr>
          <w:rStyle w:val="Marker"/>
          <w:color w:val="auto"/>
          <w:spacing w:val="-4"/>
        </w:rPr>
        <w:t> 42/19 –, apartado 19).</w:t>
      </w:r>
    </w:p>
    <w:p w14:paraId="6C4892FE" w14:textId="77777777" w:rsidR="00D969A6" w:rsidRPr="00C56AE5" w:rsidRDefault="00D969A6" w:rsidP="00D969A6">
      <w:pPr>
        <w:pStyle w:val="Text"/>
        <w:rPr>
          <w:rStyle w:val="Marker"/>
          <w:color w:val="auto"/>
          <w:spacing w:val="-4"/>
        </w:rPr>
      </w:pPr>
      <w:r w:rsidRPr="00C56AE5">
        <w:rPr>
          <w:rStyle w:val="Marker"/>
          <w:color w:val="auto"/>
          <w:spacing w:val="-4"/>
        </w:rPr>
        <w:t>Por esta razón, existe un considerable interés público en permitir más transparencia sobre el funcionamiento de las respectivas plataformas y el correspondiente proceso de distribución de contenidos, así como en permitir la obtención de resultados de investigación independientes al respecto.</w:t>
      </w:r>
    </w:p>
    <w:p w14:paraId="373BFE01" w14:textId="385D0837" w:rsidR="00D969A6" w:rsidRPr="00C56AE5" w:rsidRDefault="00D969A6" w:rsidP="00C56AE5">
      <w:pPr>
        <w:pStyle w:val="Text"/>
        <w:spacing w:before="40" w:after="40" w:line="233" w:lineRule="auto"/>
        <w:rPr>
          <w:rStyle w:val="Marker"/>
          <w:color w:val="auto"/>
          <w:spacing w:val="-4"/>
        </w:rPr>
      </w:pPr>
      <w:r w:rsidRPr="00C56AE5">
        <w:rPr>
          <w:rStyle w:val="Marker"/>
          <w:color w:val="auto"/>
          <w:spacing w:val="-4"/>
        </w:rPr>
        <w:t xml:space="preserve">Esto se refiere, por un lado, a la cuestión de que los criterios utilizados por los proveedores para decidir la posibilidad de usar su plataforma y permitir o restringir la posibilidad de difundir contenidos en ella. La cuestión de cómo los principales proveedores, que son importantes para el discurso público, tratan las quejas sobre contenidos ilegales, por ejemplo, y de qué otra manera se toman las decisiones sobre las restricciones a la difusión de contenidos, es una preocupación pública significativa debido a la importancia de los principales proveedores (véase ya el Documento 19/18792 del </w:t>
      </w:r>
      <w:proofErr w:type="spellStart"/>
      <w:r w:rsidRPr="00C56AE5">
        <w:rPr>
          <w:rStyle w:val="Marker"/>
          <w:color w:val="auto"/>
          <w:spacing w:val="-4"/>
        </w:rPr>
        <w:t>Bundestag</w:t>
      </w:r>
      <w:proofErr w:type="spellEnd"/>
      <w:r w:rsidRPr="00C56AE5">
        <w:rPr>
          <w:rStyle w:val="Marker"/>
          <w:color w:val="auto"/>
          <w:spacing w:val="-4"/>
        </w:rPr>
        <w:t>, p. 42). Solo con la transparencia adecuada a este respecto puede el público en general entender por qué y de qué manera se restringen ciertos contenidos en su difusión. En este contexto, deberá tenerse en cuenta que las decisiones de moderación correspondientes, hoy en día, a menudo se toman con la ayuda de complejos procedimientos automáticos. Facebook, por ejemplo, informa de que, entretanto, los contenidos registrados como «</w:t>
      </w:r>
      <w:proofErr w:type="spellStart"/>
      <w:r w:rsidRPr="00C56AE5">
        <w:rPr>
          <w:rStyle w:val="Marker"/>
          <w:color w:val="auto"/>
          <w:spacing w:val="-4"/>
        </w:rPr>
        <w:t>Hate</w:t>
      </w:r>
      <w:proofErr w:type="spellEnd"/>
      <w:r w:rsidRPr="00C56AE5">
        <w:rPr>
          <w:rStyle w:val="Marker"/>
          <w:color w:val="auto"/>
          <w:spacing w:val="-4"/>
        </w:rPr>
        <w:t xml:space="preserve"> </w:t>
      </w:r>
      <w:proofErr w:type="spellStart"/>
      <w:r w:rsidRPr="00C56AE5">
        <w:rPr>
          <w:rStyle w:val="Marker"/>
          <w:color w:val="auto"/>
          <w:spacing w:val="-4"/>
        </w:rPr>
        <w:t>Speech</w:t>
      </w:r>
      <w:proofErr w:type="spellEnd"/>
      <w:r w:rsidRPr="00C56AE5">
        <w:rPr>
          <w:rStyle w:val="Marker"/>
          <w:color w:val="auto"/>
          <w:spacing w:val="-4"/>
        </w:rPr>
        <w:t xml:space="preserve">», en el sentido de las denominadas «normas comunitarias», son detectados predominantemente por el propio proveedor con la ayuda de soluciones tecnológicas (véase https://transparency.facebook.com/community-standards-enforcement#hate-speech; consultado el 12 de octubre de 2020). Con el objetivo de poder crear transparencia para el público en general con respecto a los procesos subyacentes —en parte, técnicamente complejos—, constituye, por tanto, una preocupación importante que la ciencia y la investigación puedan comprender el uso de procedimientos para la detección automatizada de contenidos, en la medida en que estos deban ser eliminados o bloqueados (véase el Documento 19/18792 del </w:t>
      </w:r>
      <w:proofErr w:type="spellStart"/>
      <w:r w:rsidRPr="00C56AE5">
        <w:rPr>
          <w:rStyle w:val="Marker"/>
          <w:color w:val="auto"/>
          <w:spacing w:val="-4"/>
        </w:rPr>
        <w:t>Bundestag</w:t>
      </w:r>
      <w:proofErr w:type="spellEnd"/>
      <w:r w:rsidRPr="00C56AE5">
        <w:rPr>
          <w:rStyle w:val="Marker"/>
          <w:color w:val="auto"/>
          <w:spacing w:val="-4"/>
        </w:rPr>
        <w:t>, p. 43). En este sentido, no es suficiente que la ciencia y la investigación puedan confiar en la información general incluida en los informes de transparencia según el artículo 2 de la Ley de ejecución relativa a las redes sociales, que sirven para informar a un público amplio. Ello se debe a que, para los fines de la ciencia y la investigación, no solo se requiere esa información general o agregada, sino también información más detallada y datos brutos (por ejemplo, el contenido mencionado explícitamente en el apartado 6, su respectivo contexto y los datos de formación de los procedimientos automáticos), con el objetivo de obtener conocimientos científicamente sólidos e independientes sobre los procedimientos en cuestión de detección automática de contenidos.</w:t>
      </w:r>
    </w:p>
    <w:p w14:paraId="138C3D37" w14:textId="032BC65F" w:rsidR="00D969A6" w:rsidRPr="00012054" w:rsidRDefault="00D969A6" w:rsidP="00D969A6">
      <w:pPr>
        <w:pStyle w:val="Text"/>
        <w:rPr>
          <w:rStyle w:val="Marker"/>
          <w:color w:val="auto"/>
          <w:spacing w:val="-6"/>
        </w:rPr>
      </w:pPr>
      <w:r w:rsidRPr="00012054">
        <w:rPr>
          <w:rStyle w:val="Marker"/>
          <w:color w:val="auto"/>
          <w:spacing w:val="-6"/>
        </w:rPr>
        <w:lastRenderedPageBreak/>
        <w:t>Otra cuestión importante se refiere a la trazabilidad de la difusión de contenidos ilegales. De acuerdo con la situación jurídica actual, la gestión de quejas de la Ley de ejecución relativa a las redes sociales se refiere a los contenidos específicos objeto de reclamación mediante una queja sobre contenidos ilegales. No obstante, a veces, los contenidos de las redes sociales pueden difundirse a gran velocidad y de forma considerable entre una gran variedad de usuarios. De este modo, las infracciones pueden repetirse y la intensidad del impacto de la difusión de contenidos ilegales puede aumentar de manera significativa. Debido a la considerable importancia que tienen los procesos de comunicación que tienen lugar en las principales redes sociales, para la sociedad en general, con respecto a la formación de la opinión pública, es importante comprender cómo se difunden o se han difundido en las redes sociales los contenidos que finalmente fueron eliminados por el proveedor o que fueron objetado de reclamación ante el proveedor por ser ilegales, también para que las partes interesadas puedan tomar medidas más eficaces contra la difusión de contenidos ilegales sobre la base de un conocimiento más profundo de los mecanismos de difusión.</w:t>
      </w:r>
    </w:p>
    <w:p w14:paraId="06151A16" w14:textId="5B551E2D" w:rsidR="00D969A6" w:rsidRPr="00C56AE5" w:rsidRDefault="00D969A6" w:rsidP="00D969A6">
      <w:pPr>
        <w:pStyle w:val="Text"/>
        <w:rPr>
          <w:rStyle w:val="Marker"/>
          <w:color w:val="auto"/>
          <w:spacing w:val="-4"/>
        </w:rPr>
      </w:pPr>
      <w:r w:rsidRPr="00C56AE5">
        <w:rPr>
          <w:rStyle w:val="Marker"/>
          <w:color w:val="auto"/>
          <w:spacing w:val="-4"/>
        </w:rPr>
        <w:t xml:space="preserve">El artículo 5 </w:t>
      </w:r>
      <w:r w:rsidRPr="00C56AE5">
        <w:rPr>
          <w:rStyle w:val="Marker"/>
          <w:i/>
          <w:iCs/>
          <w:color w:val="auto"/>
          <w:spacing w:val="-4"/>
        </w:rPr>
        <w:t>bis</w:t>
      </w:r>
      <w:r w:rsidRPr="00C56AE5">
        <w:rPr>
          <w:rStyle w:val="Marker"/>
          <w:color w:val="auto"/>
          <w:spacing w:val="-4"/>
        </w:rPr>
        <w:t xml:space="preserve"> de la Ley de ejecución relativa a las redes sociales garantiza que las instituciones de investigación y los investigadores reciban los datos necesarios.</w:t>
      </w:r>
    </w:p>
    <w:p w14:paraId="72966CD2" w14:textId="29B9B32B" w:rsidR="00D969A6" w:rsidRPr="00C56AE5" w:rsidRDefault="00D969A6" w:rsidP="00D969A6">
      <w:pPr>
        <w:pStyle w:val="Text"/>
        <w:rPr>
          <w:rStyle w:val="Marker"/>
          <w:color w:val="auto"/>
          <w:spacing w:val="-4"/>
        </w:rPr>
      </w:pPr>
      <w:r w:rsidRPr="00C56AE5">
        <w:rPr>
          <w:rStyle w:val="Marker"/>
          <w:color w:val="auto"/>
          <w:spacing w:val="-4"/>
        </w:rPr>
        <w:t xml:space="preserve">Sin embargo, solamente son elegibles los investigadores o las instituciones de investigación que realizan proyectos de investigación científica de interés público. </w:t>
      </w:r>
      <w:r w:rsidRPr="00C56AE5">
        <w:rPr>
          <w:spacing w:val="-4"/>
        </w:rPr>
        <w:t xml:space="preserve">Por norma general, se presupone que existe un interés público en el caso de los proyectos de investigación de los centros de enseñanza superior y las instituciones de investigación no universitarias en Alemania. </w:t>
      </w:r>
      <w:r w:rsidRPr="00C56AE5">
        <w:rPr>
          <w:rStyle w:val="Marker"/>
          <w:color w:val="auto"/>
          <w:spacing w:val="-4"/>
        </w:rPr>
        <w:t>En este contexto, la financiación predominante con fondos públicos tiene un efecto indicativo para la asunción de un interés público. De acuerdo con el texto de la reglamentación, están cubiertas todas las instituciones que quieran llevar a cabo investigaciones de interés público, independientemente de su ubicación. Para la asunción de un interés público, se exigirá con regularidad que los resultados de la investigación sean accesibles al público y que, en última instancia, sirvan al bien público. La suposición de un interés público puede estar respaldada por el hecho de que la investigación contribuye a la consecución de los objetivos de la ley. Podrá considerarse que no existe ningún interés público si, debido a la dependencia de un poder adjudicador, parece que en un caso concreto no se está llevando a cabo una investigación imparcial. Además, puede haber una situación contraria al interés público si hay indicios de que va a realizarse una investigación con fines económicos o políticos.</w:t>
      </w:r>
    </w:p>
    <w:p w14:paraId="3A166ADB" w14:textId="77777777" w:rsidR="00146FA3" w:rsidRPr="00C56AE5" w:rsidRDefault="00D969A6" w:rsidP="00D969A6">
      <w:pPr>
        <w:pStyle w:val="Text"/>
        <w:rPr>
          <w:rStyle w:val="Marker"/>
          <w:color w:val="auto"/>
          <w:spacing w:val="-4"/>
        </w:rPr>
      </w:pPr>
      <w:r w:rsidRPr="00C56AE5">
        <w:rPr>
          <w:rStyle w:val="Marker"/>
          <w:color w:val="auto"/>
          <w:spacing w:val="-4"/>
        </w:rPr>
        <w:t xml:space="preserve">Debido a la enumeración del artículo 5 </w:t>
      </w:r>
      <w:r w:rsidRPr="00C56AE5">
        <w:rPr>
          <w:rStyle w:val="Marker"/>
          <w:i/>
          <w:iCs/>
          <w:color w:val="auto"/>
          <w:spacing w:val="-4"/>
        </w:rPr>
        <w:t>bis</w:t>
      </w:r>
      <w:r w:rsidRPr="00C56AE5">
        <w:rPr>
          <w:rStyle w:val="Marker"/>
          <w:color w:val="auto"/>
          <w:spacing w:val="-4"/>
        </w:rPr>
        <w:t xml:space="preserve"> de la Ley de ejecución relativa a las redes sociales, en el artículo 1, apartado 2, de la Ley de ejecución relativa a las redes sociales, solo están sujetos a las obligaciones los proveedores de redes sociales que tengan al menos dos millones de usuarios registrados en el territorio nacional, independientemente de su domicilio social. Los proveedores correspondientes están obligados a proporcionar información sin importar si tienen su domicilio social en el territorio nacional o no. Esto se ajusta a las disposiciones pertinentes de la legislación europea, en particular el principio del país de origen de la Directiva 2000/31/CE (Directiva sobre el comercio electrónico). Incluso si el derecho a la información previsto en el artículo 5 </w:t>
      </w:r>
      <w:r w:rsidRPr="00C56AE5">
        <w:rPr>
          <w:rStyle w:val="Marker"/>
          <w:i/>
          <w:iCs/>
          <w:color w:val="auto"/>
          <w:spacing w:val="-4"/>
        </w:rPr>
        <w:t>bis</w:t>
      </w:r>
      <w:r w:rsidRPr="00C56AE5">
        <w:rPr>
          <w:rStyle w:val="Marker"/>
          <w:color w:val="auto"/>
          <w:spacing w:val="-4"/>
        </w:rPr>
        <w:t xml:space="preserve"> de la Ley de ejecución relativa a las redes sociales entrara en el denominado «ámbito coordinado» de la Directiva sobre el comercio electrónico y si esto se considerara un efecto restrictivo que, por principio, está excluido con arreglo al artículo 3, apartado 2, de la Directiva sobre el comercio electrónico, se cumplirían en cualquier caso las condiciones para una </w:t>
      </w:r>
      <w:proofErr w:type="spellStart"/>
      <w:r w:rsidRPr="00C56AE5">
        <w:rPr>
          <w:rStyle w:val="Marker"/>
          <w:color w:val="auto"/>
          <w:spacing w:val="-4"/>
        </w:rPr>
        <w:t>contraexcepción</w:t>
      </w:r>
      <w:proofErr w:type="spellEnd"/>
      <w:r w:rsidRPr="00C56AE5">
        <w:rPr>
          <w:rStyle w:val="Marker"/>
          <w:color w:val="auto"/>
          <w:spacing w:val="-4"/>
        </w:rPr>
        <w:t xml:space="preserve"> en virtud del artículo 3, apartado 4, de la Directiva sobre el comercio electrónico. Debido a la considerable importancia de los proveedores abarcados, las mejores posibilidades de conocimiento garantizadas por el derecho a la información son, en cualquier caso, necesarias para la prevención de los delitos, incluida la lucha contra el discurso de odio, así como para la protección de los consumidores [véase el artículo 3, apartado 4, letra a), inciso i), primer y cuarto guion, de la Directiva sobre el comercio electrónico]. </w:t>
      </w:r>
      <w:r w:rsidRPr="00C56AE5">
        <w:rPr>
          <w:rStyle w:val="Marker"/>
          <w:color w:val="auto"/>
          <w:spacing w:val="-4"/>
        </w:rPr>
        <w:lastRenderedPageBreak/>
        <w:t>En vista de la considerable falta de información sobre las plataformas cubiertas, que representan un espacio público cada vez más importante para los ciudadanos, hay una necesidad urgente de regulación (artículo 3, apartado 5, de la Directiva sobre el comercio electrónico).</w:t>
      </w:r>
    </w:p>
    <w:p w14:paraId="2B3396E0" w14:textId="22DFC019" w:rsidR="00D969A6" w:rsidRPr="00C56AE5" w:rsidRDefault="00D969A6" w:rsidP="00D969A6">
      <w:pPr>
        <w:pStyle w:val="Text"/>
        <w:rPr>
          <w:rStyle w:val="Marker"/>
          <w:color w:val="auto"/>
          <w:spacing w:val="-4"/>
        </w:rPr>
      </w:pPr>
      <w:r w:rsidRPr="00C56AE5">
        <w:rPr>
          <w:rStyle w:val="Marker"/>
          <w:color w:val="auto"/>
          <w:spacing w:val="-4"/>
        </w:rPr>
        <w:t>Asimismo, el derecho de información previsto también está limitado en varios aspectos para las personas elegibles.</w:t>
      </w:r>
    </w:p>
    <w:p w14:paraId="7CD947D6" w14:textId="02AD6996" w:rsidR="00E97B1F" w:rsidRPr="00C56AE5" w:rsidRDefault="00E97B1F" w:rsidP="00D969A6">
      <w:pPr>
        <w:pStyle w:val="Text"/>
        <w:rPr>
          <w:rStyle w:val="Marker"/>
          <w:color w:val="auto"/>
          <w:spacing w:val="-4"/>
        </w:rPr>
      </w:pPr>
      <w:r w:rsidRPr="00C56AE5">
        <w:rPr>
          <w:rStyle w:val="Marker"/>
          <w:color w:val="auto"/>
          <w:spacing w:val="-4"/>
        </w:rPr>
        <w:t xml:space="preserve">Por lo tanto, los investigadores elegibles solo podrán solicitar información al proveedor de la red social. Por otro lado, el artículo 5 </w:t>
      </w:r>
      <w:r w:rsidRPr="00C56AE5">
        <w:rPr>
          <w:rStyle w:val="Marker"/>
          <w:i/>
          <w:iCs/>
          <w:color w:val="auto"/>
          <w:spacing w:val="-4"/>
        </w:rPr>
        <w:t>bis</w:t>
      </w:r>
      <w:r w:rsidRPr="00C56AE5">
        <w:rPr>
          <w:rStyle w:val="Marker"/>
          <w:color w:val="auto"/>
          <w:spacing w:val="-4"/>
        </w:rPr>
        <w:t xml:space="preserve"> no autoriza el acceso técnico directo a las bases de datos o a los sistemas técnicos de los proveedores. No obstante, podrá solicitarse información cualificada. Esto incluye los datos no adulterados de los que dispone el proveedor, así como la información tratada de la que dispone, tales como los resultados de las evaluaciones realizadas por el proveedor de los datos de los que dispone.</w:t>
      </w:r>
    </w:p>
    <w:p w14:paraId="72C56E68" w14:textId="39D2C9CA" w:rsidR="00E97B1F" w:rsidRPr="00C56AE5" w:rsidRDefault="00E97B1F" w:rsidP="00D969A6">
      <w:pPr>
        <w:pStyle w:val="Text"/>
        <w:rPr>
          <w:rStyle w:val="Marker"/>
          <w:color w:val="auto"/>
          <w:spacing w:val="-4"/>
        </w:rPr>
      </w:pPr>
      <w:r w:rsidRPr="00C56AE5">
        <w:rPr>
          <w:rStyle w:val="Marker"/>
          <w:color w:val="auto"/>
          <w:spacing w:val="-4"/>
        </w:rPr>
        <w:t xml:space="preserve">Además, el derecho de información se limita, en cuanto a su contenido, a la información sobre el uso y el funcionamiento de los procedimientos de detección automática de los contenidos que deben eliminarse o bloquearse, incluidos los fines, criterios y parámetros de la programación. Asimismo, podrá solicitarse información sobre la difusión de contenidos que hayan sido objeto de quejas sobre contenidos ilegales o que hayan sido eliminados o bloqueados por el proveedor. </w:t>
      </w:r>
    </w:p>
    <w:p w14:paraId="752FC65F" w14:textId="4597FCAE" w:rsidR="00D969A6" w:rsidRPr="00C56AE5" w:rsidRDefault="00D969A6" w:rsidP="00D969A6">
      <w:pPr>
        <w:pStyle w:val="Text"/>
        <w:rPr>
          <w:rStyle w:val="Marker"/>
          <w:color w:val="auto"/>
          <w:spacing w:val="-4"/>
        </w:rPr>
      </w:pPr>
      <w:r w:rsidRPr="00C56AE5">
        <w:rPr>
          <w:rStyle w:val="Marker"/>
          <w:color w:val="auto"/>
          <w:spacing w:val="-4"/>
        </w:rPr>
        <w:t xml:space="preserve">La información pertinente es adecuada y necesaria para comprender mejor las restricciones relevantes impuestas por el proveedor sobre los contenidos, así como la difusión en las plataformas de contenidos inadmisibles desde el punto de vista del proveedor o denunciados como ilegales. </w:t>
      </w:r>
    </w:p>
    <w:p w14:paraId="5D09F342" w14:textId="5F0FFD55" w:rsidR="00D969A6" w:rsidRPr="00012054" w:rsidRDefault="00D969A6" w:rsidP="00D969A6">
      <w:pPr>
        <w:pStyle w:val="Text"/>
        <w:rPr>
          <w:rStyle w:val="Marker"/>
          <w:color w:val="auto"/>
          <w:spacing w:val="-6"/>
        </w:rPr>
      </w:pPr>
      <w:r w:rsidRPr="00012054">
        <w:rPr>
          <w:rStyle w:val="Marker"/>
          <w:color w:val="auto"/>
          <w:spacing w:val="-6"/>
        </w:rPr>
        <w:t>Por otro lado, el derecho de información está sujeto a la condición de que la información sea necesaria en el caso concreto para proyectos de investigación científica de interés público. Esto significa que la información transmitida solo podrá utilizarse con fines científicos. Por último, los fines de investigación elegibles se limitan a la investigación sobre la naturaleza, el alcance, las causas y los efectos de la comunicación pública en las redes sociales y la forma en que los proveedores la abordan.</w:t>
      </w:r>
    </w:p>
    <w:p w14:paraId="588C65A9" w14:textId="3AAAB10E" w:rsidR="00C46490" w:rsidRPr="00C56AE5" w:rsidRDefault="00C46490" w:rsidP="00D969A6">
      <w:pPr>
        <w:pStyle w:val="Text"/>
        <w:rPr>
          <w:rStyle w:val="Marker"/>
          <w:color w:val="auto"/>
          <w:spacing w:val="-4"/>
        </w:rPr>
      </w:pPr>
      <w:r w:rsidRPr="00C56AE5">
        <w:rPr>
          <w:rStyle w:val="Marker"/>
          <w:color w:val="auto"/>
          <w:spacing w:val="-4"/>
        </w:rPr>
        <w:t xml:space="preserve">El procedimiento previsto para la presentación de un proyecto de protección garantizará el respeto de los intereses que deben tenerse en cuenta en virtud del artículo 5 </w:t>
      </w:r>
      <w:r w:rsidRPr="00C56AE5">
        <w:rPr>
          <w:rStyle w:val="Marker"/>
          <w:i/>
          <w:iCs/>
          <w:color w:val="auto"/>
          <w:spacing w:val="-4"/>
        </w:rPr>
        <w:t>bis</w:t>
      </w:r>
      <w:r w:rsidRPr="00C56AE5">
        <w:rPr>
          <w:rStyle w:val="Marker"/>
          <w:color w:val="auto"/>
          <w:spacing w:val="-4"/>
        </w:rPr>
        <w:t>. El proveedor de la red social podrá negarse a proporcionar información hasta que se haya presentado el proyecto de protección. Al mismo tiempo, el proyecto de protección deberá presentarse a la autoridad de control encargada de la protección de datos competente, que podrá iniciar los procedimientos oportunos si hay indicios de infracciones de la protección de datos. Esto es especialmente importante, puesto que el suministro de información por parte de los proveedores también podrá afectar a los intereses de terceros, tales como los usuarios.</w:t>
      </w:r>
    </w:p>
    <w:p w14:paraId="61C60CE8" w14:textId="669418FB" w:rsidR="00D969A6" w:rsidRPr="00C56AE5" w:rsidRDefault="00D969A6" w:rsidP="00D969A6">
      <w:pPr>
        <w:pStyle w:val="Text"/>
        <w:rPr>
          <w:rStyle w:val="Marker"/>
          <w:color w:val="auto"/>
          <w:spacing w:val="-4"/>
        </w:rPr>
      </w:pPr>
      <w:r w:rsidRPr="00C56AE5">
        <w:rPr>
          <w:rStyle w:val="Marker"/>
          <w:color w:val="auto"/>
          <w:spacing w:val="-4"/>
        </w:rPr>
        <w:t>Aparte de eso, la información no deberá entrar en conflicto con los intereses legítimos primordiales de los proveedores de las redes sociales. Podrá considerarse que existen intereses legítimos contradictorios si el acceso a los datos perjudica injustificadamente los intereses de confidencialidad del proveedor. El derecho de información también queda excluido si los intereses legítimos de las personas afectadas se ven perjudicados y el interés público de la investigación no supera el interés de confidencialidad de las personas en cuestión.</w:t>
      </w:r>
    </w:p>
    <w:p w14:paraId="05EA09A2" w14:textId="77777777" w:rsidR="00D969A6" w:rsidRPr="00C56AE5" w:rsidRDefault="00D969A6" w:rsidP="00D969A6">
      <w:pPr>
        <w:pStyle w:val="Text"/>
        <w:rPr>
          <w:rStyle w:val="Marker"/>
          <w:color w:val="auto"/>
          <w:spacing w:val="-4"/>
        </w:rPr>
      </w:pPr>
      <w:r w:rsidRPr="00C56AE5">
        <w:rPr>
          <w:rStyle w:val="Marker"/>
          <w:color w:val="auto"/>
          <w:spacing w:val="-4"/>
        </w:rPr>
        <w:t xml:space="preserve">Con el fin de transmitir información, también podrán transmitirse datos personales, para lo que deberá realizarse, en la medida de lo posible, una </w:t>
      </w:r>
      <w:proofErr w:type="spellStart"/>
      <w:r w:rsidRPr="00C56AE5">
        <w:rPr>
          <w:rStyle w:val="Marker"/>
          <w:color w:val="auto"/>
          <w:spacing w:val="-4"/>
        </w:rPr>
        <w:t>anonimización</w:t>
      </w:r>
      <w:proofErr w:type="spellEnd"/>
      <w:r w:rsidRPr="00C56AE5">
        <w:rPr>
          <w:rStyle w:val="Marker"/>
          <w:color w:val="auto"/>
          <w:spacing w:val="-4"/>
        </w:rPr>
        <w:t xml:space="preserve"> o al menos una </w:t>
      </w:r>
      <w:proofErr w:type="spellStart"/>
      <w:r w:rsidRPr="00C56AE5">
        <w:rPr>
          <w:rStyle w:val="Marker"/>
          <w:color w:val="auto"/>
          <w:spacing w:val="-4"/>
        </w:rPr>
        <w:t>seudonimización</w:t>
      </w:r>
      <w:proofErr w:type="spellEnd"/>
      <w:r w:rsidRPr="00C56AE5">
        <w:rPr>
          <w:rStyle w:val="Marker"/>
          <w:color w:val="auto"/>
          <w:spacing w:val="-4"/>
        </w:rPr>
        <w:t xml:space="preserve">. Asimismo, deberán adoptarse medidas adicionales para la protección de los datos personales cuando se tratan categorías especiales de datos en el sentido del artículo 9, apartado 1, del Reglamento (UE) n.º 2016/679. Las demás disposiciones en materia de protección de datos, en particular según el artículo 27 de la Ley federal relativa a la protección de datos, permanecen inalterados. </w:t>
      </w:r>
    </w:p>
    <w:p w14:paraId="67D27A76" w14:textId="0A74581F" w:rsidR="00A135B4" w:rsidRPr="00C56AE5" w:rsidRDefault="00D969A6" w:rsidP="00D969A6">
      <w:pPr>
        <w:pStyle w:val="Text"/>
        <w:rPr>
          <w:rStyle w:val="Marker"/>
          <w:color w:val="auto"/>
          <w:spacing w:val="-4"/>
        </w:rPr>
      </w:pPr>
      <w:r w:rsidRPr="00C56AE5">
        <w:rPr>
          <w:rStyle w:val="Marker"/>
          <w:color w:val="auto"/>
          <w:spacing w:val="-4"/>
        </w:rPr>
        <w:lastRenderedPageBreak/>
        <w:t xml:space="preserve">El proveedor tendrá derecho a que el investigador le reembolse, en un importe razonable, los costes en los que haya incurrido al proporcionar la información. Al limitar el derecho al reembolso de los costes en una cantidad razonable, se garantiza que el derecho de los investigadores a la información no se agote en la práctica debido a solicitudes de reembolso de costes prohibitivos. Este es también el objetivo de establecer un límite máximo de costes reembolsables que solo podrá superarse en casos excepcionalmente complejos. Este puede ser el caso si el coste de proporcionar la información excede de manera significativa el coste que resulta normalmente del suministro de información para los proyectos de investigación cubiertos por el artículo 5 </w:t>
      </w:r>
      <w:r w:rsidRPr="00C56AE5">
        <w:rPr>
          <w:rStyle w:val="Marker"/>
          <w:i/>
          <w:iCs/>
          <w:color w:val="auto"/>
          <w:spacing w:val="-4"/>
        </w:rPr>
        <w:t>bis</w:t>
      </w:r>
      <w:r w:rsidRPr="00C56AE5">
        <w:rPr>
          <w:rStyle w:val="Marker"/>
          <w:color w:val="auto"/>
          <w:spacing w:val="-4"/>
        </w:rPr>
        <w:t>. La carga de la presentación y la comprobación de las circunstancias correspondientes recae en el proveedor de la red social, al igual que la de la razonabilidad de los costes en otros aspectos.</w:t>
      </w:r>
    </w:p>
    <w:p w14:paraId="1B437195" w14:textId="47B203AC" w:rsidR="00D969A6" w:rsidRPr="00C56AE5" w:rsidRDefault="00D969A6" w:rsidP="00D969A6">
      <w:pPr>
        <w:pStyle w:val="Text"/>
        <w:rPr>
          <w:rStyle w:val="Marker"/>
          <w:color w:val="auto"/>
          <w:spacing w:val="-4"/>
        </w:rPr>
      </w:pPr>
      <w:r w:rsidRPr="00C56AE5">
        <w:rPr>
          <w:rStyle w:val="Marker"/>
          <w:color w:val="auto"/>
          <w:spacing w:val="-4"/>
        </w:rPr>
        <w:t>La correspondiente aplicación del artículo 287, apartado 1, del Código de Procedimiento Civil garantiza que el tribunal competente sea libre de determinar el importe del derecho de reembolso en caso de litigio, teniendo en cuenta todas las circunstancias. No habrá más compensaciones para los proveedores. A fin de facilitar la seguridad de planificación del investigador con respecto a los costes incurridos, el investigador podrá solicitar al proveedor de la red social que presente un presupuesto gratuito de los costes, en un plazo razonable, tras la presentación del proyecto de protección.</w:t>
      </w:r>
    </w:p>
    <w:p w14:paraId="0569302F" w14:textId="40F9020F" w:rsidR="00E11559" w:rsidRPr="00C56AE5" w:rsidRDefault="00D969A6" w:rsidP="00D969A6">
      <w:pPr>
        <w:pStyle w:val="Text"/>
        <w:rPr>
          <w:rStyle w:val="Marker"/>
          <w:color w:val="auto"/>
          <w:spacing w:val="-4"/>
        </w:rPr>
      </w:pPr>
      <w:r w:rsidRPr="00C56AE5">
        <w:rPr>
          <w:rStyle w:val="Marker"/>
          <w:color w:val="auto"/>
          <w:spacing w:val="-4"/>
        </w:rPr>
        <w:t>Si los investigadores y el proveedor de la red social entrasen en litigio sobre la existencia de los requisitos de admisibilidad, serán los tribunales ordinarios los que deberán decidir al respecto.</w:t>
      </w:r>
    </w:p>
    <w:p w14:paraId="1A7FF4A4" w14:textId="180DAC81" w:rsidR="00732338" w:rsidRPr="00012054" w:rsidRDefault="00132D0E" w:rsidP="00132D0E">
      <w:pPr>
        <w:pStyle w:val="Text"/>
        <w:rPr>
          <w:rStyle w:val="Marker"/>
          <w:color w:val="auto"/>
          <w:spacing w:val="-6"/>
        </w:rPr>
      </w:pPr>
      <w:r w:rsidRPr="00012054">
        <w:rPr>
          <w:rStyle w:val="Marker"/>
          <w:color w:val="auto"/>
          <w:spacing w:val="-6"/>
        </w:rPr>
        <w:t xml:space="preserve">La introducción de la cláusula de investigación se complementa con una aclaración sobre las obligaciones de presentación de informes. De acuerdo con el artículo 2, apartado 2, punto 2, de la Ley de ejecución relativa a las redes sociales, también deberá informarse de si, y en qué medida, se conceden conocimientos a las personas de la ciencia y la investigación para la evaluación de los procedimientos utilizados para la detección automática de contenidos (véase el Documento 19/18792 del </w:t>
      </w:r>
      <w:proofErr w:type="spellStart"/>
      <w:r w:rsidRPr="00012054">
        <w:rPr>
          <w:rStyle w:val="Marker"/>
          <w:color w:val="auto"/>
          <w:spacing w:val="-6"/>
        </w:rPr>
        <w:t>Bundestag</w:t>
      </w:r>
      <w:proofErr w:type="spellEnd"/>
      <w:r w:rsidRPr="00012054">
        <w:rPr>
          <w:rStyle w:val="Marker"/>
          <w:color w:val="auto"/>
          <w:spacing w:val="-6"/>
        </w:rPr>
        <w:t xml:space="preserve">, p. 43). La adición propuesta al artículo 2, apartado 2, punto 2, de la Ley de ejecución relativa a las redes sociales aclara que esto también se refiere a la cuestión de conceder acceso a la información del proveedor, incluida la información proporcionada en virtud del artículo 5 </w:t>
      </w:r>
      <w:r w:rsidRPr="00012054">
        <w:rPr>
          <w:rStyle w:val="Marker"/>
          <w:i/>
          <w:iCs/>
          <w:color w:val="auto"/>
          <w:spacing w:val="-6"/>
        </w:rPr>
        <w:t>bis</w:t>
      </w:r>
      <w:r w:rsidRPr="00012054">
        <w:rPr>
          <w:rStyle w:val="Marker"/>
          <w:color w:val="auto"/>
          <w:spacing w:val="-6"/>
        </w:rPr>
        <w:t xml:space="preserve"> de la Ley de ejecución relativa a las redes sociales.</w:t>
      </w:r>
    </w:p>
    <w:p w14:paraId="5F9F9891" w14:textId="5A8F43C7" w:rsidR="00E97B1F" w:rsidRPr="00C56AE5" w:rsidRDefault="00E97B1F" w:rsidP="00132D0E">
      <w:pPr>
        <w:pStyle w:val="Text"/>
        <w:rPr>
          <w:rStyle w:val="Marker"/>
          <w:color w:val="auto"/>
          <w:spacing w:val="-4"/>
        </w:rPr>
      </w:pPr>
      <w:r w:rsidRPr="00C56AE5">
        <w:rPr>
          <w:rStyle w:val="Marker"/>
          <w:color w:val="auto"/>
          <w:spacing w:val="-4"/>
        </w:rPr>
        <w:t xml:space="preserve">El artículo 5 </w:t>
      </w:r>
      <w:r w:rsidRPr="00C56AE5">
        <w:rPr>
          <w:rStyle w:val="Marker"/>
          <w:i/>
          <w:iCs/>
          <w:color w:val="auto"/>
          <w:spacing w:val="-4"/>
        </w:rPr>
        <w:t>bis</w:t>
      </w:r>
      <w:r w:rsidRPr="00C56AE5">
        <w:rPr>
          <w:rStyle w:val="Marker"/>
          <w:color w:val="auto"/>
          <w:spacing w:val="-4"/>
        </w:rPr>
        <w:t xml:space="preserve"> deberá evaluarse tres años tras la entrada en vigor. Se trata de determinar si se han conseguido los efectos previstos y en qué medida. Esto incluye, en particular, la determinación de si la información proporcionada ha favorecido los objetivos de investigación subyacentes. También deberá averiguarse la capacidad de gestión de la reglamentación, en particular en el caso de litigio entre investigadores y proveedores de redes sociales sobre la obligación de proporcionar información. A este respecto, deberá determinarse si parece conveniente la intervención de un organismo mediador para resolver las diferencias de opinión sobre el deber de información o para concretar una solicitud justificada de información y cómo podría estructurarse dicho organismo mediador. La evaluación también deberá abordar si la reglamentación relativa al reembolso prevista en el apartado 8 ha demostrado ser eficaz.</w:t>
      </w:r>
    </w:p>
    <w:p w14:paraId="2F6A2064" w14:textId="663911F1" w:rsidR="009F08C0" w:rsidRPr="00C56AE5" w:rsidRDefault="009F08C0" w:rsidP="0018171E">
      <w:pPr>
        <w:pStyle w:val="Text"/>
        <w:keepNext/>
        <w:rPr>
          <w:rStyle w:val="Marker"/>
          <w:b/>
          <w:color w:val="auto"/>
          <w:spacing w:val="-4"/>
        </w:rPr>
      </w:pPr>
      <w:r w:rsidRPr="00C56AE5">
        <w:rPr>
          <w:rStyle w:val="Marker"/>
          <w:b/>
          <w:color w:val="auto"/>
          <w:spacing w:val="-4"/>
        </w:rPr>
        <w:t>En relación con el punto 2</w:t>
      </w:r>
    </w:p>
    <w:p w14:paraId="7D853F30" w14:textId="43DDA2F0" w:rsidR="00132D0E" w:rsidRPr="00C56AE5" w:rsidRDefault="00132D0E" w:rsidP="00D969A6">
      <w:pPr>
        <w:pStyle w:val="Text"/>
        <w:rPr>
          <w:rStyle w:val="Marker"/>
          <w:color w:val="auto"/>
          <w:spacing w:val="-4"/>
        </w:rPr>
      </w:pPr>
      <w:r w:rsidRPr="00C56AE5">
        <w:rPr>
          <w:rStyle w:val="Marker"/>
          <w:color w:val="auto"/>
          <w:spacing w:val="-4"/>
        </w:rPr>
        <w:t>Las disposiciones sobre la fecha de entrada en vigor del artículo … se modifican con respecto a las modificaciones incorporadas a la Ley de ejecución relativa a las redes sociales.</w:t>
      </w:r>
    </w:p>
    <w:sectPr w:rsidR="00132D0E" w:rsidRPr="00C56AE5"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CF268640"/>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14125BC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decimal"/>
      <w:pStyle w:val="EmpfehlungNummerierungStufe3"/>
      <w:lvlText w:val="%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2054"/>
    <w:rsid w:val="000135E0"/>
    <w:rsid w:val="00071DF7"/>
    <w:rsid w:val="00080092"/>
    <w:rsid w:val="000C7EB4"/>
    <w:rsid w:val="000E03DB"/>
    <w:rsid w:val="001128A7"/>
    <w:rsid w:val="001135BC"/>
    <w:rsid w:val="00115E38"/>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56AE5"/>
    <w:rsid w:val="00C8625E"/>
    <w:rsid w:val="00CA5FE0"/>
    <w:rsid w:val="00CC24F9"/>
    <w:rsid w:val="00CC759B"/>
    <w:rsid w:val="00CF5BEA"/>
    <w:rsid w:val="00D22B44"/>
    <w:rsid w:val="00D43956"/>
    <w:rsid w:val="00D44883"/>
    <w:rsid w:val="00D63854"/>
    <w:rsid w:val="00D65B30"/>
    <w:rsid w:val="00D72D91"/>
    <w:rsid w:val="00D879BF"/>
    <w:rsid w:val="00D969A6"/>
    <w:rsid w:val="00DA01B2"/>
    <w:rsid w:val="00DC4488"/>
    <w:rsid w:val="00DC478A"/>
    <w:rsid w:val="00DC6F26"/>
    <w:rsid w:val="00DE44D8"/>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D02E-0074-49A3-BD71-B9C9D49D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14</TotalTime>
  <Pages>7</Pages>
  <Words>3329</Words>
  <Characters>18977</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7</cp:revision>
  <cp:lastPrinted>2020-12-08T16:22:00Z</cp:lastPrinted>
  <dcterms:created xsi:type="dcterms:W3CDTF">2021-01-28T12:34:00Z</dcterms:created>
  <dcterms:modified xsi:type="dcterms:W3CDTF">2021-02-11T11:41:00Z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