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Retsakt om ændring af lov om netværkshåndhævelse</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Dateret den 3. juni 2021</w:t>
      </w:r>
    </w:p>
    <w:p w14:paraId="3F51C4C2" w14:textId="77777777" w:rsidR="00E83886" w:rsidRDefault="00E83886">
      <w:pPr>
        <w:pStyle w:val="EingangsformelStandardnderungsdokument"/>
      </w:pPr>
      <w:r>
        <w:t>Forbundsdagen har vedtaget følgende lov</w:t>
      </w:r>
    </w:p>
    <w:p w14:paraId="3EF60F3B" w14:textId="51840A09" w:rsidR="00E83886" w:rsidRDefault="00B61AA0" w:rsidP="00B61AA0">
      <w:pPr>
        <w:pStyle w:val="ArtikelBezeichner"/>
        <w:numPr>
          <w:ilvl w:val="0"/>
          <w:numId w:val="0"/>
        </w:numPr>
      </w:pPr>
      <w:r>
        <w:t>Artikel 1</w:t>
      </w:r>
    </w:p>
    <w:p w14:paraId="00B33297" w14:textId="77777777" w:rsidR="00E83886" w:rsidRDefault="00BC2E28">
      <w:pPr>
        <w:pStyle w:val="Artikelberschrift"/>
      </w:pPr>
      <w:bookmarkStart w:id="1" w:name="eNV_02766DCDDD0C451696CD2CA9BA8F5F05_1"/>
      <w:bookmarkEnd w:id="1"/>
      <w:r>
        <w:t>Ændring af lov om netværkshåndhævelse</w:t>
      </w:r>
    </w:p>
    <w:p w14:paraId="75A86A66" w14:textId="77777777" w:rsidR="00E83886" w:rsidRPr="00B43644" w:rsidRDefault="00BC2E28">
      <w:pPr>
        <w:pStyle w:val="JuristischerAbsatznichtnummeriert"/>
      </w:pPr>
      <w:r>
        <w:t>Lov af 1. september 2017 om netværkshåndhævelse (Tysklands lovtidende (BGBl.) I, s. 3352), der senest er ændret ved artikel 7 i loven af 30. marts 2021 (Forbundslovtidende I, s. 441) med yderligere ændringer ved artikel 15 i loven af 30. marts 2021 (Forbundslovtidende I, s. 448), ændres som følger:</w:t>
      </w:r>
    </w:p>
    <w:p w14:paraId="5906B6F4" w14:textId="77777777" w:rsidR="009C3C3B" w:rsidRDefault="009C3C3B" w:rsidP="00FD2509">
      <w:pPr>
        <w:pStyle w:val="NummerierungStufe1"/>
      </w:pPr>
      <w:r>
        <w:t>I</w:t>
      </w:r>
      <w:bookmarkStart w:id="2" w:name="eNV_6C01AF3269F54A25937775F5B1921A82_1"/>
      <w:bookmarkEnd w:id="2"/>
      <w:r>
        <w:t xml:space="preserve"> § 1, stk. 2, erstattes angivelsen </w:t>
      </w:r>
      <w:r>
        <w:rPr>
          <w:rStyle w:val="RevisionText"/>
        </w:rPr>
        <w:t>"§§ 2 til 3"</w:t>
      </w:r>
      <w:r>
        <w:t xml:space="preserve"> med angivelsen </w:t>
      </w:r>
      <w:r>
        <w:rPr>
          <w:rStyle w:val="RevisionText"/>
        </w:rPr>
        <w:t>"§§ 2 til 3b og 5a"</w:t>
      </w:r>
      <w:r>
        <w:t>.</w:t>
      </w:r>
    </w:p>
    <w:p w14:paraId="71A5833B" w14:textId="77777777" w:rsidR="00FD2509" w:rsidRDefault="00D563DB" w:rsidP="00FD2509">
      <w:pPr>
        <w:pStyle w:val="NummerierungStufe1"/>
      </w:pPr>
      <w:r>
        <w:t>I §</w:t>
      </w:r>
      <w:bookmarkStart w:id="3" w:name="eNV_F184275CB3ED43BBAC3DB3FE735A86E0_1"/>
      <w:bookmarkEnd w:id="3"/>
      <w:r>
        <w:t xml:space="preserve"> 2, stk. 2, foretages følgende ændringer:</w:t>
      </w:r>
    </w:p>
    <w:p w14:paraId="75A87168" w14:textId="77777777" w:rsidR="00D563DB" w:rsidRPr="001355C5" w:rsidRDefault="00D563DB" w:rsidP="00D563DB">
      <w:pPr>
        <w:pStyle w:val="NummerierungStufe2"/>
      </w:pPr>
      <w:bookmarkStart w:id="4" w:name="eNV_C4D4FB87EB23484289627BC27807BCE5_1"/>
      <w:bookmarkEnd w:id="4"/>
      <w:r>
        <w:t>Punkt 2 erstattes af følgende punkt 2 og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Arten af, de overordnede retningslinjer for funktionaliteten og omfanget af de metoder, der anvendes til automatisk påvisning af indhold, der skal fjernes eller blokeres, herunder generelle oplysninger om de anvendte uddannelsesdata og udbyderens kontrol af resultaterne af disse procedurer, samt oplysninger om, i hvilket omfang videnskabelige kredse og forskningskredse støttes i evalueringen af disse procedurer og har fået adgang til oplysninger fra udbyderen til dette formål,</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Beskrivelse af mekanismerne for fremsendelse af klager over ulovligt indhold, beskrivelse af beslutningskriterierne for fjernelse og blokering af ulovligt indhold og beskrivelse af klageproceduren, herunder rækkefølgen af gennemgangen af, om der foreligger ulovligt indhold, eller om kontraktbestemmelserne mellem udbyder og bruger overtrædes".</w:t>
      </w:r>
    </w:p>
    <w:p w14:paraId="074A3429" w14:textId="77777777" w:rsidR="00E43EFE" w:rsidRPr="001355C5" w:rsidRDefault="00E43EFE" w:rsidP="003764C3">
      <w:pPr>
        <w:pStyle w:val="NummerierungStufe2"/>
      </w:pPr>
      <w:bookmarkStart w:id="6" w:name="DQPErrorScopeAA164204E61A4B6863D92987321"/>
      <w:r>
        <w:t>De foregående punkter 3-6 bliver til punkt 4-7.</w:t>
      </w:r>
      <w:bookmarkEnd w:id="6"/>
    </w:p>
    <w:p w14:paraId="44BFC151" w14:textId="29827472" w:rsidR="00DE0035" w:rsidRPr="001355C5" w:rsidRDefault="00E43EFE" w:rsidP="003764C3">
      <w:pPr>
        <w:pStyle w:val="NummerierungStufe2"/>
      </w:pPr>
      <w:r>
        <w:t xml:space="preserve">Det foregående punkt 7 bliver til punkt 8, og ordene </w:t>
      </w:r>
      <w:r>
        <w:rPr>
          <w:rStyle w:val="RevisionText"/>
          <w:color w:val="auto"/>
        </w:rPr>
        <w:t>'ifølge det samlede antal samt"</w:t>
      </w:r>
      <w:r>
        <w:t xml:space="preserve"> indsættes efter ordet </w:t>
      </w:r>
      <w:r>
        <w:rPr>
          <w:rStyle w:val="RevisionText"/>
          <w:color w:val="auto"/>
        </w:rPr>
        <w:t>'led,"</w:t>
      </w:r>
      <w:r>
        <w:t xml:space="preserve"> og et komma og ordene </w:t>
      </w:r>
      <w:r>
        <w:rPr>
          <w:rStyle w:val="RevisionText"/>
          <w:color w:val="auto"/>
        </w:rPr>
        <w:t>'som trin i testsekvensen i henhold til punkt 3 førte til fjernelsen eller blokeringen"</w:t>
      </w:r>
      <w:r>
        <w:t xml:space="preserve"> er indsat efter ordene </w:t>
      </w:r>
      <w:r>
        <w:rPr>
          <w:rStyle w:val="RevisionText"/>
          <w:color w:val="auto"/>
        </w:rPr>
        <w:t>'brugere har fundet sted"</w:t>
      </w:r>
      <w:r>
        <w:t>.</w:t>
      </w:r>
    </w:p>
    <w:p w14:paraId="0B6811A7" w14:textId="77777777" w:rsidR="008D6E45" w:rsidRPr="001355C5" w:rsidRDefault="00E43EFE" w:rsidP="003764C3">
      <w:pPr>
        <w:pStyle w:val="NummerierungStufe2"/>
      </w:pPr>
      <w:r>
        <w:t>Det foregående punkt</w:t>
      </w:r>
      <w:bookmarkStart w:id="7" w:name="eNV_3CAAC48361F44D8E911B82392C79CDB9_1"/>
      <w:bookmarkEnd w:id="7"/>
      <w:r>
        <w:t>8 bliver punkt 9 og har følgende ordlyd:</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det respektive antal klager over ulovligt indhold, der har ført til fjernelse eller blokering af det ulovlige indhold inden for 24 timer, inden for 48 timer eller </w:t>
      </w:r>
      <w:r>
        <w:rPr>
          <w:color w:val="auto"/>
        </w:rPr>
        <w:lastRenderedPageBreak/>
        <w:t>inden for en uge efter modtagelsen eller på et senere tidspunkt, opdelt efter klager fra klagekontorer og brugere samt opdelt efter årsagen til klagen,".</w:t>
      </w:r>
      <w:bookmarkEnd w:id="8"/>
    </w:p>
    <w:p w14:paraId="090FCED8" w14:textId="77777777" w:rsidR="003764C3" w:rsidRPr="001355C5" w:rsidRDefault="00E43EFE" w:rsidP="003764C3">
      <w:pPr>
        <w:pStyle w:val="NummerierungStufe2"/>
      </w:pPr>
      <w:r>
        <w:t>Det foregående punkt 9 bliver til punkt 10, og punktummet i slutningen erstattes af et komma.</w:t>
      </w:r>
    </w:p>
    <w:p w14:paraId="3E7ED79C" w14:textId="77777777" w:rsidR="003764C3" w:rsidRPr="001355C5" w:rsidRDefault="002C5C85" w:rsidP="002C5C85">
      <w:pPr>
        <w:pStyle w:val="NummerierungStufe2"/>
      </w:pPr>
      <w:r>
        <w:t>Følgende indsættes som punkt 11 og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Antal klager, der er modtaget i rapporteringsperioden, jf. § 3b, stk. 1, punkt 2, ud fra det samlede antal klager og opdelt efter klager og brugere, for hvem det anfægtede indhold er gemt, med angivelse af antallet af sager, hvor klagen blev afhjulpet,</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Antal klager modtaget i rapporteringsperioden, jf. § 3b, stk. 3, første punktum, hver med nærmere oplysninger om antallet af sager, hvor der er givet afkald på prøvelse i henhold til § 3b, stk. 3, tredje punktum, og om antallet af sager, hvor klagen blev afhjulpet</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Oplysninger om, hvorvidt og i hvilket omfang videnskabelige grupper og forskningsgrupper fik adgang til oplysninger fra udbyderen i rapporteringsperioden for at gøre det muligt anonymt at vurdere, om</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fjernet eller blokeret ulovligt indhold vedrører karakteristika som omhandlet i § 1 i lov om almindelig ligebehandling af 14. august 2006 (forbundslovtidende I, s. 1897), senest ændret ved artikel 8 i lov af 3. april 2013 (forbundslovtidende I, s. 610), i den gældende udgave,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om udbredelsen af ulovligt indhold påvirker visse brugergrupper på specifikke måder, og</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hvorvidt organiserede strukturer eller samordnet adfærd danner grundlag for formidlingen,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andre foranstaltninger truffet af udbyderen for at beskytte og støtte dem, der påvirkes af ulovligt indhold,</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et resumé med en tabeloversigt, der viser det samlede antal klager, der er modtaget om ulovligt indhold, procentdelen af indhold, der er fjernet eller blokeret som svar på disse klager, antallet af klager i henhold til henholdsvis § 3b, stk. 1, andet punktum, og § 3b, stk. 3, første punktum, og procentdelen af afgørelser, der er ændret på grundlag af disse klager sammenlignet med de tilsvarende tal for de to foregående rapporteringsperioder, samt en redegørelse for væsentlige forskelle og mulige årsager hertil,</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Redegørelse for bestemmelserne i udbyderens almindelige betingelser om, hvorvidt det er tilladt at udbrede indhold på det sociale netværk, som udbyderen anvender i forbindelse med aftaler med forbrugere,</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Redegørelse for, i hvilket omfang aftalen om bestemmelserne i stk. 16 er i overensstemmelse med kravene i §§ 307-309 i den tyske lov om retspleje og anden lovgivning."</w:t>
      </w:r>
    </w:p>
    <w:p w14:paraId="268633E7" w14:textId="77777777" w:rsidR="00BE13DB" w:rsidRPr="001355C5" w:rsidRDefault="00BE13DB" w:rsidP="00BE13DB">
      <w:pPr>
        <w:pStyle w:val="NummerierungStufe1"/>
      </w:pPr>
      <w:r>
        <w:t>§</w:t>
      </w:r>
      <w:bookmarkStart w:id="10" w:name="eNV_1071D66C7A3A4E78904AD55041E5495E_1"/>
      <w:bookmarkEnd w:id="10"/>
      <w:r>
        <w:t xml:space="preserve"> 3 ændres som følger:</w:t>
      </w:r>
    </w:p>
    <w:p w14:paraId="0581E3DD" w14:textId="77777777" w:rsidR="00BE13DB" w:rsidRPr="001355C5" w:rsidRDefault="00BE13DB" w:rsidP="00BE13DB">
      <w:pPr>
        <w:pStyle w:val="NummerierungStufe2"/>
      </w:pPr>
      <w:r>
        <w:t>I</w:t>
      </w:r>
      <w:bookmarkStart w:id="11" w:name="eNV_014D67E831A54E84AE69F682494D2210_1"/>
      <w:bookmarkEnd w:id="11"/>
      <w:r>
        <w:t xml:space="preserve"> stk. 1, andet punktum, indsættes ordene </w:t>
      </w:r>
      <w:r>
        <w:rPr>
          <w:rStyle w:val="RevisionText"/>
          <w:color w:val="auto"/>
        </w:rPr>
        <w:t>"når man opfatter indholdet"</w:t>
      </w:r>
      <w:r>
        <w:t xml:space="preserve"> efter ordet </w:t>
      </w:r>
      <w:r>
        <w:rPr>
          <w:rStyle w:val="RevisionText"/>
          <w:color w:val="auto"/>
        </w:rPr>
        <w:t>"en"</w:t>
      </w:r>
      <w:r>
        <w:t xml:space="preserve"> og et komma og ordene </w:t>
      </w:r>
      <w:r>
        <w:rPr>
          <w:rStyle w:val="RevisionText"/>
          <w:color w:val="auto"/>
        </w:rPr>
        <w:t>"let at bruge"</w:t>
      </w:r>
      <w:r>
        <w:t xml:space="preserve"> indsættes efter ordet </w:t>
      </w:r>
      <w:r>
        <w:rPr>
          <w:rStyle w:val="RevisionText"/>
          <w:color w:val="auto"/>
        </w:rPr>
        <w:t>"tilgængelig"</w:t>
      </w:r>
      <w:r>
        <w:t>.</w:t>
      </w:r>
    </w:p>
    <w:p w14:paraId="630F3893" w14:textId="77777777" w:rsidR="00BE13DB" w:rsidRPr="001355C5" w:rsidRDefault="00BE13DB" w:rsidP="00BE13DB">
      <w:pPr>
        <w:pStyle w:val="NummerierungStufe2"/>
      </w:pPr>
      <w:bookmarkStart w:id="12" w:name="eNV_29BA89EA1BB2430697A4687983AABC93_1"/>
      <w:bookmarkEnd w:id="12"/>
      <w:r>
        <w:t>§ 2 ændres som følger:</w:t>
      </w:r>
    </w:p>
    <w:p w14:paraId="59FA4E72" w14:textId="77777777" w:rsidR="001B5632" w:rsidRPr="001355C5" w:rsidRDefault="001B5632" w:rsidP="001B5632">
      <w:pPr>
        <w:pStyle w:val="NummerierungStufe3"/>
      </w:pPr>
      <w:r>
        <w:lastRenderedPageBreak/>
        <w:t>I</w:t>
      </w:r>
      <w:bookmarkStart w:id="13" w:name="eNV_EEB47693F91D4F2B9784901065243950_1"/>
      <w:bookmarkEnd w:id="13"/>
      <w:r>
        <w:t xml:space="preserve"> punkt 3(b) erstattes ordene </w:t>
      </w:r>
      <w:r>
        <w:rPr>
          <w:rStyle w:val="RevisionText"/>
          <w:color w:val="auto"/>
        </w:rPr>
        <w:t>'det sociale netværk"</w:t>
      </w:r>
      <w:r>
        <w:t xml:space="preserve"> af ordene </w:t>
      </w:r>
      <w:r>
        <w:rPr>
          <w:rStyle w:val="RevisionText"/>
          <w:color w:val="auto"/>
        </w:rPr>
        <w:t>'udbyderen af det sociale netværk"</w:t>
      </w:r>
      <w:r>
        <w:t>.</w:t>
      </w:r>
    </w:p>
    <w:p w14:paraId="72A04C98" w14:textId="77777777" w:rsidR="00AE356F" w:rsidRPr="001355C5" w:rsidRDefault="00CE245D" w:rsidP="001B5632">
      <w:pPr>
        <w:pStyle w:val="NummerierungStufe3"/>
      </w:pPr>
      <w:r>
        <w:t>Punkt 4 og 5 har følgende ordlyd:</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i tilfælde af fjernelse sikrer indholdet til dokumentation og gemmer det med henblik herpå i en periode på 10 uger inden for anvendelsesområdet for Europa-Parlamentets og Rådets direktiv 2000/31/EF af 8. juni 2000 om visse retlige aspekter af informationssamfundstjenester, navnlig elektronisk handel, i det indre marked (</w:t>
      </w:r>
      <w:bookmarkStart w:id="15" w:name="DQPErrorScope2646C3C49F191982EE73F3F98FA"/>
      <w:r>
        <w:rPr>
          <w:color w:val="auto"/>
        </w:rPr>
        <w:t>‘</w:t>
      </w:r>
      <w:bookmarkEnd w:id="15"/>
      <w:r>
        <w:rPr>
          <w:color w:val="auto"/>
        </w:rPr>
        <w:t>Direktiv om elektronisk handel) (EFT L 178 af 17.7.2000, s. 1) og Europa-Parlamentets og Rådets direktiv 2010/13/EU af 10. marts 2010 om samordning af visse love og administrative bestemmelser i medlemsstaterne om udbud af audiovisuelle medietjenester (direktiv om audiovisuelle medietjenester) (EUT L 95 af 15.4.2010, s. 1; L 263 af 6.10.2010, s. 15), som ændret ved direktiv (EU) 2018/1808 (EUT L 303 af 28.11.2018, s.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underretter straks klageren og den bruger, for hvem det anfægtede indhold blev lagret, om hver enkelt afgørelse, og i den forbindelse</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begrunder sin afgørelse,</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angiver muligheden for appel, jf. § 3b, stk. 1, andet punktum, proceduren herfor i henhold til § 3b, stk. 1, tredje punktum, fristen i § 3b, stk. 1, andet punktum, og at klagens indhold kan videregives inden for rammerne af proceduren, jf. § 3b, stk. 2, nr. 1, og</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meddeler klageren, at de kan indgive en meddelelse om en lovovertrædelse og om nødvendigt en anmodning om retsforfølgning mod den bruger, for hvem det omtvistede indhold er blevet gemt, og om det websted, hvor de kan modtage yderligere oplysninger herom."</w:t>
      </w:r>
    </w:p>
    <w:p w14:paraId="7A752ABA" w14:textId="77777777" w:rsidR="00D31A36" w:rsidRPr="001355C5" w:rsidRDefault="00E94ACD" w:rsidP="00D31A36">
      <w:pPr>
        <w:pStyle w:val="NummerierungStufe3"/>
      </w:pPr>
      <w:r>
        <w:t>Følgende sætninger tilføjes:</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"I det i stk. 1, nr. 3, litra b), omhandlede tilfælde kan udbyderen af det sociale netværk videregive det omtvistede indhold, oplysninger om tidspunktet for deling eller tilrådighedsstillelse af indholdet og omfanget af dets udbredelse samt indholdet i en genkendelig sammenhæng (hvis det er nødvendigt med henblik på afgørelsen) til det anerkendte selvregulerende organ. Det selvregulerende organ er bemyndiget til at behandle de pågældende personoplysninger i det omfang, det er nødvendigt for revurderingen. Enhver unøjagtighed i den beslutning, som det selvregulerende organ har truffet i de i § 1, stk. 3, litra b), omhandlede tilfælde, udgør ikke en overtrædelse af stk. 1, nr. 1, begået af udbyderen af det sociale netværk."</w:t>
      </w:r>
    </w:p>
    <w:p w14:paraId="05710271" w14:textId="77777777" w:rsidR="008331B2" w:rsidRPr="001355C5" w:rsidRDefault="008331B2" w:rsidP="008331B2">
      <w:pPr>
        <w:pStyle w:val="NummerierungStufe2"/>
      </w:pPr>
      <w:bookmarkStart w:id="17" w:name="eNV_1BD0FCD066BB4ADDA24D31C7AFEE9D76_1"/>
      <w:bookmarkEnd w:id="17"/>
      <w:r>
        <w:t>Stk. 6 ændres således:</w:t>
      </w:r>
    </w:p>
    <w:p w14:paraId="5B774DD7" w14:textId="77777777" w:rsidR="009E7D6E" w:rsidRPr="001355C5" w:rsidRDefault="002F6D0D" w:rsidP="008331B2">
      <w:pPr>
        <w:pStyle w:val="NummerierungStufe3"/>
      </w:pPr>
      <w:r>
        <w:t xml:space="preserve">I punkt 3 erstattes ordet </w:t>
      </w:r>
      <w:r>
        <w:rPr>
          <w:rStyle w:val="RevisionText"/>
          <w:color w:val="auto"/>
        </w:rPr>
        <w:t>'giver,"</w:t>
      </w:r>
      <w:r>
        <w:t xml:space="preserve"> af ordene </w:t>
      </w:r>
      <w:r>
        <w:rPr>
          <w:rStyle w:val="RevisionText"/>
          <w:color w:val="auto"/>
        </w:rPr>
        <w:t>'giver på klagerens anmodning og efter anmodning fra den bruger, for hvem det anfægtede indhold er blevet gemt, og"</w:t>
      </w:r>
      <w:r>
        <w:t xml:space="preserve">. </w:t>
      </w:r>
    </w:p>
    <w:p w14:paraId="0AF21211" w14:textId="77777777" w:rsidR="008331B2" w:rsidRPr="001355C5" w:rsidRDefault="008331B2" w:rsidP="008331B2">
      <w:pPr>
        <w:pStyle w:val="NummerierungStufe3"/>
      </w:pPr>
      <w:bookmarkStart w:id="18" w:name="eNV_C577E052D4584A18A8AFB1A777664717_1"/>
      <w:bookmarkEnd w:id="18"/>
      <w:r>
        <w:t>Punkt</w:t>
      </w:r>
      <w:bookmarkStart w:id="19" w:name="eNV_95D0B1FF82E643548E19CDBF244405BA_1"/>
      <w:bookmarkEnd w:id="19"/>
      <w:r>
        <w:t>4 ophæves.</w:t>
      </w:r>
    </w:p>
    <w:p w14:paraId="03ABCB4E" w14:textId="77777777" w:rsidR="002F6D0D" w:rsidRPr="001355C5" w:rsidRDefault="002F6D0D" w:rsidP="008331B2">
      <w:pPr>
        <w:pStyle w:val="NummerierungStufe3"/>
      </w:pPr>
      <w:bookmarkStart w:id="20" w:name="DQPErrorScopeE4F4EA840838595339EED4986C9"/>
      <w:r>
        <w:t>Punkt 5 bliver til punkt 4.</w:t>
      </w:r>
      <w:bookmarkEnd w:id="20"/>
    </w:p>
    <w:p w14:paraId="70A31A7E" w14:textId="77777777" w:rsidR="002C5C85" w:rsidRPr="001355C5" w:rsidRDefault="002C5C85" w:rsidP="002C5C85">
      <w:pPr>
        <w:pStyle w:val="NummerierungStufe2"/>
      </w:pPr>
      <w:r>
        <w:t>I stk. 7 tilføjes følgende punktum:</w:t>
      </w:r>
    </w:p>
    <w:p w14:paraId="3C3C4597" w14:textId="77777777" w:rsidR="002C5C85" w:rsidRPr="001355C5" w:rsidRDefault="002C5C85" w:rsidP="00E53355">
      <w:pPr>
        <w:pStyle w:val="RevisionJuristischerAbsatzFolgeabsatz"/>
        <w:ind w:left="850"/>
        <w:rPr>
          <w:color w:val="auto"/>
        </w:rPr>
      </w:pPr>
      <w:r>
        <w:rPr>
          <w:color w:val="auto"/>
        </w:rPr>
        <w:lastRenderedPageBreak/>
        <w:t>"Den giver forbundsstaternes centrale tilsynsmyndighed for beskyttelse af mindreårige mod skadelige medier lejlighed til at fremsætte bemærkninger, inden der træffes afgørelse om anerkendelse. Afgørelsen kan udstedes med yderligere betingelser. En frist bør ikke være mindre end fem år."</w:t>
      </w:r>
    </w:p>
    <w:p w14:paraId="6F468865" w14:textId="77777777" w:rsidR="00654A16" w:rsidRPr="001355C5" w:rsidRDefault="00654A16" w:rsidP="00654A16">
      <w:pPr>
        <w:pStyle w:val="NummerierungStufe2"/>
      </w:pPr>
      <w:r>
        <w:t xml:space="preserve">Følgende stk. 8 og 9 indsættes </w:t>
      </w:r>
      <w:bookmarkStart w:id="21" w:name="eNV_C9F4E65DC72A4A318587B7B03101C3D9_1"/>
      <w:bookmarkEnd w:id="21"/>
      <w:r>
        <w:t>efter stk.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"Stk. 8. Det anerkendte selvregulerende organ skal straks underrette den administrative myndighed, der er nævnt i § 4, om ændringer i de omstændigheder, der er relevante for anerkendelsen, og andre oplysninger i ansøgningen om anerkendelse.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Stk. 9. Det anerkendte selvregulerende organ skal offentliggøre en aktivitetsrapport for det foregående kalenderår på sit websted senest den 31. juli hvert år og fremsende den til den administrative myndighed, der er nævnt i § 4."</w:t>
      </w:r>
    </w:p>
    <w:p w14:paraId="0A4EFCFA" w14:textId="77777777" w:rsidR="00E43EFE" w:rsidRPr="001355C5" w:rsidRDefault="00E43EFE" w:rsidP="00E43EFE">
      <w:pPr>
        <w:pStyle w:val="NummerierungStufe2"/>
      </w:pPr>
      <w:bookmarkStart w:id="22" w:name="DQPErrorScope5756FCF4B74B2F1C86E686CCCF8"/>
      <w:r>
        <w:t>De foregående stk. 8 og 9 bliver til de nye stk. 10 og 11.</w:t>
      </w:r>
      <w:bookmarkEnd w:id="22"/>
    </w:p>
    <w:p w14:paraId="134BA870" w14:textId="77777777" w:rsidR="002C5C85" w:rsidRPr="001355C5" w:rsidRDefault="002C5C85" w:rsidP="007068D4">
      <w:pPr>
        <w:pStyle w:val="NummerierungStufe1"/>
      </w:pPr>
      <w:r>
        <w:t>I § 3a foretages følgende ændringer:</w:t>
      </w:r>
    </w:p>
    <w:p w14:paraId="58898B35" w14:textId="77777777" w:rsidR="002C5C85" w:rsidRPr="001355C5" w:rsidRDefault="002C5C85" w:rsidP="008A1C13">
      <w:pPr>
        <w:pStyle w:val="NummerierungStufe2"/>
      </w:pPr>
      <w:r>
        <w:t>Stk. 4 har følgende ordlyd:</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"Stk. 4</w:t>
      </w:r>
      <w:r>
        <w:rPr>
          <w:color w:val="auto"/>
        </w:rPr>
        <w:tab/>
        <w:t>Fremsendelsen til forbundskriminalpolitiet skal omfatte:</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indholdet og, hvis det er tilgængeligt, det tidspunkt, hvor indholdet blev delt eller gjort tilgængeligt for offentligheden, med angivelse af den underliggende tidszone,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følgende oplysninger om den bruger, der har delt indholdet med andre brugere eller gjort det offentligt tilgængeligt:</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brugernavn og</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hvis en sådan foreligger, den seneste IP-adresse, der anvendes i forhold til udbyderen af det sociale netværk, herunder portnummeret og tidspunktet for den sidste adgang, med angivelse af den underliggende tidszone."</w:t>
      </w:r>
    </w:p>
    <w:p w14:paraId="60139EDD" w14:textId="77777777" w:rsidR="002C5C85" w:rsidRPr="001355C5" w:rsidRDefault="006945A0" w:rsidP="008A1C13">
      <w:pPr>
        <w:pStyle w:val="NummerierungStufe2"/>
      </w:pPr>
      <w:r>
        <w:t>Som stk. 8 indsættes:</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"Stk. 8. De retshåndhævende myndigheder kan med henblik på en generel drøftelse med udbydere af sociale netværk om anvendelsen af stk. 1-7 behandle de personoplysninger, der er nødvendige til dette formål, i krypteret form."</w:t>
      </w:r>
    </w:p>
    <w:p w14:paraId="1EC0B3D6" w14:textId="77777777" w:rsidR="007068D4" w:rsidRPr="001355C5" w:rsidRDefault="003A6658" w:rsidP="007068D4">
      <w:pPr>
        <w:pStyle w:val="NummerierungStufe1"/>
      </w:pPr>
      <w:r>
        <w:t>Før § 4 indsættes som § 3b til 3f:</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Klageprocedure</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Udbyderen af et socialt netværk skal opretholde en effektiv og gennemsigtig procedure i overensstemmelse med stk. 2, der gør det muligt for både klageren og den bruger, for hvem det indhold, der klages over, er blevet gemt, at gennemgå en beslutning om at fjerne eller blokere adgangen til et indhold (oprindelig afgørelse), der er truffet som reaktion på en klage over ulovligt indhold; en undtagelse gælder i de tilfælde, der er omhandlet i § 3, stk. 2, første punktum, punkt 3, litra b).</w:t>
      </w:r>
      <w:bookmarkStart w:id="24" w:name="DQPErrorScope07558994FA2BBF877D1F8241434"/>
      <w:bookmarkEnd w:id="23"/>
      <w:r>
        <w:rPr>
          <w:color w:val="auto"/>
        </w:rPr>
        <w:t xml:space="preserve">Gennemgangen er kun påkrævet, hvis klageren eller den bruger, for hvem det anfægtede indhold er </w:t>
      </w:r>
      <w:r>
        <w:rPr>
          <w:color w:val="auto"/>
        </w:rPr>
        <w:lastRenderedPageBreak/>
        <w:t xml:space="preserve">lagret, indgiver en begrundet anmodning om revurdering inden for to uger efter oplysningerne om den oprindelige afgørelse (appel). Til dette formål skal udbyderen af det sociale netværk tilbyde en let genkendelig procedure, der muliggør nem elektronisk kontakt og direkte kommunikation med den. </w:t>
      </w:r>
      <w:bookmarkEnd w:id="24"/>
      <w:r>
        <w:rPr>
          <w:color w:val="auto"/>
        </w:rPr>
        <w:t>Kontaktmåden skal også angives i oplysningerne i henhold til § 3, stk. 2, nr. 1, nr. 5, litra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Proceduren i stk. 1, første punktum, skal sikre, at udbyderen af det sociale netværk,</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i tilfælde af, at den ønsker at afhjælpe klagen, straks underretter brugeren om indholdet af klagen i tilfælde af en klage fra klageren, straks underretter klageren om indholdet af klagen i tilfælde af en klage fra brugeren og giver brugeren i den første sag og klageren i den anden sag mulighed for at fremsætte en erklæring inden for en rimelig frist,</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påpeger, at indholdet af en brugers erklæring kan videregives til klageren, og at indholdet af en klagers erklæring kan videregives til brugeren,</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straks underkaster den oprindelige afgørelse en revurdering foretaget af en person, der ikke var involveret i den oprindelige afgørelse,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straks meddeler klageren og brugeren sin afgørelse om revurdering og begrunder den fra sag til sag i tilfælde af, at der ikke træffes foranstaltninger, til klageren og brugeren, i det omfang de allerede har været involveret i klageproceduren, og</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sikrer, at klagerens og brugerens identitet ikke oplyses i proceduren.</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Medmindre en afgørelse om at fjerne eller deaktivere adgang til indhold er baseret på en klage over ulovligt indhold, finder stk. 1 og 2 tilsvarende anvendelse. Hvis afgørelsen er baseret på en klage over indholdet fra en tredjepart, træder den person, der har fremsendt klagen til udbyderen af det sociale netværk, i stedet for klageren. Uanset stk. 2, nr. 3, er det ikke nødvendigt, at revurderingen foretages af en person, der ikke var involveret i den oprindelige afgørelse. </w:t>
      </w:r>
      <w:bookmarkStart w:id="25" w:name="DQPErrorScopeE57447843F5BAB62D772EAE93DA"/>
      <w:r>
        <w:rPr>
          <w:color w:val="auto"/>
        </w:rPr>
        <w:t>Uanset stk. 1, punkt 2, kræves der ikke revurdering i henhold til punkt 1, hvis indholdet er genkendeligt uønsket kommerciel kommunikation eller kommerciel kommunikation, der overtræder udbyderens generelle vilkår og betingelser, som brugeren har delt med andre brugere i et stort antal tilfælde eller er blevet gjort tilgængeligt for offentligheden, og appellen tydeligvis ikke har udsigt til at få medhold.</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Retten til at anlægge sag berøres ikke heraf.</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Voldgift</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Den i § 4 nævnte administrative myndighed kan anerkende privatretlige organisationer som voldgiftsinstanser for udenretlig bilæggelse af tvister mellem klagere eller brugere, for hvem det omtvistede indhold er gemt, og udbydere af sociale netværk om afgørelser truffet i henhold til § 3, stk. 2, punkt 1, nr. 1-3.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En privatretlig organisation skal anerkendes som voldgiftsorgan i henhold til stk. 1, hvis</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dets sponsor er en juridisk person,</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lastRenderedPageBreak/>
        <w:t>med hjemsted i en EU-medlemsstat eller i en anden stat, der er part i aftalen om Det Europæiske Økonomiske Samarbejdsområde, som direktiv 2010/13/EU finder anvendelse på,</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som er bestemt til at være permanente, og</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hvis finansiering er sikret,</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uafhængigheden, upartiskheden og ekspertisen hos dem, der skal deltage i voldgift, er garanteret,</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der sikres korrekt udstyr og rettidig behandling af voldgiftsprocedurer,</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den har voldgiftsregler, der regulerer voldgiftsprocedurens detaljer og dens kompetence, og som muliggør en enkel, billig, ikke-bindende og retfærdig voldgiftsprocedure, hvor udbyderen af det sociale netværk, klageren og den bruger, for hvem det omtvistede indhold er gemt, kan deltage,</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det sikres, at offentligheden løbende informeres om voldgiftsorganets tilgængelighed og kompetence og om voldgiftsprocedurens forløb, herunder voldgiftsreglerne.</w:t>
      </w:r>
    </w:p>
    <w:p w14:paraId="4D53200C" w14:textId="77777777" w:rsidR="006432C7" w:rsidRPr="001355C5" w:rsidRDefault="006432C7" w:rsidP="00E53355">
      <w:pPr>
        <w:pStyle w:val="RevisionJuristischerAbsatzFolgeabsatz"/>
        <w:ind w:left="425"/>
        <w:rPr>
          <w:color w:val="auto"/>
        </w:rPr>
      </w:pPr>
      <w:r>
        <w:rPr>
          <w:color w:val="auto"/>
        </w:rPr>
        <w:t>§ 3, stk. 7, andet og tredje punktum og stk. 8-10 finder tilsvarende anvendelse.</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Klagere og brugere, for hvem det anfægtede indhold er gemt, kan ringe til en voldgiftsinstans inden for deres kompetenceområde, hvis der tidligere er gennemført en klageprocedure efter § 3b, eller afgørelsen i henhold til § 3, stk. 6, nr. 3, er blevet revurderet, og udbyderen af det sociale netværk deltager i voldgiftssagen af denne voldgiftsinstans generelt eller i individuelle sager. </w:t>
      </w:r>
      <w:bookmarkStart w:id="27" w:name="DQPErrorScopeFF0F7104CBD94FC2C8D85EC1C4F"/>
      <w:bookmarkEnd w:id="26"/>
      <w:r>
        <w:rPr>
          <w:color w:val="auto"/>
        </w:rPr>
        <w:t xml:space="preserve">Hvis udbyderen deltager i voldgiften, kan denne sende voldgiftsorganet det omtvistede indhold, oplysninger </w:t>
      </w:r>
      <w:r>
        <w:rPr>
          <w:rStyle w:val="RevisionText"/>
          <w:color w:val="auto"/>
        </w:rPr>
        <w:t xml:space="preserve"> på tidspunktet for deling eller levering af indholdet og udbredelsens omfang</w:t>
      </w:r>
      <w:r>
        <w:rPr>
          <w:color w:val="auto"/>
        </w:rPr>
        <w:t xml:space="preserve"> samt indhold i genkendelig forbindelse til indholdet, hvis dette er nødvendigt for voldgiftsproceduren; hvis klageren appellerer til voldgiftsorganet, kan kontaktoplysningerne for den bruger, for hvem det anfægtede indhold er gemt, videregives, og i tilfælde af en klage til voldgiftsorganet fra den bruger, for hvilken det omtvistede indhold er gemt, kan klagerens kontaktoplysninger også videregives. </w:t>
      </w:r>
      <w:bookmarkEnd w:id="27"/>
      <w:r>
        <w:rPr>
          <w:rStyle w:val="RevisionText"/>
          <w:color w:val="auto"/>
        </w:rPr>
        <w:t>Voldgiftsorganet er bemyndiget til at behandle de relevante personoplysninger, hvis det er nødvendigt for voldgiftsproceduren; videregivelse af personoplysninger om klageren og den bruger, for hvem det omtvistede indhold blev gemt, er udelukket.</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Deltagelse i voldgiftsprocedurer er frivillig. Retten til at indbringe sagen for domstolene berøres ikke heraf. </w:t>
      </w:r>
      <w:bookmarkStart w:id="28" w:name="DQPErrorScopeCA95913401EB617EF752D152E14"/>
      <w:r>
        <w:rPr>
          <w:color w:val="auto"/>
        </w:rPr>
        <w:t>Loven om bilæggelse af forbrugertvister</w:t>
      </w:r>
      <w:bookmarkEnd w:id="28"/>
      <w:r>
        <w:rPr>
          <w:color w:val="auto"/>
        </w:rPr>
        <w:t xml:space="preserve"> af 19. februar 2016 (forbundslovtidende I, s. 254, 1039), som ændret ved artikel 1 i lov af 30. november 2019 (forbundslovtidende I, s. 1942), finder ikke anvendelse.</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Definitioner af videodelingsplatformstjenester</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I denne lov forstås ved:</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videodelingsplatformstjenester er</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 xml:space="preserve">telemedier, hvis hovedformål eller vigtige funktion er at gøre udsendelser eller brugergenererede videoer, for hvilke tjenesteudbyderen ikke har noget redaktionelt ansvar, tilgængelige for offentligheden, hvor tjenesteyderen </w:t>
      </w:r>
      <w:r>
        <w:rPr>
          <w:color w:val="auto"/>
        </w:rPr>
        <w:lastRenderedPageBreak/>
        <w:t>bestemmer tilrettelæggelsen af udsendelserne eller brugergenererede videoer, herunder ved hjælp af automatiske midler,</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dele af telemedier, der kan adskilles, hvis den del, der kan adskilles, har det hovedformål, der er anført i litra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en brugergenereret video er en sekvens af levende billeder med eller uden lyd skabt af en bruger, som uanset dens længde udgør en integreret del, og som uploades til en videodelingsplatformstjeneste af denne eller en anden bruger,</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en udsendelse er en sekvens af bevægelige billeder med eller uden lyd, der uanset dens længde er en integreret del af en radio- og tv-plan eller et katalog udarbejdet af en tjenesteyder,</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en medlemsstat er en EU-medlemsstat og enhver anden stat, der er part i aftalen om Det Europæiske Økonomiske Samarbejdsområde, som direktiv 2010/13/EU finder anvendelse på,</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et moderselskab er et selskab, der kontrollerer et eller flere datterselskaber,</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et datterselskab er et selskab, der direkte eller indirekte kontrolleres af et moderselskab,</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en koncern er hele moderselskabet, alle dets datterselskaber og alle andre selskaber, der er økonomisk og juridisk tilknyttet moderselskabet og dets datterselskaber.</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I denne lov er hjemstedet for en udbyder af en videodelingsplatformstjeneste den medlemsstat, på hvis område udbyderen er etableret. Hvis en udbyder af videodelingsplatformstjenester ikke er etableret på en medlemsstats område, er medlemsstaten det land, hvor en udbyder af videodelingsplatformstjenester har bopæl, på hvis område</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et moderselskab eller et datterselskab af tjenesteyderen, eller</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et andet selskab i en koncern, som udbyderen er en del af,</w:t>
      </w:r>
    </w:p>
    <w:p w14:paraId="3AC701E4" w14:textId="77777777" w:rsidR="00494DCB" w:rsidRPr="001355C5" w:rsidRDefault="00A76F3C" w:rsidP="00E53355">
      <w:pPr>
        <w:pStyle w:val="RevisionJuristischerAbsatzFolgeabsatz"/>
        <w:ind w:left="425"/>
        <w:rPr>
          <w:color w:val="auto"/>
        </w:rPr>
      </w:pPr>
      <w:r>
        <w:rPr>
          <w:color w:val="auto"/>
        </w:rPr>
        <w:t>er etableret.</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Hvis moderselskabet, datterselskabet eller de øvrige selskaber i koncernen i de tilfælde, der er nævnt i stk. 2, punkt 2, hver især er etableret i forskellige medlemsstater, anses tjenesteyderen for at være etableret i den medlemsstat, hvor moderselskabet er etableret, eller, hvis der ikke findes et sådant forretningssted, anses for at være etableret i den medlemsstat, hvor datterselskabet er etableret, eller, hvis der ikke findes et sådant driftssted, i den medlemsstat, hvor det andet selskab i koncernen er etableret. </w:t>
      </w:r>
      <w:bookmarkEnd w:id="29"/>
      <w:r>
        <w:rPr>
          <w:color w:val="auto"/>
        </w:rPr>
        <w:t>Hvis der er flere datterselskaber, og hvert af disse datterselskaber er etableret i en anden medlemsstat, anses tjenesteyderen for at være etableret i den medlemsstat, hvor et af datterselskaberne påbegyndte sin virksomhed først, forudsat at datterselskabet er permanent og faktuelt forbundet med den pågældende medlemsstats økonomi. Hvis der er flere andre selskaber, der indgår i koncernen, og som hver især er etableret i en anden medlemsstat, anses tjenesteyderen for at være etableret i den medlemsstat, hvor et af disse selskaber først startede, forudsat at der er en permanent og faktisk forbindelse til den pågældende medlemsstats økonomi.</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 xml:space="preserve">Hvis der opstår tvister mellem den administrative myndighed, der er nævnt i § 4, og en myndighed i en anden medlemsstat om, hvilken medlemsstat der anses for at </w:t>
      </w:r>
      <w:r>
        <w:rPr>
          <w:color w:val="auto"/>
        </w:rPr>
        <w:lastRenderedPageBreak/>
        <w:t>være hjemsted for en udbyder af videodelingsplatformstjenester, underretter den i stk. 4 nævnte administrative myndighed straks Europa-Kommissionen herom.</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Bestemmelser vedrørende videodelingsplatformstjenester</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Loven finder anvendelse på udbydere af videodelingsplatformstjenester, medmindre andet er fastsat i stk. 2 og 3.</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For udbydere af videodelingsplatformstjenester, der har under 2 mio. registrerede brugere i Tyskland, finder denne lov kun anvendelse, hvis Forbundsrepublikken Tyskland er bopælslandet eller anses for at være bopælslandet i overensstemmelse med § 3d, stk. 2 og 3. Loven finder kun anvendelse på dem i forbindelse med brugergenererede videoer og udsendelser efter § 3d, stk. 1, nr. 2 og 3, som har indhold, der opfylder kriterierne for en lovovertrædelse som defineret i straffelovens §§ 111, 130, stk. 1 eller 2, §§ 131, 140, 166 eller 184b, og som ikke er berettiget. Uanset § 1, stk. 2, er disse udbydere af videodelingsplatformstjenester fritaget for forpligtelserne i henhold til § 2, § 3, stk. 2, første punktum, nr. 3 og 4, samt stk. 4 og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For så vidt angår de brugergenererede videoer og udsendelser, der er nævnt i stk. 2, andet punktum, gælder forpligtelserne i §§ 2, 3 og 3b kun for udbydere af videodelingsplatforme, hvor en anden medlemsstat end Forbundsrepublikken Tyskland er eller anses for at være bopælsland i overensstemmelse med §§ 3d, stk. 2 og 3, på grundlag af og inden for rammerne af en kendelse fra den myndighed, der er nævnt i § 4. </w:t>
      </w:r>
      <w:bookmarkStart w:id="31" w:name="DQPErrorScopeBDF1949485EA6F0E446600D58EB"/>
      <w:bookmarkEnd w:id="30"/>
      <w:r>
        <w:rPr>
          <w:color w:val="auto"/>
        </w:rPr>
        <w:t xml:space="preserve">Påbuddet kan kun udstedes, hvis betingelserne i § 3, stk. 5, i telemedie-loven af 26. februar 2007 (forbundslovtidende I, s. 179), senest ændret ved artikel 12 i lov af 30. marts 2021 (forbundslovtidende I, s. 448), er opfyldt i den gældende affattelse og i overensstemmelse med de proceduremæssige skridt, der kræves i overensstemmelse hermed. </w:t>
      </w:r>
      <w:bookmarkEnd w:id="31"/>
      <w:r>
        <w:rPr>
          <w:color w:val="auto"/>
        </w:rPr>
        <w:t>Den administrative myndighed, der er nævnt i § 4, kan anmode et organ om at kontrollere, om betingelserne i telemedielovens § 3, stk. 5, første punktum, er opfyldt.</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Hvis loven finder anvendelse på udbyderen af en videodelingsplatformstjeneste efter stk. 1-3 for så vidt angår de brugergenererede videoer og udsendelser, der er nævnt i stk. 2, andet punktum, er vedkommende forpligtet til at indgå en effektiv aftale med sine brugere om, at distribution af de brugergenererede videoer og udsendelser, der er nævnt i stk. 2, andet punktum, er forbudt.</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Officiel voldgift i tvister med videodelingsplatformstjenester</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Der oprettes en officiel voldgiftsinstans hos den administrative myndighed, der er nævnt i § 4. </w:t>
      </w:r>
      <w:bookmarkStart w:id="33" w:name="DQPErrorScopeE92CF804F62B9CE832E9F29632C"/>
      <w:r>
        <w:rPr>
          <w:color w:val="auto"/>
        </w:rPr>
        <w:t xml:space="preserve">Den officielle voldgiftsinstans er til udenretlig bilæggelse af tvister med udbydere af videodelingsplatformstjenester vedrørende afgørelser i henhold til § 3, stk. 2, første punktum nr. 1-3, om tilstedeværelsen af brugergenererede videoer og udsendelser med indhold, der opfylder kriterierne for en lovovertrædelse i § 3e, stk. 2, andet punktum, er ikke berettiget. </w:t>
      </w:r>
      <w:bookmarkStart w:id="34" w:name="DQPErrorScope36716444AD4BE67878A909DAB58"/>
      <w:bookmarkEnd w:id="33"/>
      <w:r>
        <w:rPr>
          <w:color w:val="auto"/>
        </w:rPr>
        <w:t>Den officielle voldgiftsinstans er kun ansvarlig for tvister med udbydere af videodelingsplatformstjenester, hvor Forbundsrepublikken Tyskland er eller anses for at være bopælslandet i overensstemmelse med § 3d, stk. 2, og kun hvis udbyderen ikke deltager i voldgiftsprocedurer af et anerkendt voldgiftsorgan i overensstemmelse med § 3c, stk. 1, eller hvis ingen privatretlig organisation er anerkendt som voldgiftsinstans i henhold til § 3c, stk.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lastRenderedPageBreak/>
        <w:t>Kravene i § 3c, stk. 2, første punktum, nr. 2-5, samt § 3, stk. 9, og § 3c, stk. 3 og 4, finder tilsvarende anvendelse på den officielle voldgiftsinstans.</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Det officielle voldgiftsorgan kan opkræve gebyrer for gennemførelsen af den voldgiftsprocedure, der skal fastsættes i deres voldgiftsregler."</w:t>
      </w:r>
    </w:p>
    <w:p w14:paraId="1C58FB43" w14:textId="77777777" w:rsidR="007068D4" w:rsidRPr="001355C5" w:rsidRDefault="009545A0" w:rsidP="007068D4">
      <w:pPr>
        <w:pStyle w:val="NummerierungStufe1"/>
      </w:pPr>
      <w:r>
        <w:t>§</w:t>
      </w:r>
      <w:bookmarkStart w:id="35" w:name="eNV_C9F55B4BE97741478F2249B607AE3168_1"/>
      <w:bookmarkEnd w:id="35"/>
      <w:r>
        <w:t xml:space="preserve"> 4 ændres som følger:</w:t>
      </w:r>
    </w:p>
    <w:p w14:paraId="1CAC0552" w14:textId="77777777" w:rsidR="005468C2" w:rsidRPr="001355C5" w:rsidRDefault="005468C2" w:rsidP="009545A0">
      <w:pPr>
        <w:pStyle w:val="NummerierungStufe2"/>
      </w:pPr>
      <w:r>
        <w:t>Stk. 1 ændres således:</w:t>
      </w:r>
    </w:p>
    <w:p w14:paraId="0E54D550" w14:textId="77777777" w:rsidR="00CA1C39" w:rsidRPr="001355C5" w:rsidRDefault="00CA1C39" w:rsidP="00CA1C39">
      <w:pPr>
        <w:pStyle w:val="NummerierungStufe3"/>
      </w:pPr>
      <w:r>
        <w:t xml:space="preserve">I punkt 2 indsættes ordene </w:t>
      </w:r>
      <w:r>
        <w:rPr>
          <w:rStyle w:val="RevisionText"/>
          <w:color w:val="auto"/>
        </w:rPr>
        <w:t>'eller § 3b, stk. 1, første punktum"</w:t>
      </w:r>
      <w:r>
        <w:t xml:space="preserve"> efter ordene </w:t>
      </w:r>
      <w:r>
        <w:rPr>
          <w:rStyle w:val="RevisionText"/>
          <w:color w:val="auto"/>
        </w:rPr>
        <w:t>'første punktum"</w:t>
      </w:r>
      <w:r>
        <w:t xml:space="preserve"> og ordene </w:t>
      </w:r>
      <w:r>
        <w:rPr>
          <w:rStyle w:val="RevisionText"/>
          <w:color w:val="auto"/>
        </w:rPr>
        <w:t>'eller for en revurdering af en afgørelse"</w:t>
      </w:r>
      <w:r>
        <w:t xml:space="preserve"> indsættes efter ordet </w:t>
      </w:r>
      <w:r>
        <w:rPr>
          <w:rStyle w:val="RevisionText"/>
          <w:color w:val="auto"/>
        </w:rPr>
        <w:t>'har"</w:t>
      </w:r>
      <w:r>
        <w:t>.</w:t>
      </w:r>
    </w:p>
    <w:p w14:paraId="67880C37" w14:textId="77777777" w:rsidR="00E94ACD" w:rsidRPr="001355C5" w:rsidRDefault="00E94ACD" w:rsidP="00092488">
      <w:pPr>
        <w:pStyle w:val="NummerierungStufe3"/>
      </w:pPr>
      <w:r>
        <w:t xml:space="preserve">I punkt 3, indsættes ordene </w:t>
      </w:r>
      <w:r>
        <w:rPr>
          <w:rStyle w:val="RevisionText"/>
          <w:color w:val="auto"/>
        </w:rPr>
        <w:t>‘eller § 3b, stk. 1, tredje punktum ’</w:t>
      </w:r>
      <w:r>
        <w:t xml:space="preserve"> efter ordene </w:t>
      </w:r>
      <w:r>
        <w:rPr>
          <w:rStyle w:val="RevisionText"/>
          <w:color w:val="auto"/>
        </w:rPr>
        <w:t>‘andet punktum’</w:t>
      </w:r>
      <w:r>
        <w:t>.</w:t>
      </w:r>
    </w:p>
    <w:p w14:paraId="694995FC" w14:textId="77777777" w:rsidR="005468C2" w:rsidRPr="001355C5" w:rsidRDefault="005468C2" w:rsidP="00092488">
      <w:pPr>
        <w:pStyle w:val="NummerierungStufe3"/>
      </w:pPr>
      <w:bookmarkStart w:id="36" w:name="DQPErrorScopeE72DC994AA48B802F2C16A30F0D"/>
      <w:r>
        <w:t>Punkt 6a bliver til punkt 7.</w:t>
      </w:r>
      <w:bookmarkEnd w:id="36"/>
    </w:p>
    <w:p w14:paraId="470BD5FD" w14:textId="77777777" w:rsidR="005468C2" w:rsidRPr="001355C5" w:rsidRDefault="005468C2" w:rsidP="00092488">
      <w:pPr>
        <w:pStyle w:val="NummerierungStufe3"/>
      </w:pPr>
      <w:bookmarkStart w:id="37" w:name="DQPErrorScopeCB774C2457AB3DE6B781A62FB20"/>
      <w:r>
        <w:t>Det foregående punkt 7 og 8 bliver det nye punkt 8 og 9.</w:t>
      </w:r>
      <w:bookmarkEnd w:id="37"/>
    </w:p>
    <w:p w14:paraId="2C1D24E7" w14:textId="77777777" w:rsidR="000E1AD4" w:rsidRPr="001355C5" w:rsidRDefault="000E1AD4" w:rsidP="009545A0">
      <w:pPr>
        <w:pStyle w:val="NummerierungStufe2"/>
      </w:pPr>
      <w:r>
        <w:t xml:space="preserve">I punkt 2, stk. 1, erstattes ordene </w:t>
      </w:r>
      <w:r>
        <w:rPr>
          <w:rStyle w:val="RevisionText"/>
          <w:color w:val="auto"/>
        </w:rPr>
        <w:t>'punkt 7 og 8"</w:t>
      </w:r>
      <w:r>
        <w:t xml:space="preserve"> af ordene </w:t>
      </w:r>
      <w:r>
        <w:rPr>
          <w:rStyle w:val="RevisionText"/>
          <w:color w:val="auto"/>
        </w:rPr>
        <w:t>'punkt 8 og 9"</w:t>
      </w:r>
      <w:r>
        <w:t>.</w:t>
      </w:r>
    </w:p>
    <w:p w14:paraId="751D6B29" w14:textId="77777777" w:rsidR="00AD2CA4" w:rsidRPr="001355C5" w:rsidRDefault="00AD2CA4" w:rsidP="00AD2CA4">
      <w:pPr>
        <w:pStyle w:val="NummerierungStufe1"/>
      </w:pPr>
      <w:bookmarkStart w:id="38" w:name="eNV_E6DE02647D4D48EA8EC2D351BB8C0943_1"/>
      <w:bookmarkEnd w:id="38"/>
      <w:r>
        <w:t>Efter § 4 indsættes som § 4a:</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Tilsyn</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Den i § 4 nævnte administrative myndighed fører tilsyn med, at lovens bestemmelser overholdes.</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Hvis den i § 4 nævnte administrative myndighed fastslår, at en udbyder af sociale netværk har overtrådt eller overtræder lovens bestemmelser, træffer den de nødvendige foranstaltninger over for udbyderen. Den kan navnlig kræve, at udbyderen afhjælper overtrædelsen. § 4, stk. 5, finder tilsvarende anvendelse med forbehold af, at den domstol, der skal træffe afgørelse om indsigelsen mod en administrativ bøde, er kompetent.</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I den administrative procedure efter stk. 2 skal udbyderen af det sociale netværk efter anmodning give den i § 4 nævnte administrative myndighed oplysninger om de foranstaltninger, der er truffet for at gennemføre denne lov, antallet af registrerede brugere i Tyskland og klager over ulovligt indhold modtaget i det forløbne kalenderår; repræsentanterne for udbyderen samt for juridiske enheder, selskaber og sammenslutninger, der er udpeget ved lov eller vedtægter, er forpligtet til at videregive de ønskede oplysninger på selskabets vegne. </w:t>
      </w:r>
      <w:bookmarkEnd w:id="39"/>
      <w:r>
        <w:rPr>
          <w:color w:val="auto"/>
        </w:rPr>
        <w:t xml:space="preserve">Anmodningen om oplysninger skal være forholdsmæssig. Hvis fysiske personer er forpligtet til at samarbejde i overensstemmelse med første punktum, skal de også oplyse om forhold, der kan føre til retsforfølgning for en strafbar handling eller en administrativ overtrædelse, hvis det på anden måde er vanskeligt eller usandsynligt, at oplysningerne vil blive indhentet. Oplysninger fra en fysisk person i henhold til første punktum må dog kun anvendes i straffesager eller i sager efter loven om administrative lovovertrædelser mod den pågældende person eller en af de pårørende, der er nævnt i den tyske retsplejelovs § 383, stk. 1, nr. 1-3, med den pågældende persons samtykke. Oplysninger, der gives i henhold til første punktum, må kun anvendes mod udbyderen i sager om bødefastsættelse i henhold til § 30 i lov om administrative forseelser med samtykke fra </w:t>
      </w:r>
      <w:r>
        <w:rPr>
          <w:color w:val="auto"/>
        </w:rPr>
        <w:lastRenderedPageBreak/>
        <w:t>udbyderen eller den person, der har givet oplysningerne som følge af deres forpligtelse i henhold til første punktum.</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Vidner er forpligtet til at afgive forklaring under den administrative procedure i henhold til stk. 2. Vidnet kan nægte at videregive oplysninger i tilfælde af spørgsmål, der, hvis de besvares, ville bringe vidnet selv eller en af de pårørende, der er beskrevet i den tyske retsplejelovs § 383, stk. 1, nr. 1-3, i fare for strafforfølgning eller retsforfølgning i henhold til lov om administrative forseelser. I modsat fald finder bestemmelserne i den tyske retsplejelov om forpligtelsen til at afgive vidneudsagn tilsvarende anvendelse. Den i § 4 nævnte administrative myndighed skal underrette vidnet om deres ret til at nægte at afgive forklaring inden afhøringen."</w:t>
      </w:r>
    </w:p>
    <w:p w14:paraId="4340EFAD" w14:textId="77777777" w:rsidR="00AD2CA4" w:rsidRPr="001355C5" w:rsidRDefault="00AD2CA4" w:rsidP="006945A0">
      <w:pPr>
        <w:pStyle w:val="NummerierungStufe1"/>
      </w:pPr>
      <w:r>
        <w:t xml:space="preserve">I § </w:t>
      </w:r>
      <w:bookmarkStart w:id="40" w:name="eNV_04FF9BB8F8AA4AA7A9BF1B042E4A5062_1"/>
      <w:bookmarkEnd w:id="40"/>
      <w:r>
        <w:t xml:space="preserve"> 5 foretages følgende ændringer:</w:t>
      </w:r>
    </w:p>
    <w:p w14:paraId="2D379F88" w14:textId="77777777" w:rsidR="00AD2CA4" w:rsidRPr="001355C5" w:rsidRDefault="00AD2CA4" w:rsidP="00AD2CA4">
      <w:pPr>
        <w:pStyle w:val="NummerierungStufe2"/>
      </w:pPr>
      <w:bookmarkStart w:id="41" w:name="eNV_FE6D31F203874E4C8EEC616DEBA99F3C_1"/>
      <w:bookmarkEnd w:id="41"/>
      <w:r>
        <w:t>Andet og tredje punktum i stk. 1 affattes således:</w:t>
      </w:r>
    </w:p>
    <w:p w14:paraId="49EFFC86" w14:textId="77777777" w:rsidR="00AA3DB5" w:rsidRPr="001355C5" w:rsidRDefault="00AA3DB5" w:rsidP="00E53355">
      <w:pPr>
        <w:pStyle w:val="RevisionJuristischerAbsatzFolgeabsatz"/>
        <w:ind w:left="850"/>
        <w:rPr>
          <w:bCs/>
          <w:color w:val="auto"/>
        </w:rPr>
      </w:pPr>
      <w:r>
        <w:rPr>
          <w:color w:val="auto"/>
        </w:rPr>
        <w:t>"Leveringer kan ske i sager om bøder og i tilsynsprocedurer i henhold til §§ 4 og 4a eller i retssager ved tyske domstole på grundlag af udbredelse eller uberettiget accept af udbredelsen af ulovligt indhold, navnlig i tilfælde, hvor der anmodes om genindsættelse af fjernet eller blokeret indhold. Dette gælder også for udlevering af dokumenter, der indleder sådanne procedurer, for afsigelse af endelige retsafgørelser og for leverancer i forbindelse med fuldbyrdelses- eller fuldbyrdelsesprocedurer."</w:t>
      </w:r>
    </w:p>
    <w:p w14:paraId="16B76B89" w14:textId="77777777" w:rsidR="00AA3DB5" w:rsidRPr="001355C5" w:rsidRDefault="00AA3DB5" w:rsidP="00AA3DB5">
      <w:pPr>
        <w:pStyle w:val="NummerierungStufe2"/>
      </w:pPr>
      <w:bookmarkStart w:id="42" w:name="eNV_9291AE4B799844E98739D68DE9F55F7C_1"/>
      <w:bookmarkEnd w:id="42"/>
      <w:r>
        <w:t>Stk. 2 ændres således:</w:t>
      </w:r>
    </w:p>
    <w:p w14:paraId="15A52BDB" w14:textId="77777777" w:rsidR="00AA3DB5" w:rsidRPr="001355C5" w:rsidRDefault="00AA3DB5" w:rsidP="00AA3DB5">
      <w:pPr>
        <w:pStyle w:val="NummerierungStufe3"/>
      </w:pPr>
      <w:r>
        <w:t>I</w:t>
      </w:r>
      <w:bookmarkStart w:id="43" w:name="eNV_C9EC0596544E46D7A0B4712CAE7C00B0_1"/>
      <w:bookmarkEnd w:id="43"/>
      <w:r>
        <w:t xml:space="preserve"> første punktum indsættes ordene </w:t>
      </w:r>
      <w:r>
        <w:rPr>
          <w:rStyle w:val="RevisionText"/>
          <w:color w:val="auto"/>
        </w:rPr>
        <w:t>'mod den administrative myndighed, der er omhandlet i § 4"</w:t>
      </w:r>
      <w:r>
        <w:t xml:space="preserve"> indsættes efter ordet </w:t>
      </w:r>
      <w:r>
        <w:rPr>
          <w:rStyle w:val="RevisionText"/>
          <w:color w:val="auto"/>
        </w:rPr>
        <w:t>'indenlandsk"</w:t>
      </w:r>
      <w:r>
        <w:t>.</w:t>
      </w:r>
    </w:p>
    <w:p w14:paraId="7C90362A" w14:textId="77777777" w:rsidR="00AA3DB5" w:rsidRPr="001355C5" w:rsidRDefault="00CE291E" w:rsidP="00AA3DB5">
      <w:pPr>
        <w:pStyle w:val="NummerierungStufe3"/>
      </w:pPr>
      <w:r>
        <w:t xml:space="preserve">De </w:t>
      </w:r>
      <w:bookmarkStart w:id="44" w:name="eNV_CD5A7E96D5134342A11A35189CB5E6D5_1"/>
      <w:bookmarkEnd w:id="44"/>
      <w:r>
        <w:t>følgende sætninger tilføjes:</w:t>
      </w:r>
    </w:p>
    <w:p w14:paraId="437ADFA5" w14:textId="77777777" w:rsidR="00F86A78" w:rsidRPr="001355C5" w:rsidRDefault="00AA3DB5" w:rsidP="00E53355">
      <w:pPr>
        <w:pStyle w:val="RevisionJuristischerAbsatzFolgeabsatz"/>
        <w:ind w:left="1276"/>
        <w:rPr>
          <w:bCs/>
          <w:color w:val="auto"/>
        </w:rPr>
      </w:pPr>
      <w:r>
        <w:rPr>
          <w:color w:val="auto"/>
        </w:rPr>
        <w:t>"Den i § 4 nævnte administrative myndighed fører en liste over godkendte modtagere. Den giver efter anmodning oplysninger herom til de nationale retshåndhævende myndigheder."</w:t>
      </w:r>
    </w:p>
    <w:p w14:paraId="5BE2967B" w14:textId="77777777" w:rsidR="000235A5" w:rsidRPr="001355C5" w:rsidRDefault="000235A5" w:rsidP="008A1C13">
      <w:pPr>
        <w:pStyle w:val="NummerierungStufe1"/>
      </w:pPr>
      <w:r>
        <w:t>Efter § 5 tilføjes følgende § 5a:</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Oplysninger til videnskabelig forskning</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Forskere i henhold til denne forskrift er enhver fysisk eller juridisk person, der udfører videnskabelig forskning.</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En forsker kan anmode en udbyder af et socialt netværk om kvalificerede oplysninger om</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anvendelsen og den konkrete funktionsmåde for så vidt angår metoden til automatisk genkendelse af indhold, der skal fjernes eller blokeres, især om typen og omfanget af de anvendte teknologier samt formålene, kriterier og parametrene for deres programmering samt om de anvendte data</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udbredelsen af indhold, der har været genstand for klager om ulovligt indhold, og som er blevet fjernet eller blokeret af udbyderen, især det pågældende indhold samt informationer om, hvilke bruger der har interageret med indholdet på hvilken måde.</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Der kan kun anmodes om oplysninger i henhold til stk. 2, såfremt de er nødvendige til projekter i forbindelse med en videnskabelig forskning af offentlig interesse om typen, omfanget og funktionsmåderne for så vidt angår offentlig kommunikation på sociale netværk og udbydernes håndtering deraf.</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Tilrådighedsstillelsen af oplysningerne må kun finde sted, når forskeren fremlægger et beskyttelseskoncept over for udbyderen af det sociale netværk. Beskyttelseskonceptet indeholder</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en beskrivelse af de informationer, der er nødvendige til forskningsformålene i henhold til stk.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en beskrivelse af den påtænke anvendelse af informationerne</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en beskrivelse af foranstaltningerne til at forhindre en anden anvendelse af informationerne</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en beskrivelse af foranstaltningerne til at beskytte udbyderens beskyttelsesværdige interesser</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en beskrivelse af de tekniske og organisatoriske foranstaltninger, der sikrer beskyttelsen af personoplysninger.</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Stk. 5. Udbyderen af et socialt netværk kan give afslag på adgang til oplysninger, hvis</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vedkommendes beskyttelsesværdige interesser vejer væsentligt tungere end den offentlige interesse i forskningen, eller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de berørte personers beskyttelsesværdige interesser påvirkes negativt, og den offentlige interesse i forskningen ikke vejer tungere end de berørte personers fortrolighedsinteresse.</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Udbyderen af et socialt netværk må fremsende følgende personoplysninger til formål i forbindelse med tilrådighedsstillelse af oplysninger i henhold til stk.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det udbredte indhold</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klager over ulovligt indhold</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brugernavnene for de deltagende i udbredelsen</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de nærmere omstændigheder omkring interaktionerne for de deltagende i udbredelsen med hensyn til det pågældende indhold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læringsdata for metoden til automatisk genkendelse af indhold, der skal fjernes eller blokeres, samt oplysninger om funktionsmåden, formålene, kriterierne og parametrene for programmering af denne metode.</w:t>
      </w:r>
    </w:p>
    <w:p w14:paraId="101C9DCB" w14:textId="77777777" w:rsidR="000235A5" w:rsidRPr="001355C5" w:rsidRDefault="000235A5" w:rsidP="000235A5">
      <w:pPr>
        <w:pStyle w:val="RevisionJuristischerAbsatzFolgeabsatz"/>
        <w:ind w:left="425"/>
        <w:rPr>
          <w:color w:val="auto"/>
        </w:rPr>
      </w:pPr>
      <w:r>
        <w:rPr>
          <w:color w:val="auto"/>
        </w:rPr>
        <w:t>Oplysningerne er anonymiseret eller i det mindste pseudonymiseret til fremsendelse, såfremt dette er muligt uden at bringe forskningsformålet i fare.</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Forskeren må udelukkende behandle oplysningerne til formålene med projekter i forbindelse med videnskabelig forskning i henhold til stk. 3. Såfremt der behandles særlige kategorier af oplysninger i henhold til artikel 9, stk. 1, i Europa-Parlamentets og Rådets forordning (EU) 2016/679 af 27. april 2016 om beskyttelse af fysiske personer i forbindelse med behandling af personoplysninger og om fri udveksling af sådanne oplysninger og om ophævelse af direktiv 95/46/EF (generel </w:t>
      </w:r>
      <w:r>
        <w:rPr>
          <w:color w:val="auto"/>
        </w:rPr>
        <w:lastRenderedPageBreak/>
        <w:t xml:space="preserve">forordning om databeskyttelse) (EUT L 119 af 4.5.2016, s. 1, L 314 af 22.11.2016, s. 72, L 127 af 23.5.2018, s. 2) i den til enhver tid gældende udgave, skal forskeren sørge for dertil passende og specifikke foranstaltninger med henblik på at beskytte de berørte personers interesser i henhold til § 22, stk. 2, 2. punktum, i forbundslov om databeskyttelse. Ud over de der nævnte foranstaltninger skal oplysningerne i henhold til artikel 9, stk. 1, i forordning (EU) 2016/679 anonymiseres, så snart dette er muligt i henhold til forskningsformålet.  </w:t>
      </w:r>
      <w:bookmarkEnd w:id="46"/>
      <w:r>
        <w:rPr>
          <w:color w:val="auto"/>
        </w:rPr>
        <w:t xml:space="preserve"> Andre databeskyttelsesretlige bestemmelser berøres ikke.</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Udbyderen af et socialt netværk har krav på godtgørelse i rimeligt omfang fra forskeren for omkostningerne, der opstår i forbindelse med tilrådighedsstillelsen af oplysningerne i henhold til stk. 2. Når det rimelige omfang fastsættes, skal der tages højde for, at omkostningerne ikke må udgøre nogen væsentlig hindring for at gøre brug af kravet om udlevering af oplysninger. § 287, stk. 1, i retsplejeloven skal anvendes tilsvarende. Omkostningerne, der kan godtgøres, må være op til 5 000 EUR, medmindre andet er anført i punkt 5. Dette beløb må kun overskrides, hvis det medfører exceptionelt høje omkostninger at give adgang. Efter fremlæggelse af beskyttelseskonceptet i henhold til stk. 4 kan forskeren anmode udbyderen om at fremlægge et vederlagsfrit overslag inden for en rimelig tidsfrist.".</w:t>
      </w:r>
      <w:bookmarkEnd w:id="48"/>
    </w:p>
    <w:p w14:paraId="2077EF98" w14:textId="77777777" w:rsidR="006945A0" w:rsidRPr="001355C5" w:rsidRDefault="006945A0" w:rsidP="008A1C13">
      <w:pPr>
        <w:pStyle w:val="NummerierungStufe1"/>
      </w:pPr>
      <w:r>
        <w:t>I § 6 indsættes følgende som stk. 3-6:</w:t>
      </w:r>
    </w:p>
    <w:p w14:paraId="342F4B26" w14:textId="3E65C71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"Stk. 3</w:t>
      </w:r>
      <w:r w:rsidR="00E03DBE">
        <w:rPr>
          <w:color w:val="auto"/>
        </w:rPr>
        <w:t xml:space="preserve">  </w:t>
      </w:r>
      <w:r>
        <w:rPr>
          <w:color w:val="auto"/>
        </w:rPr>
        <w:t>For rapporter, der dækker perioder til og med den 31. december 2021, finder § 2 i lov om forbedring af retshåndhævelse i sociale netværk af 1. september 2017 (forbundslovtidende I, s. 3352) anvendelse.</w:t>
      </w:r>
      <w:bookmarkEnd w:id="49"/>
    </w:p>
    <w:p w14:paraId="1562BBBC" w14:textId="1D2DCE44" w:rsidR="006945A0" w:rsidRPr="001355C5" w:rsidRDefault="006945A0" w:rsidP="00E53355">
      <w:pPr>
        <w:pStyle w:val="RevisionJuristischerAbsatzmanuell"/>
        <w:tabs>
          <w:tab w:val="clear" w:pos="850"/>
          <w:tab w:val="left" w:pos="1275"/>
        </w:tabs>
        <w:ind w:left="425"/>
        <w:rPr>
          <w:color w:val="auto"/>
        </w:rPr>
      </w:pPr>
      <w:r>
        <w:rPr>
          <w:color w:val="auto"/>
        </w:rPr>
        <w:t>Stk. 4</w:t>
      </w:r>
      <w:r>
        <w:rPr>
          <w:color w:val="auto"/>
        </w:rPr>
        <w:tab/>
      </w:r>
      <w:r w:rsidR="00E03DBE">
        <w:rPr>
          <w:color w:val="auto"/>
        </w:rPr>
        <w:t xml:space="preserve"> </w:t>
      </w:r>
      <w:r>
        <w:rPr>
          <w:color w:val="auto"/>
        </w:rPr>
        <w:t>Rapporten i henhold til § 3, stk. 9, skal i første omgang indsendes senest den 31. juli 2022.</w:t>
      </w:r>
    </w:p>
    <w:p w14:paraId="07C8E75A" w14:textId="19E26448"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Stk. 5</w:t>
      </w:r>
      <w:r>
        <w:rPr>
          <w:color w:val="auto"/>
        </w:rPr>
        <w:tab/>
      </w:r>
      <w:r w:rsidR="00E03DBE">
        <w:rPr>
          <w:color w:val="auto"/>
        </w:rPr>
        <w:t xml:space="preserve"> </w:t>
      </w:r>
      <w:r>
        <w:rPr>
          <w:color w:val="auto"/>
        </w:rPr>
        <w:t>For organer med reguleret selvregulering, som allerede blev anerkendt den 28. juni 2021, finder § 3, stk. 6, nr. 3, anvendelse indtil udgangen af 2022, som ændret ved lov om forbedring af retshåndhævelsen i sociale netværk af 1. september 2017 (forbundslovtidende I, s. 3352).</w:t>
      </w:r>
      <w:bookmarkEnd w:id="50"/>
    </w:p>
    <w:p w14:paraId="4160292F" w14:textId="61930010" w:rsidR="006945A0" w:rsidRPr="001355C5" w:rsidRDefault="006945A0" w:rsidP="00E53355">
      <w:pPr>
        <w:pStyle w:val="RevisionJuristischerAbsatzmanuell"/>
        <w:tabs>
          <w:tab w:val="clear" w:pos="850"/>
          <w:tab w:val="left" w:pos="1275"/>
        </w:tabs>
        <w:ind w:left="425"/>
        <w:rPr>
          <w:color w:val="auto"/>
        </w:rPr>
      </w:pPr>
      <w:r>
        <w:rPr>
          <w:color w:val="auto"/>
        </w:rPr>
        <w:t>Stk. 6</w:t>
      </w:r>
      <w:r>
        <w:rPr>
          <w:color w:val="auto"/>
        </w:rPr>
        <w:tab/>
      </w:r>
      <w:r w:rsidR="00E03DBE">
        <w:rPr>
          <w:color w:val="auto"/>
        </w:rPr>
        <w:t xml:space="preserve"> </w:t>
      </w:r>
      <w:r>
        <w:rPr>
          <w:color w:val="auto"/>
        </w:rPr>
        <w:t>For udbydere, der ikke er udbydere af videodelingsplatformstjenester, finder § 3b først anvendelse fra den 1. oktober 2021. For udbydere af videodelingsplatformstjenester finder § 3b først anvendelse fra den 1. oktober 2021 for så vidt angår indhold, der ikke er brugergenererede videoer eller udsendelser."</w:t>
      </w:r>
    </w:p>
    <w:p w14:paraId="2118C079" w14:textId="440D3807" w:rsidR="00455A86" w:rsidRPr="001355C5" w:rsidRDefault="00B61AA0" w:rsidP="00B61AA0">
      <w:pPr>
        <w:pStyle w:val="ArtikelBezeichner"/>
        <w:numPr>
          <w:ilvl w:val="0"/>
          <w:numId w:val="0"/>
        </w:numPr>
      </w:pPr>
      <w:r>
        <w:t>Artikel 2</w:t>
      </w:r>
    </w:p>
    <w:p w14:paraId="4D9CB7F9" w14:textId="77777777" w:rsidR="00455A86" w:rsidRPr="001355C5" w:rsidRDefault="00455A86" w:rsidP="00455A86">
      <w:pPr>
        <w:pStyle w:val="Artikelberschrift"/>
      </w:pPr>
      <w:bookmarkStart w:id="51" w:name="eNV_75EECEE39F6042299F02C89BB83ABA93_1"/>
      <w:bookmarkEnd w:id="51"/>
      <w:r>
        <w:t>Ændring af telemedieloven</w:t>
      </w:r>
    </w:p>
    <w:p w14:paraId="104AB961" w14:textId="56887D9A" w:rsidR="00455A86" w:rsidRPr="001355C5" w:rsidRDefault="00AC2CB9" w:rsidP="00FA30F0">
      <w:pPr>
        <w:pStyle w:val="JuristischerAbsatznichtnummeriert"/>
      </w:pPr>
      <w:r>
        <w:t>§ 14 i lov om registrering af personer af 26. februar 2007 (forbundslovtidende I, s. 179), senest ændret ved artikel 12 i lov af 30. marts 2021 (forbundslovtidende I, s. 448,1380), ændres således:</w:t>
      </w:r>
    </w:p>
    <w:p w14:paraId="1DB683A0" w14:textId="77777777" w:rsidR="00FF2EC1" w:rsidRPr="001355C5" w:rsidRDefault="00FF2EC1" w:rsidP="00FF2EC1">
      <w:pPr>
        <w:pStyle w:val="NummerierungStufe1"/>
      </w:pPr>
      <w:r>
        <w:t>I stk. 3 tilføjes følgende punktum:</w:t>
      </w:r>
    </w:p>
    <w:p w14:paraId="7DE44C3D" w14:textId="77777777" w:rsidR="00FF2EC1" w:rsidRPr="001355C5" w:rsidRDefault="00FF2EC1" w:rsidP="00065020">
      <w:pPr>
        <w:pStyle w:val="RevisionJuristischerAbsatzFolgeabsatz"/>
        <w:ind w:left="425"/>
        <w:rPr>
          <w:color w:val="auto"/>
        </w:rPr>
      </w:pPr>
      <w:r>
        <w:rPr>
          <w:color w:val="auto"/>
        </w:rPr>
        <w:t>"Med henblik herpå er han forpligtet til at give oplysninger til den forurettede part."</w:t>
      </w:r>
    </w:p>
    <w:p w14:paraId="3A4DCC6D" w14:textId="77777777" w:rsidR="00FF2EC1" w:rsidRPr="001355C5" w:rsidRDefault="00FF2EC1" w:rsidP="005D706D">
      <w:pPr>
        <w:pStyle w:val="NummerierungStufe1"/>
      </w:pPr>
      <w:r>
        <w:t>Følgende punktum indsættes efter stk. 4, første punkt 1:</w:t>
      </w:r>
    </w:p>
    <w:p w14:paraId="55A84CA2" w14:textId="77777777" w:rsidR="00AC2CB9" w:rsidRPr="001355C5" w:rsidRDefault="00065020" w:rsidP="00065020">
      <w:pPr>
        <w:pStyle w:val="RevisionJuristischerAbsatzFolgeabsatz"/>
        <w:ind w:left="425"/>
        <w:rPr>
          <w:color w:val="auto"/>
        </w:rPr>
      </w:pPr>
      <w:r>
        <w:rPr>
          <w:rStyle w:val="RevisionText"/>
          <w:color w:val="auto"/>
        </w:rPr>
        <w:lastRenderedPageBreak/>
        <w:t>"</w:t>
      </w:r>
      <w:r>
        <w:rPr>
          <w:color w:val="auto"/>
        </w:rPr>
        <w:t>Retten træffer også afgørelse om forpligtelsen til at give oplysninger, medmindre anmodningen udtrykkeligt er begrænset til, at oplysningerne kan antages til behandling.</w:t>
      </w:r>
      <w:r>
        <w:rPr>
          <w:rStyle w:val="RevisionText"/>
          <w:color w:val="auto"/>
        </w:rPr>
        <w:t>"</w:t>
      </w:r>
    </w:p>
    <w:p w14:paraId="3490D74B" w14:textId="1817ADD9" w:rsidR="008157F4" w:rsidRDefault="00B61AA0" w:rsidP="00B61AA0">
      <w:pPr>
        <w:pStyle w:val="ArtikelBezeichner"/>
        <w:numPr>
          <w:ilvl w:val="0"/>
          <w:numId w:val="0"/>
        </w:numPr>
      </w:pPr>
      <w:r>
        <w:t>Artikel 3</w:t>
      </w:r>
    </w:p>
    <w:p w14:paraId="33A01610" w14:textId="77777777" w:rsidR="008157F4" w:rsidRDefault="008157F4" w:rsidP="008157F4">
      <w:pPr>
        <w:pStyle w:val="Artikelberschrift"/>
      </w:pPr>
      <w:r>
        <w:t>Ændring af lov om bekæmpelse af højreekstremisme og hadforbrydelser</w:t>
      </w:r>
    </w:p>
    <w:p w14:paraId="1F7B3809" w14:textId="77777777" w:rsidR="008157F4" w:rsidRDefault="008157F4" w:rsidP="008157F4">
      <w:pPr>
        <w:pStyle w:val="JuristischerAbsatznichtnummeriert"/>
      </w:pPr>
      <w:r>
        <w:t>Artikel 7, stk. 1, litra b), og stk. 2, i lov om bekæmpelse af højreekstremisme og hadforbrydelser af 30. marts 2021 (forbundslovtidende I, s. 441), som ændret ved artikel 15 i lov af 30. marts 2021 (forbundslovtidende I, s. 448), ophæves.</w:t>
      </w:r>
    </w:p>
    <w:p w14:paraId="55216B0A" w14:textId="14079E9E" w:rsidR="006945A0" w:rsidRPr="006945A0" w:rsidRDefault="00B61AA0" w:rsidP="00B61AA0">
      <w:pPr>
        <w:pStyle w:val="ArtikelBezeichner"/>
        <w:numPr>
          <w:ilvl w:val="0"/>
          <w:numId w:val="0"/>
        </w:numPr>
      </w:pPr>
      <w:r>
        <w:t>Artikel 4</w:t>
      </w:r>
    </w:p>
    <w:p w14:paraId="7E143A31" w14:textId="77777777" w:rsidR="006945A0" w:rsidRPr="006945A0" w:rsidRDefault="006945A0" w:rsidP="008A1C13">
      <w:pPr>
        <w:pStyle w:val="Artikelberschrift"/>
      </w:pPr>
      <w:r>
        <w:t>Ikrafttræden</w:t>
      </w:r>
    </w:p>
    <w:p w14:paraId="690968A7" w14:textId="29B2BF15" w:rsidR="006945A0" w:rsidRDefault="00065020" w:rsidP="0040116B">
      <w:pPr>
        <w:pStyle w:val="JuristischerAbsatznummeriert"/>
      </w:pPr>
      <w:r>
        <w:t>Loven træder i kraft den 28. juni 2021, jf. dog stk. 2 og 3.</w:t>
      </w:r>
    </w:p>
    <w:p w14:paraId="2900BC71" w14:textId="228CA322" w:rsidR="008157F4" w:rsidRPr="006945A0" w:rsidRDefault="00065020" w:rsidP="0040116B">
      <w:pPr>
        <w:pStyle w:val="JuristischerAbsatznummeriert"/>
      </w:pPr>
      <w:r>
        <w:t>I artikel 1, stk. 3, litra b), under-litra bb, træder § 3, stk. 2, nr. 5, i lov om nethåndhævelse i kraft den 1. oktober 2021.</w:t>
      </w:r>
    </w:p>
    <w:p w14:paraId="1C49F280" w14:textId="77777777" w:rsidR="006945A0" w:rsidRPr="006945A0" w:rsidRDefault="006945A0" w:rsidP="0040116B">
      <w:pPr>
        <w:pStyle w:val="JuristischerAbsatznummeriert"/>
      </w:pPr>
      <w:r>
        <w:t>Den 1. februar 2022 skal følgende træde i kraft:</w:t>
      </w:r>
    </w:p>
    <w:p w14:paraId="5BE8DBDC" w14:textId="77777777" w:rsidR="006945A0" w:rsidRDefault="00065020" w:rsidP="0040116B">
      <w:pPr>
        <w:pStyle w:val="NummerierungStufe1"/>
      </w:pPr>
      <w:r>
        <w:t>Artikel 1, stk. 4,</w:t>
      </w:r>
    </w:p>
    <w:p w14:paraId="0F476C14" w14:textId="77777777" w:rsidR="00065020" w:rsidRPr="006945A0" w:rsidRDefault="00065020" w:rsidP="0040116B">
      <w:pPr>
        <w:pStyle w:val="NummerierungStufe1"/>
      </w:pPr>
      <w:r>
        <w:t>Artikel 1, stk. 6, litra a), under-litra cc) og dd) og punkt b, og</w:t>
      </w:r>
    </w:p>
    <w:p w14:paraId="1354F279" w14:textId="496FF371" w:rsidR="006945A0" w:rsidRDefault="00065020" w:rsidP="008A1C13">
      <w:pPr>
        <w:pStyle w:val="NummerierungStufe1"/>
      </w:pPr>
      <w:r>
        <w:t>Artikel 1, stk.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Forbundsrådets rettigheder i henhold til forfatningen bevares.</w:t>
      </w:r>
    </w:p>
    <w:p w14:paraId="6630C8D5" w14:textId="21074584" w:rsidR="00524B83" w:rsidRPr="00524B83" w:rsidRDefault="00524B83" w:rsidP="00524B83">
      <w:pPr>
        <w:pStyle w:val="JuristischerAbsatzFolgeabsatz"/>
      </w:pPr>
      <w:r>
        <w:t>Ovennævnte lov gennemføres hermed. Den offentliggøres i Tysklands forbundslovtidende.</w:t>
      </w:r>
    </w:p>
    <w:p w14:paraId="789581D2" w14:textId="77777777" w:rsidR="00524B83" w:rsidRPr="00B61AA0" w:rsidRDefault="00524B83" w:rsidP="00524B83">
      <w:pPr>
        <w:pStyle w:val="JuristischerAbsatzFolgeabsatz"/>
      </w:pPr>
      <w:r>
        <w:t>Berlin, den 3. juni 2021</w:t>
      </w:r>
    </w:p>
    <w:p w14:paraId="1AA24B74" w14:textId="77777777" w:rsidR="00524B83" w:rsidRPr="009A5A0C" w:rsidRDefault="00524B83" w:rsidP="00524B83">
      <w:pPr>
        <w:pStyle w:val="JuristischerAbsatzFolgeabsatz"/>
        <w:jc w:val="center"/>
        <w:rPr>
          <w:spacing w:val="50"/>
        </w:rPr>
      </w:pPr>
      <w:r w:rsidRPr="009A5A0C">
        <w:rPr>
          <w:spacing w:val="50"/>
        </w:rPr>
        <w:t>Forbundspræsidenten</w:t>
      </w:r>
    </w:p>
    <w:p w14:paraId="5F3565D9" w14:textId="77777777" w:rsidR="00524B83" w:rsidRPr="009A5A0C" w:rsidRDefault="00524B83" w:rsidP="00524B83">
      <w:pPr>
        <w:pStyle w:val="JuristischerAbsatzFolgeabsatz"/>
        <w:jc w:val="center"/>
        <w:rPr>
          <w:spacing w:val="50"/>
        </w:rPr>
      </w:pPr>
      <w:r w:rsidRPr="009A5A0C">
        <w:rPr>
          <w:spacing w:val="50"/>
        </w:rPr>
        <w:t>Steinmeier</w:t>
      </w:r>
    </w:p>
    <w:p w14:paraId="1E912554" w14:textId="77777777" w:rsidR="00524B83" w:rsidRPr="009A5A0C" w:rsidRDefault="00524B83" w:rsidP="00524B83">
      <w:pPr>
        <w:pStyle w:val="JuristischerAbsatzFolgeabsatz"/>
        <w:jc w:val="center"/>
        <w:rPr>
          <w:spacing w:val="50"/>
        </w:rPr>
      </w:pPr>
      <w:r w:rsidRPr="009A5A0C">
        <w:rPr>
          <w:spacing w:val="50"/>
        </w:rPr>
        <w:t>Forbundskansleren</w:t>
      </w:r>
    </w:p>
    <w:p w14:paraId="4151C5C8" w14:textId="77777777" w:rsidR="00524B83" w:rsidRPr="009A5A0C" w:rsidRDefault="00524B83" w:rsidP="00524B83">
      <w:pPr>
        <w:pStyle w:val="JuristischerAbsatzFolgeabsatz"/>
        <w:jc w:val="center"/>
        <w:rPr>
          <w:spacing w:val="50"/>
        </w:rPr>
      </w:pPr>
      <w:r w:rsidRPr="009A5A0C">
        <w:rPr>
          <w:spacing w:val="50"/>
        </w:rPr>
        <w:t>Dr. Angela Merkel</w:t>
      </w:r>
    </w:p>
    <w:p w14:paraId="791D6152" w14:textId="77777777" w:rsidR="00524B83" w:rsidRPr="009A5A0C" w:rsidRDefault="00524B83" w:rsidP="00524B83">
      <w:pPr>
        <w:pStyle w:val="JuristischerAbsatzFolgeabsatz"/>
        <w:jc w:val="center"/>
        <w:rPr>
          <w:spacing w:val="50"/>
        </w:rPr>
      </w:pPr>
      <w:r w:rsidRPr="009A5A0C">
        <w:rPr>
          <w:spacing w:val="50"/>
        </w:rPr>
        <w:t>Forbundsministeren</w:t>
      </w:r>
    </w:p>
    <w:p w14:paraId="772B748E" w14:textId="77777777" w:rsidR="00524B83" w:rsidRPr="009A5A0C" w:rsidRDefault="00524B83" w:rsidP="00524B83">
      <w:pPr>
        <w:pStyle w:val="JuristischerAbsatzFolgeabsatz"/>
        <w:jc w:val="center"/>
        <w:rPr>
          <w:spacing w:val="50"/>
        </w:rPr>
      </w:pPr>
      <w:r w:rsidRPr="009A5A0C">
        <w:rPr>
          <w:spacing w:val="50"/>
        </w:rPr>
        <w:t>for retlige anliggender og forbrugerbeskyttelse</w:t>
      </w:r>
    </w:p>
    <w:p w14:paraId="4D3A1799" w14:textId="59236FD5" w:rsidR="00524B83" w:rsidRPr="009A5A0C" w:rsidRDefault="00524B83" w:rsidP="00524B83">
      <w:pPr>
        <w:pStyle w:val="JuristischerAbsatzFolgeabsatz"/>
        <w:jc w:val="center"/>
        <w:rPr>
          <w:spacing w:val="50"/>
        </w:rPr>
      </w:pPr>
      <w:r w:rsidRPr="009A5A0C">
        <w:rPr>
          <w:spacing w:val="50"/>
        </w:rPr>
        <w:t>Christine Lambrecht</w:t>
      </w:r>
    </w:p>
    <w:sectPr w:rsidR="00524B83" w:rsidRPr="009A5A0C"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2E44" w14:textId="77777777" w:rsidR="00D55B43" w:rsidRDefault="00D55B43" w:rsidP="005D1540">
      <w:pPr>
        <w:spacing w:before="0" w:after="0"/>
      </w:pPr>
      <w:r>
        <w:separator/>
      </w:r>
    </w:p>
  </w:endnote>
  <w:endnote w:type="continuationSeparator" w:id="0">
    <w:p w14:paraId="4BD397D4" w14:textId="77777777" w:rsidR="00D55B43" w:rsidRDefault="00D55B43"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E1B2" w14:textId="77777777" w:rsidR="00D55B43" w:rsidRDefault="00D55B43" w:rsidP="005D1540">
      <w:pPr>
        <w:spacing w:before="0" w:after="0"/>
      </w:pPr>
      <w:r>
        <w:separator/>
      </w:r>
    </w:p>
  </w:footnote>
  <w:footnote w:type="continuationSeparator" w:id="0">
    <w:p w14:paraId="33FEED80" w14:textId="77777777" w:rsidR="00D55B43" w:rsidRDefault="00D55B43"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Denne lov har til formål at gennemføre Europa-Parlamentets og Rådets direktiv (EU) 2018/1808 af 14. november 2018 om ændring af direktiv 2010/13/EU om samordning af visse love og administrative bestemmelser i medlemsstaterne om udbud af audiovisuelle medietjenester (direktivet om audiovisuelle medietjenester) i lyset af de ændrede markedsforhold (EUT L 303 af 28.11.2018, s. 69).</w:t>
      </w:r>
    </w:p>
  </w:footnote>
  <w:footnote w:id="2">
    <w:p w14:paraId="50BC2B1B" w14:textId="77777777" w:rsidR="00861858" w:rsidRDefault="00861858">
      <w:pPr>
        <w:pStyle w:val="Fotnotstext"/>
      </w:pPr>
      <w:r>
        <w:rPr>
          <w:rStyle w:val="Fotnotsreferens"/>
        </w:rPr>
        <w:footnoteRef/>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 </w:t>
    </w:r>
    <w:r>
      <w:rPr>
        <w:sz w:val="18"/>
      </w:rPr>
      <w:t>Senest opdateret: 17. juni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Version: 17. juni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4490"/>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A0C"/>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5B43"/>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03DBE"/>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13</TotalTime>
  <Pages>13</Pages>
  <Words>5316</Words>
  <Characters>28181</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