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szCs w:val="20"/>
        </w:rPr>
        <w:t>1. ---</w:t>
      </w:r>
      <w:r w:rsidR="00791773">
        <w:rPr>
          <w:color w:val="auto"/>
          <w:sz w:val="20"/>
          <w:szCs w:val="20"/>
        </w:rPr>
        <w:t>-</w:t>
      </w:r>
      <w:r>
        <w:rPr>
          <w:color w:val="auto"/>
          <w:sz w:val="20"/>
          <w:szCs w:val="20"/>
        </w:rPr>
        <w:t xml:space="preserve">--IND- 2019 0213 PL- DA- ------ </w:t>
      </w:r>
      <w:r>
        <w:rPr>
          <w:rFonts w:ascii="Segoe UI" w:hAnsi="Segoe UI"/>
          <w:sz w:val="20"/>
          <w:szCs w:val="20"/>
        </w:rPr>
        <w:t>20201030</w:t>
      </w:r>
      <w:r>
        <w:rPr>
          <w:rFonts w:ascii="Calibri" w:hAnsi="Calibri"/>
          <w:color w:val="auto"/>
          <w:sz w:val="20"/>
          <w:szCs w:val="20"/>
        </w:rPr>
        <w:t xml:space="preserve"> </w:t>
      </w:r>
      <w:r>
        <w:rPr>
          <w:color w:val="auto"/>
          <w:sz w:val="20"/>
          <w:szCs w:val="20"/>
        </w:rPr>
        <w:t>--- --- FINAL</w:t>
      </w:r>
      <w:r>
        <w:rPr>
          <w:rFonts w:ascii="Segoe UI" w:hAnsi="Segoe UI"/>
        </w:rPr>
        <w:t xml:space="preserve"> </w:t>
      </w:r>
    </w:p>
    <w:p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REPUBLIKKEN POLENS</w:t>
      </w:r>
    </w:p>
    <w:p w:rsidR="00080B05" w:rsidRPr="002200AF" w:rsidRDefault="00292458" w:rsidP="002C482D">
      <w:pPr>
        <w:pStyle w:val="Nagwek20"/>
        <w:widowControl/>
        <w:shd w:val="clear" w:color="auto" w:fill="auto"/>
        <w:ind w:left="1800"/>
        <w:jc w:val="both"/>
      </w:pPr>
      <w:r>
        <w:t>LOVTIDENDE</w:t>
      </w:r>
    </w:p>
    <w:p w:rsidR="002200AF" w:rsidRPr="002200AF" w:rsidRDefault="00292458" w:rsidP="002C482D">
      <w:pPr>
        <w:pStyle w:val="Nagwek30"/>
        <w:widowControl/>
        <w:shd w:val="clear" w:color="auto" w:fill="auto"/>
        <w:spacing w:after="240"/>
        <w:ind w:left="0"/>
      </w:pPr>
      <w:r>
        <w:t>Warszawa, den 4. november 2019</w:t>
      </w:r>
    </w:p>
    <w:p w:rsidR="00080B05" w:rsidRPr="002200AF" w:rsidRDefault="00292458" w:rsidP="002C482D">
      <w:pPr>
        <w:pStyle w:val="Nagwek30"/>
        <w:widowControl/>
        <w:shd w:val="clear" w:color="auto" w:fill="auto"/>
        <w:ind w:left="0"/>
      </w:pPr>
      <w:r>
        <w:t>Nr. 2125</w:t>
      </w:r>
    </w:p>
    <w:p w:rsidR="002200AF" w:rsidRPr="002200AF" w:rsidRDefault="00292458" w:rsidP="002C482D">
      <w:pPr>
        <w:pStyle w:val="Teksttreci0"/>
        <w:widowControl/>
        <w:shd w:val="clear" w:color="auto" w:fill="auto"/>
        <w:spacing w:line="343" w:lineRule="auto"/>
        <w:jc w:val="center"/>
        <w:rPr>
          <w:b/>
          <w:bCs/>
        </w:rPr>
      </w:pPr>
      <w:r>
        <w:rPr>
          <w:b/>
          <w:bCs/>
        </w:rPr>
        <w:t>FORSKRIFT FRA</w:t>
      </w:r>
    </w:p>
    <w:p w:rsidR="002200AF" w:rsidRPr="002200AF" w:rsidRDefault="00292458" w:rsidP="002C482D">
      <w:pPr>
        <w:pStyle w:val="Teksttreci0"/>
        <w:widowControl/>
        <w:shd w:val="clear" w:color="auto" w:fill="auto"/>
        <w:spacing w:line="343" w:lineRule="auto"/>
        <w:jc w:val="center"/>
        <w:rPr>
          <w:b/>
          <w:bCs/>
        </w:rPr>
      </w:pPr>
      <w:r>
        <w:rPr>
          <w:b/>
          <w:bCs/>
        </w:rPr>
        <w:t>MINISTEREN FOR DIGITALISERING</w:t>
      </w:r>
      <w:r w:rsidRPr="002200AF">
        <w:rPr>
          <w:vertAlign w:val="superscript"/>
        </w:rPr>
        <w:footnoteReference w:id="1"/>
      </w:r>
    </w:p>
    <w:p w:rsidR="00080B05" w:rsidRPr="002200AF" w:rsidRDefault="00AB43F8" w:rsidP="002C482D">
      <w:pPr>
        <w:pStyle w:val="Teksttreci0"/>
        <w:widowControl/>
        <w:shd w:val="clear" w:color="auto" w:fill="auto"/>
        <w:spacing w:line="343" w:lineRule="auto"/>
        <w:jc w:val="center"/>
      </w:pPr>
      <w:r>
        <w:t>af 7. oktober 2019</w:t>
      </w:r>
    </w:p>
    <w:p w:rsidR="00080B05" w:rsidRPr="002200AF" w:rsidRDefault="00292458" w:rsidP="002C482D">
      <w:pPr>
        <w:pStyle w:val="Nagwek40"/>
        <w:widowControl/>
        <w:shd w:val="clear" w:color="auto" w:fill="auto"/>
        <w:spacing w:after="180" w:line="298" w:lineRule="auto"/>
        <w:ind w:firstLine="0"/>
        <w:jc w:val="center"/>
      </w:pPr>
      <w:r>
        <w:t>om tekniske og driftsmæssige krav for digitale modtagere</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I medfør af artikel 132, stk. 3, i telekommunikationsloven af 16. juli 2004 (Polens lovtidende af [Dziennik Ustaw] af 2018, nr. 1954, som ændret</w:t>
      </w:r>
      <w:r w:rsidRPr="002200AF">
        <w:rPr>
          <w:vertAlign w:val="superscript"/>
        </w:rPr>
        <w:footnoteReference w:id="3"/>
      </w:r>
      <w:r>
        <w:t>) dekreteres hermed følgende:</w:t>
      </w:r>
    </w:p>
    <w:p w:rsidR="00080B05" w:rsidRPr="002200AF" w:rsidRDefault="00292458" w:rsidP="002C482D">
      <w:pPr>
        <w:pStyle w:val="Teksttreci0"/>
        <w:widowControl/>
        <w:shd w:val="clear" w:color="auto" w:fill="auto"/>
        <w:spacing w:line="298" w:lineRule="auto"/>
        <w:ind w:firstLine="420"/>
      </w:pPr>
      <w:r>
        <w:rPr>
          <w:b/>
          <w:bCs/>
        </w:rPr>
        <w:t xml:space="preserve">§ 1. </w:t>
      </w:r>
      <w:r>
        <w:t>De tekniske og driftsmæssige krav til digitale modtagere er fastlagt i bilaget til forskriften.</w:t>
      </w:r>
    </w:p>
    <w:p w:rsidR="00080B05" w:rsidRPr="002200AF" w:rsidRDefault="00292458" w:rsidP="002C482D">
      <w:pPr>
        <w:pStyle w:val="Teksttreci0"/>
        <w:widowControl/>
        <w:shd w:val="clear" w:color="auto" w:fill="auto"/>
        <w:ind w:firstLine="420"/>
      </w:pPr>
      <w:r>
        <w:rPr>
          <w:b/>
          <w:bCs/>
        </w:rPr>
        <w:t xml:space="preserve">§ 2. </w:t>
      </w:r>
      <w:r>
        <w:t>Forskriften fra ministeren for administration og digitalisering af 7. juli 2015 om tekniske og driftsmæssige krav for digitale modtagere (</w:t>
      </w:r>
      <w:r>
        <w:rPr>
          <w:i/>
          <w:iCs/>
        </w:rPr>
        <w:t>Polens lovtidende</w:t>
      </w:r>
      <w:r>
        <w:t xml:space="preserve"> af 2017, nr. 1092) ophæves.</w:t>
      </w:r>
    </w:p>
    <w:p w:rsidR="00080B05" w:rsidRPr="002200AF" w:rsidRDefault="00292458" w:rsidP="002C482D">
      <w:pPr>
        <w:pStyle w:val="Teksttreci0"/>
        <w:widowControl/>
        <w:shd w:val="clear" w:color="auto" w:fill="auto"/>
        <w:spacing w:after="340" w:line="298" w:lineRule="auto"/>
        <w:ind w:firstLine="420"/>
      </w:pPr>
      <w:r>
        <w:rPr>
          <w:b/>
          <w:bCs/>
        </w:rPr>
        <w:t xml:space="preserve">§ 3. </w:t>
      </w:r>
      <w:r>
        <w:t>Nærværende forskrift træder i kraft den 1. december 2019.</w:t>
      </w:r>
    </w:p>
    <w:p w:rsidR="00080B05" w:rsidRPr="002200AF" w:rsidRDefault="00292458" w:rsidP="002C482D">
      <w:pPr>
        <w:pStyle w:val="Teksttreci0"/>
        <w:widowControl/>
        <w:shd w:val="clear" w:color="auto" w:fill="auto"/>
        <w:spacing w:after="160"/>
        <w:jc w:val="right"/>
        <w:rPr>
          <w:i/>
          <w:iCs/>
        </w:rPr>
      </w:pPr>
      <w:r>
        <w:t xml:space="preserve">Ministeren for digitalisering: </w:t>
      </w:r>
      <w:r>
        <w:rPr>
          <w:i/>
          <w:iCs/>
        </w:rPr>
        <w:t>M. Zagórski</w:t>
      </w:r>
    </w:p>
    <w:p w:rsidR="00080B05" w:rsidRPr="002200AF" w:rsidRDefault="00292458" w:rsidP="002C482D">
      <w:pPr>
        <w:pStyle w:val="Teksttreci20"/>
        <w:keepNext/>
        <w:keepLines/>
        <w:pageBreakBefore/>
        <w:widowControl/>
        <w:shd w:val="clear" w:color="auto" w:fill="auto"/>
      </w:pPr>
      <w:r>
        <w:lastRenderedPageBreak/>
        <w:t>Bilag til forskrift fra ministeren for digitalisering af 7. oktober 2019 (nr. 2125)</w:t>
      </w:r>
    </w:p>
    <w:p w:rsidR="00080B05" w:rsidRPr="002200AF" w:rsidRDefault="00292458" w:rsidP="002C482D">
      <w:pPr>
        <w:pStyle w:val="Teksttreci0"/>
        <w:keepNext/>
        <w:keepLines/>
        <w:widowControl/>
        <w:shd w:val="clear" w:color="auto" w:fill="auto"/>
        <w:jc w:val="center"/>
      </w:pPr>
      <w:r>
        <w:t>TEKNISKE OG DRIFTSMÆSSIGE KRAV FOR DIGITALE MODTAGERE</w:t>
      </w:r>
    </w:p>
    <w:p w:rsidR="00080B05" w:rsidRPr="002200AF" w:rsidRDefault="001A43DE" w:rsidP="002C482D">
      <w:pPr>
        <w:pStyle w:val="Nagwek40"/>
        <w:keepNext/>
        <w:keepLines/>
        <w:widowControl/>
        <w:shd w:val="clear" w:color="auto" w:fill="auto"/>
        <w:tabs>
          <w:tab w:val="left" w:pos="789"/>
        </w:tabs>
      </w:pPr>
      <w:r>
        <w:t>1. Generelle bestemmelser</w:t>
      </w:r>
    </w:p>
    <w:p w:rsidR="00080B05" w:rsidRPr="002200AF" w:rsidRDefault="00292458" w:rsidP="002C482D">
      <w:pPr>
        <w:pStyle w:val="Teksttreci0"/>
        <w:widowControl/>
        <w:shd w:val="clear" w:color="auto" w:fill="auto"/>
        <w:ind w:firstLine="440"/>
      </w:pPr>
      <w:r>
        <w:t>Bilaget fastsætter de tekniske og driftsmæssige krav, som skal opfyldes af digitale modtagere af signaler, der leveres via et jordbaseret forsyningsnet baseret på DVB-T og DVB-T2-systemerne, som anvendes til levering af audiovisuelt indhold og andre data samt supplerende tjenester.</w:t>
      </w:r>
    </w:p>
    <w:p w:rsidR="00080B05" w:rsidRPr="002200AF" w:rsidRDefault="00292458" w:rsidP="002C482D">
      <w:pPr>
        <w:pStyle w:val="Teksttreci0"/>
        <w:widowControl/>
        <w:shd w:val="clear" w:color="auto" w:fill="auto"/>
        <w:ind w:firstLine="440"/>
      </w:pPr>
      <w:r>
        <w:t>For DVB-T blev de digitale modtagelsesparametre fastsat i ETSI TS 101 154, [15]: "25 Hz H.264/AVC HDTV video, MPEG-2 Layer II og E-AC-3 audio til en Baseline IRD, der kan afkode sammenflettede videobilleder i op til 1 920 x 1 080 på 25 Hz eller progressive videobilleder i 1 280 x 720 på 50 Hz" anvendt som grundlag.</w:t>
      </w:r>
    </w:p>
    <w:p w:rsidR="00080B05" w:rsidRPr="002200AF" w:rsidRDefault="00292458" w:rsidP="007A7A0E">
      <w:pPr>
        <w:pStyle w:val="Teksttreci0"/>
        <w:widowControl/>
        <w:shd w:val="clear" w:color="auto" w:fill="auto"/>
        <w:ind w:firstLine="440"/>
      </w:pPr>
      <w:r>
        <w:t>For DVB-T2 blev de digitale modtagelsesparametre fastsat i ETSI TS 101 154, [15], for HDTV level 4.1: 50 Hz HEVC HDTV 8-bit IRD (1920 x 1080 p50, 1280 x 720 p50 opløsning), MPEG-2 Audio Layer II og E-AC-3 audio anvendt som grundlag. I tilfælde af tv-modtagere, der er i stand til at vise billeder i ultra høj opløsning (UHD), er DVB-T2-modtageren også kompatibel med formatet fastlagt i nr. 5.14, ETSI TS 101 154 [15], som HEVC HDR UHDTV IRD, der bruger HLG10, og HEVC HDR UHDTV IRD, der bruger Q10, Main 10 Profile og Main Tier for UHDTV med en opløsning på 3840 x 2160, samt AC-4-lyd.</w:t>
      </w:r>
    </w:p>
    <w:p w:rsidR="00080B05" w:rsidRPr="002200AF" w:rsidRDefault="00292458" w:rsidP="002C482D">
      <w:pPr>
        <w:pStyle w:val="Teksttreci0"/>
        <w:widowControl/>
        <w:shd w:val="clear" w:color="auto" w:fill="auto"/>
        <w:ind w:firstLine="440"/>
      </w:pPr>
      <w:r>
        <w:t>Opfyldelse af kravene fastsat i denne forskrift udelukker ikke tilføjelsen af andre funktioner til digitale modtagere, der kan forbedre funktionaliteten og anvendeligheden.</w:t>
      </w:r>
    </w:p>
    <w:p w:rsidR="00080B05" w:rsidRPr="002200AF" w:rsidRDefault="00292458" w:rsidP="002C482D">
      <w:pPr>
        <w:pStyle w:val="Teksttreci0"/>
        <w:widowControl/>
        <w:shd w:val="clear" w:color="auto" w:fill="auto"/>
        <w:ind w:firstLine="440"/>
      </w:pPr>
      <w:r>
        <w:t>Tekniske parametre markeret med "hvis de forefindes" er ikke obligatoriske, men hvis de forefindes, skal de opfylde de angivne krav.</w:t>
      </w:r>
    </w:p>
    <w:p w:rsidR="00080B05" w:rsidRPr="002200AF" w:rsidRDefault="001A43DE" w:rsidP="002C482D">
      <w:pPr>
        <w:pStyle w:val="Nagwek40"/>
        <w:keepNext/>
        <w:keepLines/>
        <w:widowControl/>
        <w:shd w:val="clear" w:color="auto" w:fill="auto"/>
        <w:tabs>
          <w:tab w:val="left" w:pos="789"/>
        </w:tabs>
      </w:pPr>
      <w:r>
        <w:t>2. Liste over standarder og dokumenter</w:t>
      </w:r>
    </w:p>
    <w:p w:rsidR="00080B05" w:rsidRPr="002200AF" w:rsidRDefault="001A43DE" w:rsidP="002C482D">
      <w:pPr>
        <w:pStyle w:val="Teksttreci0"/>
        <w:keepNext/>
        <w:keepLines/>
        <w:widowControl/>
        <w:shd w:val="clear" w:color="auto" w:fill="auto"/>
        <w:tabs>
          <w:tab w:val="left" w:pos="938"/>
        </w:tabs>
        <w:ind w:firstLine="440"/>
      </w:pPr>
      <w:r>
        <w:t>2.1.</w:t>
      </w:r>
      <w:r>
        <w:tab/>
        <w:t>Liste over standarder og dokumenter, der henvises til i bilaget:</w:t>
      </w:r>
    </w:p>
    <w:p w:rsidR="00080B05" w:rsidRPr="002200AF" w:rsidRDefault="001A43DE" w:rsidP="002C482D">
      <w:pPr>
        <w:pStyle w:val="Teksttreci0"/>
        <w:widowControl/>
        <w:shd w:val="clear" w:color="auto" w:fill="auto"/>
        <w:tabs>
          <w:tab w:val="left" w:pos="430"/>
        </w:tabs>
        <w:spacing w:after="120"/>
        <w:ind w:left="440" w:hanging="440"/>
      </w:pPr>
      <w:r>
        <w:t>[1]</w:t>
      </w:r>
      <w:r>
        <w:tab/>
        <w:t>PN-EN 50049-1:2003 Krav til indbyrdes forbindelse af elektronisk udstyr til hjemmebrug o.l.: Peritelevisionskonnektor</w:t>
      </w:r>
    </w:p>
    <w:p w:rsidR="00080B05" w:rsidRPr="002200AF" w:rsidRDefault="001A43DE" w:rsidP="002C482D">
      <w:pPr>
        <w:pStyle w:val="Teksttreci0"/>
        <w:widowControl/>
        <w:shd w:val="clear" w:color="auto" w:fill="auto"/>
        <w:tabs>
          <w:tab w:val="left" w:pos="430"/>
        </w:tabs>
        <w:spacing w:after="120"/>
        <w:ind w:left="440" w:hanging="440"/>
      </w:pPr>
      <w:r>
        <w:t>[2]</w:t>
      </w:r>
      <w:r>
        <w:tab/>
        <w:t>PN-EN 50157-2-1:2002 Krav til indbyrdes forbindelse af elektronisk udstyr til hjemmebrug: Sammenkædning af AV-udstyr - Del 2-1: Kvalitetstilpasning af signaler og automatisk udvælgelse af kildeudstyr</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Karakteristika for spændingen i offentlige elektricitetsforsyningsnet</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CENELEC-standardspændinger</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Grænseflade for digital lyd - Del 1: Generelle bestemmelser</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Højfrekvenskonnektorer – Del 2: Sektionsspecifikation – Højfrekvente koaksialkonnektorer af type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Digitale jordbaserede tv-modtagere til DVB-T-systemet</w:t>
      </w:r>
    </w:p>
    <w:p w:rsidR="00080B05" w:rsidRPr="002200AF" w:rsidRDefault="001A43DE" w:rsidP="002C482D">
      <w:pPr>
        <w:pStyle w:val="Teksttreci0"/>
        <w:widowControl/>
        <w:shd w:val="clear" w:color="auto" w:fill="auto"/>
        <w:tabs>
          <w:tab w:val="left" w:pos="430"/>
        </w:tabs>
        <w:spacing w:after="120"/>
        <w:ind w:left="440" w:hanging="440"/>
      </w:pPr>
      <w:r>
        <w:t>[8]</w:t>
      </w:r>
      <w:r>
        <w:tab/>
        <w:t>PN-EN 62680-2-1:2016-03 USB-grænseflader for data og energi – Del 2-1: Specifikation af USB, revision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Digital Video Broadcasting (DVB); Specification for Service Information (SI) in DVB systems (Digital tv-transmission (DVB), Specifikation for serviceinformation i DVB-systemer)</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Enhanced Teletext specification (Forbedret specifikation for tekst-tv)</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Digital TV (DVB) – Subtitle systems (Digital TV (DVB) – Undertekstningssystemer)</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Digital Video Broadcasting (DVB) – Framing structure, channel coding and modulation for digital terrestrial television (Digital tv-transmission (DVB), Rammestruktur, kanalkodning og modulation til digitalt jordbaseret tv)</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Digital Video Broadcasting (DVB); Frame structure, channel coding and modulation for a second generation digital terrestrial television broadcasting system (DVB-T2) (Digital tv-transmission (DVB), Rammestruktur, kanalkodning og modulation til anden generation af et digitalt jordbaseret tv-transmissionssystem (DVB-T2))</w:t>
      </w:r>
    </w:p>
    <w:p w:rsidR="00080B05" w:rsidRPr="002200AF" w:rsidRDefault="001A43DE" w:rsidP="002C482D">
      <w:pPr>
        <w:pStyle w:val="Teksttreci0"/>
        <w:widowControl/>
        <w:shd w:val="clear" w:color="auto" w:fill="auto"/>
        <w:tabs>
          <w:tab w:val="left" w:pos="430"/>
        </w:tabs>
        <w:spacing w:after="120"/>
        <w:ind w:left="440" w:hanging="440"/>
      </w:pPr>
      <w:r>
        <w:t>[14]</w:t>
      </w:r>
      <w:r>
        <w:tab/>
        <w:t>ETSI TS 100 289 V1.2.1 (2014-03) Digital Video Broadcasting (DVB); Support for use of the DVB Scrambling Algorithm version 3 within digital broadcasting systems (Digital tv-transmission (DVB), Støtte i forbindelse med brug af DVB-krypteringsalgoritme, version 3, inden for digitale transmissionssystemer)</w:t>
      </w:r>
    </w:p>
    <w:p w:rsidR="00080B05" w:rsidRPr="001A43DE" w:rsidRDefault="001A43DE" w:rsidP="002C482D">
      <w:pPr>
        <w:pStyle w:val="Teksttreci0"/>
        <w:widowControl/>
        <w:shd w:val="clear" w:color="auto" w:fill="auto"/>
        <w:tabs>
          <w:tab w:val="left" w:pos="430"/>
        </w:tabs>
        <w:spacing w:after="120"/>
        <w:ind w:left="440" w:hanging="440"/>
      </w:pPr>
      <w:r>
        <w:lastRenderedPageBreak/>
        <w:t>[15]</w:t>
      </w:r>
      <w:r>
        <w:tab/>
        <w:t>ETSI TS 101 154 Digital Video Broadcasting (DVB); Specification for the use of Video and Audio Coding in Broadcasting Applications based on the MPEG-2 Transport Stream (Digital tv-transmission (DVB), Specifikation vedrørende brug af kodning af video og lyd i transmissionsapplikationer baseret på MPEG-2 transportstrøm)</w:t>
      </w:r>
    </w:p>
    <w:p w:rsidR="00080B05" w:rsidRPr="002200AF" w:rsidRDefault="001A43DE" w:rsidP="002C482D">
      <w:pPr>
        <w:pStyle w:val="Teksttreci0"/>
        <w:widowControl/>
        <w:shd w:val="clear" w:color="auto" w:fill="auto"/>
        <w:tabs>
          <w:tab w:val="left" w:pos="430"/>
        </w:tabs>
        <w:spacing w:after="120"/>
        <w:ind w:left="440" w:hanging="440"/>
      </w:pPr>
      <w:r>
        <w:t>[16]</w:t>
      </w:r>
      <w:r>
        <w:tab/>
        <w:t>ETSI TS 102 006 Digital Video Broadcasting (DVB); Specification for System Software Update in DVB Systems (Digital tv-transmission (DVB), Specifikation for opdatering af systemsoftware i DVB-systemer)</w:t>
      </w:r>
    </w:p>
    <w:p w:rsidR="00080B05" w:rsidRPr="002200AF" w:rsidRDefault="001A43DE" w:rsidP="002C482D">
      <w:pPr>
        <w:pStyle w:val="Teksttreci0"/>
        <w:widowControl/>
        <w:shd w:val="clear" w:color="auto" w:fill="auto"/>
        <w:tabs>
          <w:tab w:val="left" w:pos="430"/>
        </w:tabs>
        <w:spacing w:after="120"/>
        <w:ind w:left="440" w:hanging="440"/>
      </w:pPr>
      <w:r>
        <w:t>[17]</w:t>
      </w:r>
      <w:r>
        <w:tab/>
        <w:t>ETSI TS 102 366 Digital Audio Compression (AC-3, Enhanced AC-3) Standard (Standard for digital lydkompression (AC-3, forbedret AC-3))</w:t>
      </w:r>
    </w:p>
    <w:p w:rsidR="00080B05" w:rsidRPr="002200AF" w:rsidRDefault="001A43DE" w:rsidP="002C482D">
      <w:pPr>
        <w:pStyle w:val="Teksttreci0"/>
        <w:widowControl/>
        <w:shd w:val="clear" w:color="auto" w:fill="auto"/>
        <w:tabs>
          <w:tab w:val="left" w:pos="430"/>
        </w:tabs>
        <w:spacing w:after="120"/>
        <w:ind w:left="440" w:hanging="440"/>
      </w:pPr>
      <w:r>
        <w:t>[18]</w:t>
      </w:r>
      <w:r>
        <w:tab/>
        <w:t>ETSI TS 102 796 Hybrid Broadband TV (Hybrid bredbånds-tv)</w:t>
      </w:r>
    </w:p>
    <w:p w:rsidR="00080B05" w:rsidRPr="002200AF" w:rsidRDefault="001A43DE" w:rsidP="002C482D">
      <w:pPr>
        <w:pStyle w:val="Teksttreci0"/>
        <w:widowControl/>
        <w:shd w:val="clear" w:color="auto" w:fill="auto"/>
        <w:tabs>
          <w:tab w:val="left" w:pos="430"/>
        </w:tabs>
        <w:spacing w:after="120"/>
        <w:ind w:left="440" w:hanging="440"/>
      </w:pPr>
      <w:r>
        <w:t>[19]</w:t>
      </w:r>
      <w:r>
        <w:tab/>
        <w:t>ETSI TS 103 190 Digital Audio Compression (AC-4) Standard Part 2: (Standard for digital lydkompression (AC-4) Del 2:) Immersiv og personaliseret lyd</w:t>
      </w:r>
    </w:p>
    <w:p w:rsidR="00080B05" w:rsidRPr="002200AF" w:rsidRDefault="001A43DE" w:rsidP="002C482D">
      <w:pPr>
        <w:pStyle w:val="Teksttreci0"/>
        <w:widowControl/>
        <w:shd w:val="clear" w:color="auto" w:fill="auto"/>
        <w:tabs>
          <w:tab w:val="left" w:pos="430"/>
        </w:tabs>
        <w:spacing w:after="120"/>
        <w:ind w:left="440" w:hanging="440"/>
      </w:pPr>
      <w:r>
        <w:t>[20]</w:t>
      </w:r>
      <w:r>
        <w:tab/>
        <w:t>PN-ISO/IEC 8859-2:2001 IT Technology – 8-bit single-byte coded graphic character sets – Latin alphabet No 2 (IT-teknologi – 8-bit single-byte kodede grafiske tegnsæt – det latinske alfabet nr. 2)</w:t>
      </w:r>
    </w:p>
    <w:p w:rsidR="00080B05" w:rsidRPr="001A43DE" w:rsidRDefault="00BE7A62" w:rsidP="002C482D">
      <w:pPr>
        <w:pStyle w:val="Teksttreci0"/>
        <w:widowControl/>
        <w:shd w:val="clear" w:color="auto" w:fill="auto"/>
        <w:tabs>
          <w:tab w:val="left" w:pos="430"/>
        </w:tabs>
        <w:spacing w:after="120"/>
        <w:ind w:left="440" w:hanging="440"/>
      </w:pPr>
      <w:r>
        <w:t>[</w:t>
      </w:r>
      <w:bookmarkStart w:id="0" w:name="_GoBack"/>
      <w:bookmarkEnd w:id="0"/>
      <w:r w:rsidR="001A43DE">
        <w:t>21]</w:t>
      </w:r>
      <w:r w:rsidR="001A43DE">
        <w:tab/>
        <w:t>IEC 61937-3:2017 Digital lyd – Grænseflade for ulineære PCM-afkodede bitstrømme for lyd i henhold til IEC 60958 Del 3. Ulineære PCM-bitstrømme i henhold til AC-3- og forbedrede AC-3-formater</w:t>
      </w:r>
    </w:p>
    <w:p w:rsidR="00080B05" w:rsidRPr="001A43DE" w:rsidRDefault="001A43DE" w:rsidP="002C482D">
      <w:pPr>
        <w:pStyle w:val="Teksttreci0"/>
        <w:widowControl/>
        <w:shd w:val="clear" w:color="auto" w:fill="auto"/>
        <w:tabs>
          <w:tab w:val="left" w:pos="430"/>
        </w:tabs>
        <w:spacing w:after="120"/>
        <w:ind w:left="440" w:hanging="440"/>
      </w:pPr>
      <w:r>
        <w:t>[22]</w:t>
      </w:r>
      <w:r>
        <w:tab/>
        <w:t>ISO/IEC 13818-3:1998 Informationsteknologi – Generisk kodning af levende billeder og associeret lydinformation, Del 3: Audio (Lyd)</w:t>
      </w:r>
    </w:p>
    <w:p w:rsidR="00080B05" w:rsidRPr="002200AF" w:rsidRDefault="001A43DE" w:rsidP="002C482D">
      <w:pPr>
        <w:pStyle w:val="Teksttreci0"/>
        <w:widowControl/>
        <w:shd w:val="clear" w:color="auto" w:fill="auto"/>
        <w:tabs>
          <w:tab w:val="left" w:pos="430"/>
        </w:tabs>
        <w:spacing w:after="120"/>
        <w:ind w:left="440" w:hanging="440"/>
      </w:pPr>
      <w:r>
        <w:t>[23]</w:t>
      </w:r>
      <w:r>
        <w:tab/>
        <w:t>ITU-T-henstilling H.264: Avanceret videokodning for generiske audiovisuelle tjenester</w:t>
      </w:r>
    </w:p>
    <w:p w:rsidR="00080B05" w:rsidRPr="002200AF" w:rsidRDefault="001A43DE" w:rsidP="002C482D">
      <w:pPr>
        <w:pStyle w:val="Teksttreci0"/>
        <w:widowControl/>
        <w:shd w:val="clear" w:color="auto" w:fill="auto"/>
        <w:tabs>
          <w:tab w:val="left" w:pos="430"/>
        </w:tabs>
        <w:spacing w:after="120"/>
        <w:ind w:left="440" w:hanging="440"/>
      </w:pPr>
      <w:r>
        <w:t>[24]</w:t>
      </w:r>
      <w:r>
        <w:tab/>
        <w:t>ITU-T-henstilling H.265: Højeffektiv videokodning</w:t>
      </w:r>
    </w:p>
    <w:p w:rsidR="00080B05" w:rsidRPr="001A43DE" w:rsidRDefault="001A43DE" w:rsidP="002C482D">
      <w:pPr>
        <w:pStyle w:val="Teksttreci0"/>
        <w:widowControl/>
        <w:shd w:val="clear" w:color="auto" w:fill="auto"/>
        <w:tabs>
          <w:tab w:val="left" w:pos="430"/>
        </w:tabs>
        <w:spacing w:after="120"/>
        <w:ind w:left="440" w:hanging="440"/>
      </w:pPr>
      <w:r>
        <w:t>[25]</w:t>
      </w:r>
      <w:r>
        <w:tab/>
        <w:t>ITU-R-henstilling BT.2020 Parameterværdier for fjernsynssystemer med ultra høj opløsning til produktion og udveksling af internationale programmer</w:t>
      </w:r>
    </w:p>
    <w:p w:rsidR="00080B05" w:rsidRPr="001A43DE" w:rsidRDefault="001A43DE" w:rsidP="002C482D">
      <w:pPr>
        <w:pStyle w:val="Teksttreci0"/>
        <w:widowControl/>
        <w:shd w:val="clear" w:color="auto" w:fill="auto"/>
        <w:tabs>
          <w:tab w:val="left" w:pos="430"/>
        </w:tabs>
        <w:spacing w:after="120"/>
        <w:ind w:left="440" w:hanging="440"/>
      </w:pPr>
      <w:r>
        <w:t>[26]</w:t>
      </w:r>
      <w:r>
        <w:tab/>
        <w:t>ITU-R-henstilling BT.2100 Billedeparameterværdier for fjernsyn med høj dynamisk rækkevidde til brug til produktion og udveksling af internationale programmer</w:t>
      </w:r>
    </w:p>
    <w:p w:rsidR="00080B05" w:rsidRPr="002200AF" w:rsidRDefault="001A43DE" w:rsidP="002C482D">
      <w:pPr>
        <w:pStyle w:val="Teksttreci0"/>
        <w:widowControl/>
        <w:shd w:val="clear" w:color="auto" w:fill="auto"/>
        <w:tabs>
          <w:tab w:val="left" w:pos="430"/>
        </w:tabs>
        <w:spacing w:after="120"/>
        <w:ind w:left="440" w:hanging="440"/>
      </w:pPr>
      <w:r>
        <w:t>[27]</w:t>
      </w:r>
      <w:r>
        <w:tab/>
        <w:t>Digital Video Broadcasting (DVB); Specification for Service Information (SI) in DVB systems, DVB Document A038, Feb 2019 (Digital tv-transmission (DVB), Specifikation for serviceinformation (SI) i DVB-systemer, DVB-dokument A038, februar 2019)</w:t>
      </w:r>
    </w:p>
    <w:p w:rsidR="00080B05" w:rsidRPr="00791773" w:rsidRDefault="001A43DE" w:rsidP="002C482D">
      <w:pPr>
        <w:pStyle w:val="Teksttreci0"/>
        <w:widowControl/>
        <w:shd w:val="clear" w:color="auto" w:fill="auto"/>
        <w:tabs>
          <w:tab w:val="left" w:pos="430"/>
        </w:tabs>
        <w:spacing w:after="120"/>
        <w:ind w:left="440" w:hanging="440"/>
        <w:rPr>
          <w:lang w:val="en-US"/>
        </w:rPr>
      </w:pPr>
      <w:r w:rsidRPr="00791773">
        <w:rPr>
          <w:lang w:val="en-US"/>
        </w:rPr>
        <w:t>[28]</w:t>
      </w:r>
      <w:r w:rsidRPr="00791773">
        <w:rPr>
          <w:lang w:val="en-US"/>
        </w:rPr>
        <w:tab/>
        <w:t>High-Bandwidth Digital Content Protection System, rev. 1.3, 21 December, 2006. Digital Content Protection LLC (digitalt indholdsbeskyttende system med stor båndbredde, revision 1.3, 21. december, 2006, Digital Content Protection LLC)</w:t>
      </w:r>
    </w:p>
    <w:p w:rsidR="00080B05" w:rsidRPr="00791773" w:rsidRDefault="001A43DE" w:rsidP="002C482D">
      <w:pPr>
        <w:pStyle w:val="Teksttreci0"/>
        <w:widowControl/>
        <w:shd w:val="clear" w:color="auto" w:fill="auto"/>
        <w:tabs>
          <w:tab w:val="left" w:pos="430"/>
        </w:tabs>
        <w:spacing w:after="120"/>
        <w:ind w:left="440" w:hanging="440"/>
        <w:rPr>
          <w:lang w:val="en-US"/>
        </w:rPr>
      </w:pPr>
      <w:r w:rsidRPr="00791773">
        <w:rPr>
          <w:lang w:val="en-US"/>
        </w:rPr>
        <w:t>[29]</w:t>
      </w:r>
      <w:r w:rsidRPr="00791773">
        <w:rPr>
          <w:lang w:val="en-US"/>
        </w:rPr>
        <w:tab/>
        <w:t>High-bandwidth Digital Content Protection System, Mapping HDCP to HDMI, Revision 2.2, 13 February 2013, Digital Content Protection LLC (digitalt indholdsbeskyttende system med stor båndbredde, som viser HDCP i forhold til HDMI, revision 2.2, 13. februar 2013, Digital Content Protection LLC)</w:t>
      </w:r>
    </w:p>
    <w:p w:rsidR="00080B05" w:rsidRPr="00791773" w:rsidRDefault="001A43DE" w:rsidP="002C482D">
      <w:pPr>
        <w:pStyle w:val="Teksttreci0"/>
        <w:widowControl/>
        <w:shd w:val="clear" w:color="auto" w:fill="auto"/>
        <w:tabs>
          <w:tab w:val="left" w:pos="430"/>
        </w:tabs>
        <w:spacing w:after="120"/>
        <w:ind w:left="440" w:hanging="440"/>
        <w:rPr>
          <w:lang w:val="en-US"/>
        </w:rPr>
      </w:pPr>
      <w:r w:rsidRPr="00791773">
        <w:rPr>
          <w:lang w:val="en-US"/>
        </w:rPr>
        <w:t>[30]</w:t>
      </w:r>
      <w:r w:rsidRPr="00791773">
        <w:rPr>
          <w:lang w:val="en-US"/>
        </w:rPr>
        <w:tab/>
        <w:t>High-Definition Multimedia Interface, Version 1.4a, March 2010, HDMI Licensing, LLC (multimediegrænseflade med høj opløsning, version 1.4a, marts 2010, HDMI Licensing, LLC)</w:t>
      </w:r>
    </w:p>
    <w:p w:rsidR="00080B05" w:rsidRPr="00791773" w:rsidRDefault="001A43DE" w:rsidP="002C482D">
      <w:pPr>
        <w:pStyle w:val="Teksttreci0"/>
        <w:widowControl/>
        <w:shd w:val="clear" w:color="auto" w:fill="auto"/>
        <w:tabs>
          <w:tab w:val="left" w:pos="430"/>
        </w:tabs>
        <w:spacing w:after="120"/>
        <w:ind w:left="440" w:hanging="440"/>
        <w:rPr>
          <w:lang w:val="en-US"/>
        </w:rPr>
      </w:pPr>
      <w:r w:rsidRPr="00791773">
        <w:rPr>
          <w:lang w:val="en-US"/>
        </w:rPr>
        <w:t>[31]</w:t>
      </w:r>
      <w:r w:rsidRPr="00791773">
        <w:rPr>
          <w:lang w:val="en-US"/>
        </w:rPr>
        <w:tab/>
        <w:t>High-Definition Multimedia Interface, Version 2.1, November 2017, HDMI Licensing, LLC (multimediegrænseflade med høj opløsning, version 2.1, november 2017, HDMI Licensing, LLC)</w:t>
      </w:r>
    </w:p>
    <w:p w:rsidR="00080B05" w:rsidRPr="00791773" w:rsidRDefault="001A43DE" w:rsidP="002C482D">
      <w:pPr>
        <w:pStyle w:val="Teksttreci0"/>
        <w:widowControl/>
        <w:shd w:val="clear" w:color="auto" w:fill="auto"/>
        <w:tabs>
          <w:tab w:val="left" w:pos="430"/>
        </w:tabs>
        <w:spacing w:after="120"/>
        <w:ind w:left="440" w:hanging="440"/>
        <w:rPr>
          <w:lang w:val="en-US"/>
        </w:rPr>
      </w:pPr>
      <w:r w:rsidRPr="00791773">
        <w:rPr>
          <w:lang w:val="en-US"/>
        </w:rPr>
        <w:t>[32]</w:t>
      </w:r>
      <w:r w:rsidRPr="00791773">
        <w:rPr>
          <w:lang w:val="en-US"/>
        </w:rPr>
        <w:tab/>
        <w:t>NorDig Unified Requirements for Integrated Receiver Decoders for use in cable, satellite, terrestrial and managed IPTV based networks, Requirements ver. 3.1 (October 2018) (NorDig Unifieds krav til integrerede digitale modtagerdekodere til anvendelse i kabel- og satellitnetværk, jordbaserede og styrede IPTV-baserede netværk, krav version 3.1 (oktober 2018)).</w:t>
      </w:r>
    </w:p>
    <w:p w:rsidR="00080B05" w:rsidRPr="002200AF" w:rsidRDefault="001A43DE" w:rsidP="002C482D">
      <w:pPr>
        <w:pStyle w:val="Teksttreci0"/>
        <w:widowControl/>
        <w:shd w:val="clear" w:color="auto" w:fill="auto"/>
        <w:tabs>
          <w:tab w:val="left" w:pos="920"/>
        </w:tabs>
        <w:ind w:firstLine="440"/>
      </w:pPr>
      <w:r>
        <w:t>2.2.</w:t>
      </w:r>
      <w:r>
        <w:tab/>
        <w:t>Hvis listen som omtalt i punkt 2.1 indeholder en henvisning til en specifik udgave af dokumentet (identificeret ved offentliggørelsesdato, oplagsnummer, udgavenummer osv.), anvendes senere udgaver af dette dokument ikke.</w:t>
      </w:r>
    </w:p>
    <w:p w:rsidR="00080B05" w:rsidRPr="002200AF" w:rsidRDefault="001A43DE" w:rsidP="002C482D">
      <w:pPr>
        <w:pStyle w:val="Teksttreci0"/>
        <w:widowControl/>
        <w:shd w:val="clear" w:color="auto" w:fill="auto"/>
        <w:tabs>
          <w:tab w:val="left" w:pos="920"/>
        </w:tabs>
        <w:ind w:firstLine="440"/>
      </w:pPr>
      <w:r>
        <w:t>2.3.</w:t>
      </w:r>
      <w:r>
        <w:tab/>
        <w:t>Hvis listen som omtalt i punkt 2.1. ikke indeholder en henvisning til en specifik udgave af dokumentet, anvendes den seneste udgave af dokumentet.</w:t>
      </w:r>
    </w:p>
    <w:p w:rsidR="00080B05" w:rsidRPr="002200AF" w:rsidRDefault="001A43DE" w:rsidP="002C482D">
      <w:pPr>
        <w:pStyle w:val="Teksttreci0"/>
        <w:widowControl/>
        <w:shd w:val="clear" w:color="auto" w:fill="auto"/>
        <w:tabs>
          <w:tab w:val="left" w:pos="925"/>
        </w:tabs>
        <w:ind w:firstLine="440"/>
      </w:pPr>
      <w:r>
        <w:t>2.4.</w:t>
      </w:r>
      <w:r>
        <w:tab/>
        <w:t>De dokumenter, der henvises til i afsnit [1] til [13] og [20] i punkt 2.1., stilles til rådighed uden ekstra omkostninger i læsesalene hos den polske standardiseringsorganisation og på</w:t>
      </w:r>
      <w:hyperlink r:id="rId11" w:history="1">
        <w:r>
          <w:t xml:space="preserve"> www.pkn.pl </w:t>
        </w:r>
      </w:hyperlink>
      <w:r>
        <w:t>(mod betaling).</w:t>
      </w:r>
    </w:p>
    <w:p w:rsidR="00080B05" w:rsidRPr="002200AF" w:rsidRDefault="001A43DE" w:rsidP="002C482D">
      <w:pPr>
        <w:pStyle w:val="Teksttreci0"/>
        <w:widowControl/>
        <w:shd w:val="clear" w:color="auto" w:fill="auto"/>
        <w:tabs>
          <w:tab w:val="left" w:pos="925"/>
        </w:tabs>
        <w:ind w:firstLine="440"/>
      </w:pPr>
      <w:r>
        <w:t>2.5.</w:t>
      </w:r>
      <w:r>
        <w:tab/>
        <w:t xml:space="preserve">De dokumenter, der henvises til i afsnit [14] til [19] i punkt 2.1., kan findes på webstedet for Det Europæiske Standardiseringsinstitut for Telekommunikation (ETSI)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De dokumenter, der henvises til i afsnit [21] til [22] i punkt 2.1, kan (mod betaling) findes på webstedet for Den Internationale Elektrotekniske Kommission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lastRenderedPageBreak/>
        <w:t>2.7.</w:t>
      </w:r>
      <w:r>
        <w:tab/>
        <w:t xml:space="preserve">De dokumenter, der henvises til i afsnit [23] til [26] i punkt 2.1., kan findes på webstedet for Den Internationale Telekommunikationsunion (ITU)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Det dokument, der henvises til i afsnit [27] i punkt 2.1, kan findes på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De dokumenter, der henvises til i afsnit [28] til [29] i punkt 2.1., kan findes på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De dokumenter, der henvises til i afsnit [30] til [31] i punkt 2.1., kan findes på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Det dokument, der henvises til i afsnit [32] i punkt 2.1., kan findes på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t>3. Forkortelser og akronymer</w:t>
      </w:r>
    </w:p>
    <w:p w:rsidR="00080B05" w:rsidRPr="002200AF" w:rsidRDefault="00292458" w:rsidP="002C482D">
      <w:pPr>
        <w:pStyle w:val="Teksttreci0"/>
        <w:keepNext/>
        <w:keepLines/>
        <w:widowControl/>
        <w:shd w:val="clear" w:color="auto" w:fill="auto"/>
        <w:spacing w:after="100" w:line="252" w:lineRule="auto"/>
        <w:ind w:firstLine="440"/>
      </w:pPr>
      <w:r>
        <w:t>Forkortelser og akronymer i dette bilag betyder:</w:t>
      </w:r>
    </w:p>
    <w:p w:rsidR="00080B05" w:rsidRPr="002200AF" w:rsidRDefault="00292458" w:rsidP="002C482D">
      <w:pPr>
        <w:pStyle w:val="Teksttreci0"/>
        <w:widowControl/>
        <w:shd w:val="clear" w:color="auto" w:fill="auto"/>
        <w:tabs>
          <w:tab w:val="left" w:pos="900"/>
        </w:tabs>
        <w:spacing w:after="120"/>
        <w:ind w:left="907" w:hanging="907"/>
      </w:pPr>
      <w:r>
        <w:t>AC-3</w:t>
      </w:r>
      <w:r>
        <w:tab/>
        <w:t>Dolby-lydkodning 3</w:t>
      </w:r>
    </w:p>
    <w:p w:rsidR="00080B05" w:rsidRPr="002200AF" w:rsidRDefault="00292458" w:rsidP="002C482D">
      <w:pPr>
        <w:pStyle w:val="Teksttreci0"/>
        <w:widowControl/>
        <w:shd w:val="clear" w:color="auto" w:fill="auto"/>
        <w:tabs>
          <w:tab w:val="left" w:pos="900"/>
        </w:tabs>
        <w:spacing w:after="120"/>
        <w:ind w:left="907" w:hanging="907"/>
      </w:pPr>
      <w:r>
        <w:t>AC-4</w:t>
      </w:r>
      <w:r>
        <w:tab/>
        <w:t>Dolby-lydkodning 4</w:t>
      </w:r>
    </w:p>
    <w:p w:rsidR="00080B05" w:rsidRPr="002200AF" w:rsidRDefault="00292458" w:rsidP="002C482D">
      <w:pPr>
        <w:pStyle w:val="Teksttreci0"/>
        <w:widowControl/>
        <w:shd w:val="clear" w:color="auto" w:fill="auto"/>
        <w:tabs>
          <w:tab w:val="left" w:pos="900"/>
        </w:tabs>
        <w:spacing w:after="120"/>
        <w:ind w:left="907" w:hanging="907"/>
      </w:pPr>
      <w:r>
        <w:t>API</w:t>
      </w:r>
      <w:r>
        <w:tab/>
        <w:t>Programmeringsgrænseflade for applikationer</w:t>
      </w:r>
    </w:p>
    <w:p w:rsidR="00080B05" w:rsidRPr="002200AF" w:rsidRDefault="00292458" w:rsidP="007A7A0E">
      <w:pPr>
        <w:pStyle w:val="Teksttreci0"/>
        <w:widowControl/>
        <w:shd w:val="clear" w:color="auto" w:fill="auto"/>
        <w:tabs>
          <w:tab w:val="left" w:pos="900"/>
        </w:tabs>
        <w:spacing w:after="120"/>
        <w:ind w:left="907" w:hanging="907"/>
      </w:pPr>
      <w:r>
        <w:t>ARC</w:t>
      </w:r>
      <w:r>
        <w:tab/>
        <w:t>Lydreturkanal i HDMI, der understøtter nyere lydsystemer (lydreturkanal)</w:t>
      </w:r>
    </w:p>
    <w:p w:rsidR="00080B05" w:rsidRPr="002200AF" w:rsidRDefault="00292458" w:rsidP="002C482D">
      <w:pPr>
        <w:pStyle w:val="Teksttreci0"/>
        <w:widowControl/>
        <w:shd w:val="clear" w:color="auto" w:fill="auto"/>
        <w:tabs>
          <w:tab w:val="left" w:pos="900"/>
        </w:tabs>
        <w:spacing w:after="120"/>
        <w:ind w:left="907" w:hanging="907"/>
      </w:pPr>
      <w:r>
        <w:t>AVC</w:t>
      </w:r>
      <w:r>
        <w:tab/>
        <w:t>Avanceret videokodning</w:t>
      </w:r>
    </w:p>
    <w:p w:rsidR="00080B05" w:rsidRPr="002200AF" w:rsidRDefault="00292458" w:rsidP="002C482D">
      <w:pPr>
        <w:pStyle w:val="Teksttreci0"/>
        <w:widowControl/>
        <w:shd w:val="clear" w:color="auto" w:fill="auto"/>
        <w:tabs>
          <w:tab w:val="left" w:pos="900"/>
        </w:tabs>
        <w:spacing w:after="120"/>
        <w:ind w:left="907" w:hanging="907"/>
      </w:pPr>
      <w:r>
        <w:t>DVB</w:t>
      </w:r>
      <w:r>
        <w:tab/>
        <w:t>Digital Video Broadcasting (digital tv-transmission)</w:t>
      </w:r>
    </w:p>
    <w:p w:rsidR="00080B05" w:rsidRPr="002200AF" w:rsidRDefault="00292458" w:rsidP="002C482D">
      <w:pPr>
        <w:pStyle w:val="Teksttreci0"/>
        <w:widowControl/>
        <w:shd w:val="clear" w:color="auto" w:fill="auto"/>
        <w:tabs>
          <w:tab w:val="left" w:pos="900"/>
        </w:tabs>
        <w:spacing w:after="120"/>
        <w:ind w:left="907" w:hanging="907"/>
      </w:pPr>
      <w:r>
        <w:t>DVB-T</w:t>
      </w:r>
      <w:r>
        <w:tab/>
        <w:t>Digital tv-transmission – Jordbaseret</w:t>
      </w:r>
    </w:p>
    <w:p w:rsidR="00080B05" w:rsidRPr="002200AF" w:rsidRDefault="00292458" w:rsidP="002C482D">
      <w:pPr>
        <w:pStyle w:val="Teksttreci0"/>
        <w:widowControl/>
        <w:shd w:val="clear" w:color="auto" w:fill="auto"/>
        <w:tabs>
          <w:tab w:val="left" w:pos="900"/>
        </w:tabs>
        <w:spacing w:after="120"/>
        <w:ind w:left="907" w:hanging="907"/>
      </w:pPr>
      <w:r>
        <w:t>DVB-T2</w:t>
      </w:r>
      <w:r>
        <w:tab/>
        <w:t>Digital tv-transmission – Jordbaseret, anden generation</w:t>
      </w:r>
    </w:p>
    <w:p w:rsidR="00080B05" w:rsidRPr="002200AF" w:rsidRDefault="00292458" w:rsidP="002C482D">
      <w:pPr>
        <w:pStyle w:val="Teksttreci0"/>
        <w:widowControl/>
        <w:shd w:val="clear" w:color="auto" w:fill="auto"/>
        <w:tabs>
          <w:tab w:val="left" w:pos="900"/>
        </w:tabs>
        <w:spacing w:after="120"/>
        <w:ind w:left="907" w:hanging="907"/>
      </w:pPr>
      <w:r>
        <w:t>E-AC-3</w:t>
      </w:r>
      <w:r>
        <w:tab/>
        <w:t>Digitalt lydkodningssystem med flere kanaler, som er en forbedring af AC-3-systemet (forbedret lydkodning 3)</w:t>
      </w:r>
    </w:p>
    <w:p w:rsidR="00080B05" w:rsidRPr="002200AF" w:rsidRDefault="00292458" w:rsidP="002C482D">
      <w:pPr>
        <w:pStyle w:val="Teksttreci0"/>
        <w:widowControl/>
        <w:shd w:val="clear" w:color="auto" w:fill="auto"/>
        <w:tabs>
          <w:tab w:val="left" w:pos="900"/>
        </w:tabs>
        <w:spacing w:after="120"/>
        <w:ind w:left="907" w:hanging="907"/>
      </w:pPr>
      <w:r>
        <w:t>FTA</w:t>
      </w:r>
      <w:r>
        <w:tab/>
        <w:t>Frit tilgængelig via luften – ukodede programmer, der er tilgængelige for alle</w:t>
      </w:r>
    </w:p>
    <w:p w:rsidR="00080B05" w:rsidRPr="002200AF" w:rsidRDefault="00292458" w:rsidP="002C482D">
      <w:pPr>
        <w:pStyle w:val="Teksttreci0"/>
        <w:widowControl/>
        <w:shd w:val="clear" w:color="auto" w:fill="auto"/>
        <w:tabs>
          <w:tab w:val="left" w:pos="900"/>
        </w:tabs>
        <w:spacing w:after="120"/>
        <w:ind w:left="907" w:hanging="907"/>
      </w:pPr>
      <w:r>
        <w:t>HbbTV</w:t>
      </w:r>
      <w:r>
        <w:tab/>
        <w:t>Tjeneste, som tilbyder ekstra multimedieindhold via internettet (hybrid transmission af bredbånds-tv)</w:t>
      </w:r>
    </w:p>
    <w:p w:rsidR="00080B05" w:rsidRPr="002200AF" w:rsidRDefault="00292458" w:rsidP="002C482D">
      <w:pPr>
        <w:pStyle w:val="Teksttreci0"/>
        <w:widowControl/>
        <w:shd w:val="clear" w:color="auto" w:fill="auto"/>
        <w:tabs>
          <w:tab w:val="left" w:pos="900"/>
        </w:tabs>
        <w:spacing w:after="120"/>
        <w:ind w:left="907" w:hanging="907"/>
      </w:pPr>
      <w:r>
        <w:t>HDCP</w:t>
      </w:r>
      <w:r>
        <w:tab/>
        <w:t>Digitalt indholdsbeskyttende system med stor båndbredde</w:t>
      </w:r>
    </w:p>
    <w:p w:rsidR="00080B05" w:rsidRPr="002200AF" w:rsidRDefault="00292458" w:rsidP="002C482D">
      <w:pPr>
        <w:pStyle w:val="Teksttreci0"/>
        <w:widowControl/>
        <w:shd w:val="clear" w:color="auto" w:fill="auto"/>
        <w:tabs>
          <w:tab w:val="left" w:pos="900"/>
        </w:tabs>
        <w:spacing w:after="120"/>
        <w:ind w:left="907" w:hanging="907"/>
      </w:pPr>
      <w:r>
        <w:t>HDMI</w:t>
      </w:r>
      <w:r>
        <w:tab/>
        <w:t>Multimediegrænseflade med høj opløsning</w:t>
      </w:r>
    </w:p>
    <w:p w:rsidR="00080B05" w:rsidRPr="002200AF" w:rsidRDefault="00292458" w:rsidP="002C482D">
      <w:pPr>
        <w:pStyle w:val="Teksttreci0"/>
        <w:widowControl/>
        <w:shd w:val="clear" w:color="auto" w:fill="auto"/>
        <w:tabs>
          <w:tab w:val="left" w:pos="900"/>
        </w:tabs>
        <w:spacing w:after="120"/>
        <w:ind w:left="907" w:hanging="907"/>
      </w:pPr>
      <w:r>
        <w:t>HDR</w:t>
      </w:r>
      <w:r>
        <w:tab/>
        <w:t>Billede med høj dynamisk rækkevidde med parametre fastlagt i henstilling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Tv med høj opløsning — 1280 x 720 og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t>Højeffektiv videokodning</w:t>
      </w:r>
    </w:p>
    <w:p w:rsidR="00080B05" w:rsidRPr="002200AF" w:rsidRDefault="00292458" w:rsidP="002C482D">
      <w:pPr>
        <w:pStyle w:val="Teksttreci0"/>
        <w:widowControl/>
        <w:shd w:val="clear" w:color="auto" w:fill="auto"/>
        <w:tabs>
          <w:tab w:val="left" w:pos="900"/>
        </w:tabs>
        <w:spacing w:after="120"/>
        <w:ind w:left="907" w:hanging="907"/>
      </w:pPr>
      <w:r>
        <w:t>HFR</w:t>
      </w:r>
      <w:r>
        <w:tab/>
        <w:t>Høj billedhastighed – en transmissionsteknik med højere billedhastigheder i det optagede/afspillede videomateriale (100/120 billeder pr. sekund)</w:t>
      </w:r>
    </w:p>
    <w:p w:rsidR="00080B05" w:rsidRPr="002200AF" w:rsidRDefault="00292458" w:rsidP="002C482D">
      <w:pPr>
        <w:pStyle w:val="Teksttreci0"/>
        <w:widowControl/>
        <w:shd w:val="clear" w:color="auto" w:fill="auto"/>
        <w:tabs>
          <w:tab w:val="left" w:pos="900"/>
        </w:tabs>
        <w:spacing w:after="120"/>
        <w:ind w:left="907" w:hanging="907"/>
      </w:pPr>
      <w:r>
        <w:t>HLG10</w:t>
      </w:r>
      <w:r>
        <w:tab/>
        <w:t>HDR-system, hvis specifikation fremgår af henstilling ITU-R BT.2100 [26], med en farvedybde på 10-bit i henhold til henstilling ITU-R BT.2020 [25] (hybrid log-gamma 10)</w:t>
      </w:r>
    </w:p>
    <w:p w:rsidR="00080B05" w:rsidRPr="002200AF" w:rsidRDefault="00292458" w:rsidP="002C482D">
      <w:pPr>
        <w:pStyle w:val="Teksttreci0"/>
        <w:widowControl/>
        <w:shd w:val="clear" w:color="auto" w:fill="auto"/>
        <w:tabs>
          <w:tab w:val="left" w:pos="900"/>
        </w:tabs>
        <w:spacing w:after="120"/>
        <w:ind w:left="907" w:hanging="907"/>
      </w:pPr>
      <w:r>
        <w:t>iDTV</w:t>
      </w:r>
      <w:r>
        <w:tab/>
        <w:t>IRD udstyret med et stort billeddisplay (tv-apparat)</w:t>
      </w:r>
    </w:p>
    <w:p w:rsidR="00080B05" w:rsidRPr="002200AF" w:rsidRDefault="00292458" w:rsidP="002C482D">
      <w:pPr>
        <w:pStyle w:val="Teksttreci0"/>
        <w:widowControl/>
        <w:shd w:val="clear" w:color="auto" w:fill="auto"/>
        <w:tabs>
          <w:tab w:val="left" w:pos="900"/>
        </w:tabs>
        <w:spacing w:after="120"/>
        <w:ind w:left="907" w:hanging="907"/>
      </w:pPr>
      <w:r>
        <w:t>IRD</w:t>
      </w:r>
      <w:r>
        <w:tab/>
        <w:t>Integreret modtager udstyret med en integreret dekoder til video og lyd (integreret modtager/dekoder) i en STB- eller iDTV-version</w:t>
      </w:r>
    </w:p>
    <w:p w:rsidR="00080B05" w:rsidRPr="002200AF" w:rsidRDefault="00292458" w:rsidP="002C482D">
      <w:pPr>
        <w:pStyle w:val="Teksttreci0"/>
        <w:widowControl/>
        <w:shd w:val="clear" w:color="auto" w:fill="auto"/>
        <w:tabs>
          <w:tab w:val="left" w:pos="900"/>
        </w:tabs>
        <w:spacing w:after="120"/>
        <w:ind w:left="907" w:hanging="907"/>
      </w:pPr>
      <w:r>
        <w:t>LCN</w:t>
      </w:r>
      <w:r>
        <w:tab/>
        <w:t>Logisk kanalnummer</w:t>
      </w:r>
    </w:p>
    <w:p w:rsidR="00080B05" w:rsidRPr="002200AF" w:rsidRDefault="00292458" w:rsidP="002C482D">
      <w:pPr>
        <w:pStyle w:val="Teksttreci0"/>
        <w:widowControl/>
        <w:shd w:val="clear" w:color="auto" w:fill="auto"/>
        <w:tabs>
          <w:tab w:val="left" w:pos="900"/>
        </w:tabs>
        <w:spacing w:after="120"/>
        <w:ind w:left="907" w:hanging="907"/>
      </w:pPr>
      <w:r>
        <w:t>MPEG-2 Audio Layer II</w:t>
      </w:r>
      <w:r>
        <w:tab/>
        <w:t>MPEG-2 lydkompressionsformat fastsat i standarden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Tabel over netværksinformationer</w:t>
      </w:r>
    </w:p>
    <w:p w:rsidR="00080B05" w:rsidRPr="002200AF" w:rsidRDefault="00292458" w:rsidP="002C482D">
      <w:pPr>
        <w:pStyle w:val="Teksttreci0"/>
        <w:widowControl/>
        <w:shd w:val="clear" w:color="auto" w:fill="auto"/>
        <w:tabs>
          <w:tab w:val="left" w:pos="900"/>
        </w:tabs>
        <w:spacing w:after="120"/>
        <w:ind w:left="907" w:hanging="907"/>
      </w:pPr>
      <w:r>
        <w:t>OFDM</w:t>
      </w:r>
      <w:r>
        <w:tab/>
        <w:t>Ortogonal multipleksing ved frekvensopdeling</w:t>
      </w:r>
    </w:p>
    <w:p w:rsidR="00080B05" w:rsidRPr="002200AF" w:rsidRDefault="00292458" w:rsidP="002C482D">
      <w:pPr>
        <w:pStyle w:val="Teksttreci0"/>
        <w:widowControl/>
        <w:shd w:val="clear" w:color="auto" w:fill="auto"/>
        <w:tabs>
          <w:tab w:val="left" w:pos="900"/>
        </w:tabs>
        <w:spacing w:after="120"/>
        <w:ind w:left="907" w:hanging="907"/>
      </w:pPr>
      <w:r>
        <w:t>OSD</w:t>
      </w:r>
      <w:r>
        <w:tab/>
        <w:t>Visning på display</w:t>
      </w:r>
    </w:p>
    <w:p w:rsidR="00080B05" w:rsidRPr="002200AF" w:rsidRDefault="00292458" w:rsidP="002C482D">
      <w:pPr>
        <w:pStyle w:val="Teksttreci0"/>
        <w:widowControl/>
        <w:shd w:val="clear" w:color="auto" w:fill="auto"/>
        <w:tabs>
          <w:tab w:val="left" w:pos="900"/>
        </w:tabs>
        <w:spacing w:after="120"/>
        <w:ind w:left="907" w:hanging="907"/>
      </w:pPr>
      <w:r>
        <w:t>PLP</w:t>
      </w:r>
      <w:r>
        <w:tab/>
        <w:t>Enkel strøm af fysiske data med specifik modulation og kodning (rør med fysisk lag)</w:t>
      </w:r>
    </w:p>
    <w:p w:rsidR="00080B05" w:rsidRPr="002200AF" w:rsidRDefault="00292458" w:rsidP="002C482D">
      <w:pPr>
        <w:pStyle w:val="Teksttreci0"/>
        <w:widowControl/>
        <w:shd w:val="clear" w:color="auto" w:fill="auto"/>
        <w:tabs>
          <w:tab w:val="left" w:pos="900"/>
        </w:tabs>
        <w:spacing w:after="120"/>
        <w:ind w:left="907" w:hanging="907"/>
      </w:pPr>
      <w:r>
        <w:t>PQ10</w:t>
      </w:r>
      <w:r>
        <w:tab/>
        <w:t>HDR-system, der tager hensyn til synets ikke-lineære sansning, hvilket gør det muligt at opnå en lang række luminansniveauer, hvis specifikation fremgår af henstilling ITU-R BT.2100 [26], med en farvedybde på 10-bit i henhold til henstilling ITU-R BT.2020 [25] (kvantisering af sansning 10)</w:t>
      </w:r>
    </w:p>
    <w:p w:rsidR="00080B05" w:rsidRPr="002200AF" w:rsidRDefault="00292458" w:rsidP="002C482D">
      <w:pPr>
        <w:pStyle w:val="Teksttreci0"/>
        <w:widowControl/>
        <w:shd w:val="clear" w:color="auto" w:fill="auto"/>
        <w:tabs>
          <w:tab w:val="left" w:pos="900"/>
        </w:tabs>
        <w:spacing w:after="120"/>
        <w:ind w:left="907" w:hanging="907"/>
      </w:pPr>
      <w:r>
        <w:t>SDT</w:t>
      </w:r>
      <w:r>
        <w:tab/>
        <w:t>Tabel over servicebeskrivelser</w:t>
      </w:r>
    </w:p>
    <w:p w:rsidR="00080B05" w:rsidRPr="002200AF" w:rsidRDefault="00292458" w:rsidP="002C482D">
      <w:pPr>
        <w:pStyle w:val="Teksttreci0"/>
        <w:widowControl/>
        <w:shd w:val="clear" w:color="auto" w:fill="auto"/>
        <w:tabs>
          <w:tab w:val="left" w:pos="900"/>
        </w:tabs>
        <w:spacing w:after="120"/>
        <w:ind w:left="907" w:hanging="907"/>
      </w:pPr>
      <w:r>
        <w:t>SDTV</w:t>
      </w:r>
      <w:r>
        <w:tab/>
        <w:t>Tv med standardopløsning</w:t>
      </w:r>
    </w:p>
    <w:p w:rsidR="00080B05" w:rsidRPr="002200AF" w:rsidRDefault="00292458" w:rsidP="002C482D">
      <w:pPr>
        <w:pStyle w:val="Teksttreci0"/>
        <w:widowControl/>
        <w:shd w:val="clear" w:color="auto" w:fill="auto"/>
        <w:tabs>
          <w:tab w:val="left" w:pos="900"/>
        </w:tabs>
        <w:spacing w:after="120"/>
        <w:ind w:left="907" w:hanging="907"/>
      </w:pPr>
      <w:r>
        <w:t>SI</w:t>
      </w:r>
      <w:r>
        <w:tab/>
        <w:t>Serviceinformation</w:t>
      </w:r>
    </w:p>
    <w:p w:rsidR="00080B05" w:rsidRPr="002200AF" w:rsidRDefault="00292458" w:rsidP="002C482D">
      <w:pPr>
        <w:pStyle w:val="Teksttreci0"/>
        <w:widowControl/>
        <w:shd w:val="clear" w:color="auto" w:fill="auto"/>
        <w:tabs>
          <w:tab w:val="left" w:pos="900"/>
        </w:tabs>
        <w:spacing w:after="120"/>
        <w:ind w:left="907" w:hanging="907"/>
      </w:pPr>
      <w:r>
        <w:lastRenderedPageBreak/>
        <w:t>SISO</w:t>
      </w:r>
      <w:r>
        <w:tab/>
        <w:t>Teknik til transmission af indhold, hvor der kun anvendes én sendeantenne og én modtager med modtageantenne (én indgang, én udgang)</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Opdatering af systemsoftware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Digital modtager uden billeddisplay (tv-modtager)</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Fjernsyn</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Ultra høj opløsning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Tv med ultra høj opløsning</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Ultra høj frekvens (300-3 000 MHz), decimeterbølger</w:t>
      </w:r>
    </w:p>
    <w:p w:rsidR="00080B05" w:rsidRPr="00791773" w:rsidRDefault="00292458" w:rsidP="002C482D">
      <w:pPr>
        <w:pStyle w:val="Teksttreci0"/>
        <w:widowControl/>
        <w:shd w:val="clear" w:color="auto" w:fill="auto"/>
        <w:tabs>
          <w:tab w:val="left" w:pos="900"/>
        </w:tabs>
        <w:spacing w:after="100" w:line="252" w:lineRule="auto"/>
        <w:ind w:left="907" w:hanging="907"/>
        <w:rPr>
          <w:lang w:val="fr-FR"/>
        </w:rPr>
      </w:pPr>
      <w:r w:rsidRPr="00791773">
        <w:rPr>
          <w:lang w:val="fr-FR"/>
        </w:rPr>
        <w:t>USB</w:t>
      </w:r>
      <w:r w:rsidRPr="00791773">
        <w:rPr>
          <w:lang w:val="fr-FR"/>
        </w:rPr>
        <w:tab/>
        <w:t>Universel seriel bus</w:t>
      </w:r>
    </w:p>
    <w:p w:rsidR="00080B05" w:rsidRPr="00791773" w:rsidRDefault="00292458" w:rsidP="002C482D">
      <w:pPr>
        <w:pStyle w:val="Teksttreci0"/>
        <w:widowControl/>
        <w:shd w:val="clear" w:color="auto" w:fill="auto"/>
        <w:tabs>
          <w:tab w:val="left" w:pos="900"/>
        </w:tabs>
        <w:spacing w:after="100" w:line="252" w:lineRule="auto"/>
        <w:ind w:left="907" w:hanging="907"/>
        <w:rPr>
          <w:lang w:val="fr-FR"/>
        </w:rPr>
      </w:pPr>
      <w:r w:rsidRPr="00791773">
        <w:rPr>
          <w:lang w:val="fr-FR"/>
        </w:rPr>
        <w:t>UTF-8</w:t>
      </w:r>
      <w:r w:rsidRPr="00791773">
        <w:rPr>
          <w:lang w:val="fr-FR"/>
        </w:rPr>
        <w:tab/>
        <w:t>8-bit unicode-transformationsformat</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Vertikalt slukkeinterval</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Meget høj frekvens (30-300 MHz), meterbølger.</w:t>
      </w:r>
    </w:p>
    <w:p w:rsidR="00080B05" w:rsidRPr="002200AF" w:rsidRDefault="001A43DE" w:rsidP="002C482D">
      <w:pPr>
        <w:pStyle w:val="Nagwek40"/>
        <w:keepNext/>
        <w:keepLines/>
        <w:widowControl/>
        <w:shd w:val="clear" w:color="auto" w:fill="auto"/>
        <w:tabs>
          <w:tab w:val="left" w:pos="784"/>
        </w:tabs>
        <w:spacing w:line="252" w:lineRule="auto"/>
      </w:pPr>
      <w:r>
        <w:t>4. Modtagerkapacitet</w:t>
      </w:r>
    </w:p>
    <w:p w:rsidR="00080B05" w:rsidRPr="002200AF" w:rsidRDefault="00292458" w:rsidP="002C482D">
      <w:pPr>
        <w:pStyle w:val="Teksttreci0"/>
        <w:widowControl/>
        <w:shd w:val="clear" w:color="auto" w:fill="auto"/>
        <w:spacing w:after="160" w:line="252" w:lineRule="auto"/>
        <w:ind w:firstLine="440"/>
      </w:pPr>
      <w:r>
        <w:t>En digital modtager muliggør modtagelse af digitale DVB-T- og DVB-T2-signaler med parametre, der er i overensstemmelse med PN-ETSI EN 300 744 [12] og PN-ETSI EN 302 755 [13], som sendes i: VHF (174-230 MHz) for kanaler med en båndbredde på 7 MHz og UHF (470-790 MHz) for kanaler med en båndbredde på 8 MHz. Tuneren i den digitale modtager opfylder kravene fastsat i standarden PN-EN 62216:2011 [7] og de resterende krav for en digital modtager fastsat i kapitel 3.4 i NorDig Unifieds krav til integrerede digitale modtagerdekodere til anvendelse i kabel- og satellitnetværk, jordbaserede og styrede IPTV-baserede netværk [32].</w:t>
      </w:r>
    </w:p>
    <w:p w:rsidR="00080B05" w:rsidRPr="002200AF" w:rsidRDefault="001A43DE" w:rsidP="002C482D">
      <w:pPr>
        <w:pStyle w:val="Nagwek40"/>
        <w:keepNext/>
        <w:keepLines/>
        <w:widowControl/>
        <w:shd w:val="clear" w:color="auto" w:fill="auto"/>
        <w:tabs>
          <w:tab w:val="left" w:pos="784"/>
        </w:tabs>
        <w:spacing w:after="100" w:line="252" w:lineRule="auto"/>
      </w:pPr>
      <w:r>
        <w:t>5. Procedure for båndsøgning</w:t>
      </w:r>
    </w:p>
    <w:p w:rsidR="00080B05" w:rsidRPr="002200AF" w:rsidRDefault="00292458" w:rsidP="002C482D">
      <w:pPr>
        <w:pStyle w:val="Teksttreci0"/>
        <w:widowControl/>
        <w:shd w:val="clear" w:color="auto" w:fill="auto"/>
        <w:spacing w:after="160"/>
        <w:ind w:firstLine="440"/>
      </w:pPr>
      <w:r>
        <w:t>En digital modtager giver mulighed for automatiske søgninger over hele den tilgængelige frekvensflade samt tuning til den korrekte rammestruktur for DVB-T og DVB-T2, kanalkodning og modulation med henblik på at levere indgangstransportstrøm til de næste moduler. En DVB-T2-modtager gør det muligt at modtage SISO-transmission med OFDM-teknikken med og uden anvendelse af omvendte konstellationer. En digital modtager muliggør modtagelse af DVB-T2-transmission bestående af mindst et PLP. Oplysninger om tuning gemmes på listen over tjenester, således at den nødvendige transportstrøm hurtigt kan vælges.</w:t>
      </w:r>
    </w:p>
    <w:p w:rsidR="00080B05" w:rsidRPr="002200AF" w:rsidRDefault="001A43DE" w:rsidP="002C482D">
      <w:pPr>
        <w:pStyle w:val="Nagwek40"/>
        <w:keepNext/>
        <w:keepLines/>
        <w:widowControl/>
        <w:shd w:val="clear" w:color="auto" w:fill="auto"/>
        <w:tabs>
          <w:tab w:val="left" w:pos="784"/>
        </w:tabs>
        <w:spacing w:after="100" w:line="252" w:lineRule="auto"/>
      </w:pPr>
      <w:r>
        <w:t>6. Adgang til tjenester</w:t>
      </w:r>
    </w:p>
    <w:p w:rsidR="00080B05" w:rsidRPr="002200AF" w:rsidRDefault="00292458" w:rsidP="002C482D">
      <w:pPr>
        <w:pStyle w:val="Teksttreci0"/>
        <w:keepNext/>
        <w:keepLines/>
        <w:widowControl/>
        <w:shd w:val="clear" w:color="auto" w:fill="auto"/>
        <w:spacing w:after="100" w:line="252" w:lineRule="auto"/>
        <w:ind w:firstLine="440"/>
      </w:pPr>
      <w:r>
        <w:t>En digital modtager giver følgende muligheder:</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modtagelse af FTA (tv-programmer, der er frit tilgængelige via luften)</w:t>
      </w:r>
    </w:p>
    <w:p w:rsidR="00080B05" w:rsidRPr="002200AF" w:rsidRDefault="001A43DE" w:rsidP="002C482D">
      <w:pPr>
        <w:pStyle w:val="Teksttreci0"/>
        <w:widowControl/>
        <w:shd w:val="clear" w:color="auto" w:fill="auto"/>
        <w:tabs>
          <w:tab w:val="left" w:pos="450"/>
        </w:tabs>
        <w:spacing w:after="100"/>
        <w:ind w:left="440" w:hanging="440"/>
      </w:pPr>
      <w:r>
        <w:t>2)</w:t>
      </w:r>
      <w:r>
        <w:tab/>
        <w:t>valg af en del af en lydtjeneste i tilfælde af transmission af flere lydelementer under en tjeneste. Fjernbetjeningen har en knap, hvor du kan vælge et lydspor eller en anden mekanisme, der gør det nemt at vælge lydspor</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valg af undertekster (tekst-tv eller DVB) i UTF-8 format</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brug af tekst-tv</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tilpasning af billedformatet til 4:3- eller 16:9-format</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brug af muligheden for forældrekontrol i forbindelse med adgang til udvalgte programmer eller lydprogrammer.</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adgang til menuen på polsk og indstilling af sproget til polsk.</w:t>
      </w:r>
    </w:p>
    <w:p w:rsidR="00080B05" w:rsidRPr="002200AF" w:rsidRDefault="001A43DE" w:rsidP="002C482D">
      <w:pPr>
        <w:pStyle w:val="Nagwek40"/>
        <w:keepNext/>
        <w:keepLines/>
        <w:widowControl/>
        <w:shd w:val="clear" w:color="auto" w:fill="auto"/>
        <w:tabs>
          <w:tab w:val="left" w:pos="784"/>
        </w:tabs>
        <w:spacing w:after="100" w:line="252" w:lineRule="auto"/>
      </w:pPr>
      <w:r>
        <w:t>7. Navigatør for serviceinformation</w:t>
      </w:r>
    </w:p>
    <w:p w:rsidR="00080B05" w:rsidRPr="002200AF" w:rsidRDefault="00292458" w:rsidP="002C482D">
      <w:pPr>
        <w:pStyle w:val="Teksttreci0"/>
        <w:widowControl/>
        <w:shd w:val="clear" w:color="auto" w:fill="auto"/>
        <w:spacing w:after="160"/>
        <w:ind w:firstLine="440"/>
      </w:pPr>
      <w:r>
        <w:t>En digital modtager er udstyret med en navigatør for serviceinformation, som sikrer brugeren adgang til grundlæggende oplysninger om tjenester og begivenheder i SI-tabeller som beskrevet i PN-ETSI 300 468 [9] og i DVB-dokumentet A038 [27], og giver brugeren mulighed for at kontrollere modtageren. Navigatøren for serviceinformation sikrer en korrekt visning af tegn i det polske alfabet, som er kodet i overensstemmelse med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Automatisk installation</w:t>
      </w:r>
    </w:p>
    <w:p w:rsidR="00080B05" w:rsidRPr="002200AF" w:rsidRDefault="00292458" w:rsidP="002C482D">
      <w:pPr>
        <w:pStyle w:val="Teksttreci0"/>
        <w:widowControl/>
        <w:shd w:val="clear" w:color="auto" w:fill="auto"/>
        <w:spacing w:after="100" w:line="252" w:lineRule="auto"/>
        <w:ind w:firstLine="440"/>
      </w:pPr>
      <w:r>
        <w:t xml:space="preserve">En digital modtager gør brug af de obligatoriske oplysninger fra NIT eller SDT som angivet i ETSI EN 300 468 [9] og DVB-dokumentet A038 [27] med henblik på automatisk oprettelse af en liste over tjenester og en efterfølgende opdatering heraf. Modtageren styrer LCN. Alle registrerede tjenester markeret som "synlige" fremgår af listen over tjenester i overensstemmelse med det pågældende LCN. Hvis der mangler et nummer, eller nummeret optræder flere gange, placeres tjenesten i slutningen af listen. Brugeren har mulighed for at ændre rækkefølgen af tjenesterne samt at </w:t>
      </w:r>
      <w:r>
        <w:lastRenderedPageBreak/>
        <w:t>oprette sin egen liste. Alle tjenester markeret som "ikke synlige" bibeholdes, men de vises ikke på listen over tilgængelige tjenester.</w:t>
      </w:r>
    </w:p>
    <w:p w:rsidR="00080B05" w:rsidRPr="002200AF" w:rsidRDefault="001A43DE" w:rsidP="002C482D">
      <w:pPr>
        <w:pStyle w:val="Nagwek40"/>
        <w:keepNext/>
        <w:keepLines/>
        <w:widowControl/>
        <w:shd w:val="clear" w:color="auto" w:fill="auto"/>
        <w:tabs>
          <w:tab w:val="left" w:pos="789"/>
        </w:tabs>
        <w:spacing w:after="160"/>
      </w:pPr>
      <w:r>
        <w:t>9. Forældrekontrol af adgang</w:t>
      </w:r>
    </w:p>
    <w:p w:rsidR="00080B05" w:rsidRPr="002200AF" w:rsidRDefault="00292458" w:rsidP="002C482D">
      <w:pPr>
        <w:pStyle w:val="Teksttreci0"/>
        <w:widowControl/>
        <w:shd w:val="clear" w:color="auto" w:fill="auto"/>
        <w:spacing w:after="220"/>
        <w:ind w:firstLine="440"/>
      </w:pPr>
      <w:r>
        <w:t>En digital modtager gør det muligt at blokere adgang til hele programmer eller udvalgte kategorier af programmer, såfremt udsendelsesfladen indeholder en "forældreklassificeringsdeskriptor" som beskrevet i PN-ETSI EN 300 468 [9].</w:t>
      </w:r>
    </w:p>
    <w:p w:rsidR="00080B05" w:rsidRPr="002200AF" w:rsidRDefault="001A43DE" w:rsidP="002C482D">
      <w:pPr>
        <w:pStyle w:val="Nagwek40"/>
        <w:keepNext/>
        <w:keepLines/>
        <w:widowControl/>
        <w:shd w:val="clear" w:color="auto" w:fill="auto"/>
        <w:tabs>
          <w:tab w:val="left" w:pos="890"/>
        </w:tabs>
        <w:spacing w:after="160"/>
      </w:pPr>
      <w:r>
        <w:t>10. Billedsignaldekoder</w:t>
      </w:r>
    </w:p>
    <w:p w:rsidR="00080B05" w:rsidRPr="002200AF" w:rsidRDefault="00292458" w:rsidP="002C482D">
      <w:pPr>
        <w:pStyle w:val="Teksttreci0"/>
        <w:keepNext/>
        <w:keepLines/>
        <w:widowControl/>
        <w:shd w:val="clear" w:color="auto" w:fill="auto"/>
        <w:spacing w:after="80"/>
        <w:ind w:firstLine="440"/>
      </w:pPr>
      <w:r>
        <w:t>En billedsignaldekoder dekoder digitale billedstrømme i overensstemmelse med:</w:t>
      </w:r>
    </w:p>
    <w:p w:rsidR="00080B05" w:rsidRPr="002200AF" w:rsidRDefault="001A43DE" w:rsidP="002C482D">
      <w:pPr>
        <w:pStyle w:val="Teksttreci0"/>
        <w:widowControl/>
        <w:shd w:val="clear" w:color="auto" w:fill="auto"/>
        <w:tabs>
          <w:tab w:val="left" w:pos="450"/>
        </w:tabs>
        <w:spacing w:after="80"/>
        <w:ind w:left="440" w:hanging="440"/>
      </w:pPr>
      <w:r>
        <w:t>1)</w:t>
      </w:r>
      <w:r>
        <w:tab/>
        <w:t>henstilling ITU-T H.264 [23] med begrænsningerne fastsat i ETSI TS 101 154 [15], del 5.6 og 5.7, for en 25 Hz H.264/AVC-modtager, der er i stand til at dekode HP@L4 HDTV- og MP@L3 SDTV-strømme</w:t>
      </w:r>
    </w:p>
    <w:p w:rsidR="00080B05" w:rsidRPr="002200AF" w:rsidRDefault="001A43DE" w:rsidP="002C482D">
      <w:pPr>
        <w:pStyle w:val="Teksttreci0"/>
        <w:widowControl/>
        <w:shd w:val="clear" w:color="auto" w:fill="auto"/>
        <w:tabs>
          <w:tab w:val="left" w:pos="450"/>
        </w:tabs>
        <w:spacing w:after="160"/>
        <w:ind w:left="440" w:hanging="440"/>
      </w:pPr>
      <w:r>
        <w:t>2)</w:t>
      </w:r>
      <w:r>
        <w:tab/>
        <w:t>henstilling ITU-T H.265 [24] med begrænsningerne fastsat i ETSI TS 101 154 [15], del 5.14.1 og 5.14.2 (HDTV), for en 50 Hz HEVC HDTV 8-bit-modtager (1920 x 1080 p50, 1280 x 720 p50 opløsning)</w:t>
      </w:r>
    </w:p>
    <w:p w:rsidR="00080B05" w:rsidRPr="002200AF" w:rsidRDefault="00292458" w:rsidP="002C482D">
      <w:pPr>
        <w:pStyle w:val="Teksttreci0"/>
        <w:widowControl/>
        <w:shd w:val="clear" w:color="auto" w:fill="auto"/>
        <w:spacing w:after="80"/>
        <w:ind w:firstLine="446"/>
      </w:pPr>
      <w:r>
        <w:t>I tilfælde af en integreret digital tv-modtager (iDTV), der er i stand til at vise UHD-billeder i overensstemmelse med henstilling ITU-T H.265 [24], er det nødvendigt at dekode strømme alt efter profiler (fastsat i henstilling ITU-T H.265 [24]) – Main profile, Main 10 Profile og High Tier:</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med begrænsningerne fastsat i ETSI TS 101 154 [15], del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ved brug af HLG10 og HEVC HDR UHDTV IRD ved brug af PQ10 med begrænsningerne fastsat i ETSI TS 101 154 [15], del 5.14.4.</w:t>
      </w:r>
    </w:p>
    <w:p w:rsidR="00080B05" w:rsidRPr="002200AF" w:rsidRDefault="001A43DE" w:rsidP="002C482D">
      <w:pPr>
        <w:pStyle w:val="Nagwek40"/>
        <w:keepNext/>
        <w:keepLines/>
        <w:widowControl/>
        <w:shd w:val="clear" w:color="auto" w:fill="auto"/>
        <w:tabs>
          <w:tab w:val="left" w:pos="890"/>
        </w:tabs>
        <w:spacing w:after="160"/>
      </w:pPr>
      <w:r>
        <w:t>11. Lydsignaldekoder</w:t>
      </w:r>
    </w:p>
    <w:p w:rsidR="00080B05" w:rsidRPr="002200AF" w:rsidRDefault="00292458" w:rsidP="002C482D">
      <w:pPr>
        <w:pStyle w:val="Teksttreci0"/>
        <w:keepNext/>
        <w:keepLines/>
        <w:widowControl/>
        <w:shd w:val="clear" w:color="auto" w:fill="auto"/>
        <w:spacing w:after="80"/>
        <w:ind w:firstLine="440"/>
      </w:pPr>
      <w:r>
        <w:t>En lydsignaldekoder dekoder digitale lydstrømme i overensstemmelse med:</w:t>
      </w:r>
    </w:p>
    <w:p w:rsidR="00080B05" w:rsidRPr="002200AF" w:rsidRDefault="001A43DE" w:rsidP="002C482D">
      <w:pPr>
        <w:pStyle w:val="Teksttreci0"/>
        <w:widowControl/>
        <w:shd w:val="clear" w:color="auto" w:fill="auto"/>
        <w:spacing w:after="80"/>
        <w:ind w:left="440" w:hanging="440"/>
      </w:pPr>
      <w:r>
        <w:t>1)</w:t>
      </w:r>
      <w:r>
        <w:tab/>
        <w:t>MPEG-2 Audio Layer II med begrænsningerne fastsat i ETSI TS 101 154 [15], del 6.1</w:t>
      </w:r>
    </w:p>
    <w:p w:rsidR="00080B05" w:rsidRPr="002200AF" w:rsidRDefault="001A43DE" w:rsidP="002C482D">
      <w:pPr>
        <w:pStyle w:val="Teksttreci0"/>
        <w:widowControl/>
        <w:shd w:val="clear" w:color="auto" w:fill="auto"/>
        <w:spacing w:after="160"/>
        <w:ind w:left="440" w:hanging="440"/>
      </w:pPr>
      <w:r>
        <w:t>2)</w:t>
      </w:r>
      <w:r>
        <w:tab/>
        <w:t>E-AC-3 i overensstemmelse med ETSI TS 102 366 [17] og begrænsningerne i ETSI TS 101 154 [15], del 6.2.</w:t>
      </w:r>
    </w:p>
    <w:p w:rsidR="00080B05" w:rsidRPr="002200AF" w:rsidRDefault="00292458" w:rsidP="002C482D">
      <w:pPr>
        <w:pStyle w:val="Teksttreci0"/>
        <w:widowControl/>
        <w:shd w:val="clear" w:color="auto" w:fill="auto"/>
        <w:spacing w:after="160"/>
        <w:ind w:firstLine="440"/>
      </w:pPr>
      <w:r>
        <w:t>I tilfælde af en integreret digital tv-modtager (iDTV), der er i stand til at vise UHD-billeder, er kompatibilitet med AC-4 påkrævet i overensstemmelse med ETSI TS 103 190 [19] og begrænsningerne i ETSI TS 101 154 [15], del 6.6 og 6.7.</w:t>
      </w:r>
    </w:p>
    <w:p w:rsidR="00080B05" w:rsidRPr="002200AF" w:rsidRDefault="00292458" w:rsidP="002C482D">
      <w:pPr>
        <w:pStyle w:val="Teksttreci0"/>
        <w:widowControl/>
        <w:shd w:val="clear" w:color="auto" w:fill="auto"/>
        <w:spacing w:after="160"/>
        <w:ind w:firstLine="440"/>
      </w:pPr>
      <w:r>
        <w:t>Lydsignaldekoderen anvender metadata udsendt i E-AC-3- eller AC-4-strømmen for at standardisere stemmekræfter, konvertere rumlyd til stereofonisk lyd eller for at blande hovedlydkomponenter med ekstra komponenter i henhold til PN-ETSI EN 300 468 [9], bilag J.</w:t>
      </w:r>
    </w:p>
    <w:p w:rsidR="00080B05" w:rsidRPr="002200AF" w:rsidRDefault="00292458" w:rsidP="002C482D">
      <w:pPr>
        <w:pStyle w:val="Teksttreci0"/>
        <w:keepNext/>
        <w:keepLines/>
        <w:widowControl/>
        <w:shd w:val="clear" w:color="auto" w:fill="auto"/>
        <w:spacing w:after="80"/>
        <w:ind w:firstLine="440"/>
      </w:pPr>
      <w:r>
        <w:t>Modtageren gør det muligt for brugeren at personalisere lydmodtagelsen med modtagerens fjernbetjening:</w:t>
      </w:r>
    </w:p>
    <w:p w:rsidR="00080B05" w:rsidRPr="002200AF" w:rsidRDefault="001A43DE" w:rsidP="002C482D">
      <w:pPr>
        <w:pStyle w:val="Teksttreci0"/>
        <w:widowControl/>
        <w:shd w:val="clear" w:color="auto" w:fill="auto"/>
        <w:spacing w:after="80"/>
        <w:ind w:left="440" w:hanging="440"/>
      </w:pPr>
      <w:r>
        <w:t>1)</w:t>
      </w:r>
      <w:r>
        <w:tab/>
        <w:t>valg af lydspor</w:t>
      </w:r>
    </w:p>
    <w:p w:rsidR="00080B05" w:rsidRPr="002200AF" w:rsidRDefault="001A43DE" w:rsidP="002C482D">
      <w:pPr>
        <w:pStyle w:val="Teksttreci0"/>
        <w:widowControl/>
        <w:shd w:val="clear" w:color="auto" w:fill="auto"/>
        <w:spacing w:after="80"/>
        <w:ind w:left="440" w:hanging="440"/>
      </w:pPr>
      <w:r>
        <w:t>2)</w:t>
      </w:r>
      <w:r>
        <w:tab/>
        <w:t>forbedret forståelse af dialogen</w:t>
      </w:r>
    </w:p>
    <w:p w:rsidR="00080B05" w:rsidRPr="002200AF" w:rsidRDefault="001A43DE" w:rsidP="002C482D">
      <w:pPr>
        <w:pStyle w:val="Teksttreci0"/>
        <w:widowControl/>
        <w:shd w:val="clear" w:color="auto" w:fill="auto"/>
        <w:tabs>
          <w:tab w:val="left" w:pos="420"/>
        </w:tabs>
        <w:spacing w:after="160"/>
        <w:ind w:left="440" w:hanging="440"/>
      </w:pPr>
      <w:r>
        <w:t>3)</w:t>
      </w:r>
      <w:r>
        <w:tab/>
        <w:t>blanding af ekstra lyd (f.eks. fra en kommentator, lydbeskrivelse), hvor den primære lyd udsendes som objektlyd.</w:t>
      </w:r>
    </w:p>
    <w:p w:rsidR="00080B05" w:rsidRPr="002200AF" w:rsidRDefault="00292458" w:rsidP="002C482D">
      <w:pPr>
        <w:pStyle w:val="Teksttreci0"/>
        <w:widowControl/>
        <w:shd w:val="clear" w:color="auto" w:fill="auto"/>
        <w:spacing w:after="220"/>
        <w:ind w:firstLine="440"/>
      </w:pPr>
      <w:r>
        <w:t>Uanset kodningssystemet og antallet af udsendte lydkanaler leverer lydsignaldekoderen et stereofonisk signal til analog lydudlæsning af den digitale modtager (hvis den forefindes), medmindre der udsendes et monofonisk signal eller to signaler. Dekoderen sender da det valgte monofoniske signal til begge kanaler.</w:t>
      </w:r>
    </w:p>
    <w:p w:rsidR="00080B05" w:rsidRPr="002200AF" w:rsidRDefault="001A43DE" w:rsidP="002C482D">
      <w:pPr>
        <w:pStyle w:val="Nagwek40"/>
        <w:keepNext/>
        <w:keepLines/>
        <w:widowControl/>
        <w:shd w:val="clear" w:color="auto" w:fill="auto"/>
        <w:tabs>
          <w:tab w:val="left" w:pos="890"/>
        </w:tabs>
        <w:spacing w:after="160"/>
      </w:pPr>
      <w:r>
        <w:t>12. Tekst-tv og DVB-undertekster</w:t>
      </w:r>
    </w:p>
    <w:p w:rsidR="00080B05" w:rsidRPr="002200AF" w:rsidRDefault="00292458" w:rsidP="002C482D">
      <w:pPr>
        <w:pStyle w:val="Teksttreci0"/>
        <w:widowControl/>
        <w:shd w:val="clear" w:color="auto" w:fill="auto"/>
        <w:spacing w:after="220"/>
        <w:ind w:firstLine="440"/>
      </w:pPr>
      <w:r>
        <w:t>I forbindelse med dekodningen af strømme bestående af lyd, billeder og data udsender den digitale modtager samtidigt tekst-tv-data, der opfylder kravene i standarden PN-ETSI EN 300 706 V1.2.1:2005 [10] for niveau 1.5. Disse data udsendes i form af pakker i henhold til standarden PN-ETSI EN 300 743 V1.6.1:2019-04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Tekst-tv</w:t>
      </w:r>
    </w:p>
    <w:p w:rsidR="00080B05" w:rsidRPr="002200AF" w:rsidRDefault="00292458" w:rsidP="002C482D">
      <w:pPr>
        <w:pStyle w:val="Teksttreci0"/>
        <w:widowControl/>
        <w:shd w:val="clear" w:color="auto" w:fill="auto"/>
        <w:spacing w:after="120"/>
        <w:ind w:firstLine="440"/>
      </w:pPr>
      <w:r>
        <w:t>Tekst-tv, der udsendes i digitale strømme, dekodes i modtageren på følgende vis:</w:t>
      </w:r>
    </w:p>
    <w:p w:rsidR="00080B05" w:rsidRPr="002200AF" w:rsidRDefault="001A43DE" w:rsidP="002C482D">
      <w:pPr>
        <w:pStyle w:val="Teksttreci0"/>
        <w:widowControl/>
        <w:shd w:val="clear" w:color="auto" w:fill="auto"/>
        <w:spacing w:after="120"/>
        <w:ind w:left="440" w:hanging="440"/>
      </w:pPr>
      <w:r>
        <w:t>1)</w:t>
      </w:r>
      <w:r>
        <w:tab/>
        <w:t>af en intern dekoder med OSD eller</w:t>
      </w:r>
    </w:p>
    <w:p w:rsidR="00080B05" w:rsidRPr="002200AF" w:rsidRDefault="001A43DE" w:rsidP="002C482D">
      <w:pPr>
        <w:pStyle w:val="Teksttreci0"/>
        <w:widowControl/>
        <w:shd w:val="clear" w:color="auto" w:fill="auto"/>
        <w:spacing w:after="160"/>
        <w:ind w:left="440" w:hanging="440"/>
      </w:pPr>
      <w:r>
        <w:t>2)</w:t>
      </w:r>
      <w:r>
        <w:tab/>
        <w:t>i tilfælde af en STB med et indbygget analogt output – ved at placere data på udvalgte linjer under VBI i henhold til kravene i standarden ETSI EN 300 706 V1.2.1:2005 [10] for niveau 1.5.</w:t>
      </w:r>
    </w:p>
    <w:p w:rsidR="00080B05" w:rsidRPr="002200AF" w:rsidRDefault="001A43DE" w:rsidP="002C482D">
      <w:pPr>
        <w:pStyle w:val="Teksttreci0"/>
        <w:keepNext/>
        <w:keepLines/>
        <w:widowControl/>
        <w:shd w:val="clear" w:color="auto" w:fill="auto"/>
        <w:tabs>
          <w:tab w:val="left" w:pos="1035"/>
        </w:tabs>
        <w:ind w:firstLine="440"/>
      </w:pPr>
      <w:r>
        <w:lastRenderedPageBreak/>
        <w:t>12.2.</w:t>
      </w:r>
      <w:r>
        <w:tab/>
        <w:t>DVB-undertekster</w:t>
      </w:r>
    </w:p>
    <w:p w:rsidR="00080B05" w:rsidRPr="002200AF" w:rsidRDefault="00292458" w:rsidP="002C482D">
      <w:pPr>
        <w:pStyle w:val="Teksttreci0"/>
        <w:widowControl/>
        <w:shd w:val="clear" w:color="auto" w:fill="auto"/>
        <w:ind w:firstLine="440"/>
      </w:pPr>
      <w:r>
        <w:t>En digital modtager dekoder og viser udsendte undertekster i henhold til interoperabilitetsreglerne fastlagt i punkt 7.3 og bilag B.4 til standarden ETSI PN-EN 300 743 V1.6.1:2-2019-04 [11]</w:t>
      </w:r>
    </w:p>
    <w:p w:rsidR="00080B05" w:rsidRPr="002200AF" w:rsidRDefault="00292458" w:rsidP="002C482D">
      <w:pPr>
        <w:pStyle w:val="Teksttreci0"/>
        <w:widowControl/>
        <w:shd w:val="clear" w:color="auto" w:fill="auto"/>
        <w:ind w:firstLine="440"/>
      </w:pPr>
      <w:r>
        <w:t>Dekodningen af tekst-tv og DVB-undertekster, som modtages på samme tid, kontrolleres af brugeren.</w:t>
      </w:r>
    </w:p>
    <w:p w:rsidR="00080B05" w:rsidRPr="002200AF" w:rsidRDefault="001A43DE" w:rsidP="002C482D">
      <w:pPr>
        <w:pStyle w:val="Nagwek40"/>
        <w:keepNext/>
        <w:keepLines/>
        <w:widowControl/>
        <w:shd w:val="clear" w:color="auto" w:fill="auto"/>
        <w:tabs>
          <w:tab w:val="left" w:pos="881"/>
        </w:tabs>
      </w:pPr>
      <w:r>
        <w:t>13. HFR (hvis det finder sted i modtageren)</w:t>
      </w:r>
    </w:p>
    <w:p w:rsidR="00080B05" w:rsidRPr="002200AF" w:rsidRDefault="00292458" w:rsidP="002C482D">
      <w:pPr>
        <w:pStyle w:val="Teksttreci0"/>
        <w:widowControl/>
        <w:shd w:val="clear" w:color="auto" w:fill="auto"/>
        <w:ind w:firstLine="440"/>
      </w:pPr>
      <w:r>
        <w:t>I tilfælde af en UHDTV-modtager, der er i stand til at vise billeder via HFR-teknologi, er det nødvendigt at dekode strømme alt efter profiler (fastsat i henstilling ITU-T H.265 [24]) – Main Profile, Main 10 Profile og Main Tier: HEVC HDR UHDTV IRD ved brug af HLG10 og HEVC HDR UHDTV IRD ved brug af PQ10 med begrænsningerne fastsat i ETSI TS 101 154 [15], del 5.14.5.</w:t>
      </w:r>
    </w:p>
    <w:p w:rsidR="00080B05" w:rsidRPr="002200AF" w:rsidRDefault="001A43DE" w:rsidP="002C482D">
      <w:pPr>
        <w:pStyle w:val="Nagwek40"/>
        <w:keepNext/>
        <w:keepLines/>
        <w:widowControl/>
        <w:shd w:val="clear" w:color="auto" w:fill="auto"/>
        <w:tabs>
          <w:tab w:val="left" w:pos="881"/>
        </w:tabs>
      </w:pPr>
      <w:r>
        <w:t>14. Hybrid TV (HbbTV, hvis modtageren understøtter det)</w:t>
      </w:r>
    </w:p>
    <w:p w:rsidR="00080B05" w:rsidRPr="002200AF" w:rsidRDefault="00292458" w:rsidP="002C482D">
      <w:pPr>
        <w:pStyle w:val="Teksttreci0"/>
        <w:widowControl/>
        <w:shd w:val="clear" w:color="auto" w:fill="auto"/>
        <w:ind w:firstLine="440"/>
      </w:pPr>
      <w:r>
        <w:t>Hvis en modtager muliggør brugen af hybrid TV (HbbTV), er den som minimum kompatibel med dennes version 2.0.2, som overholder standarden ETSI TS 102 796 [18], version V1.5.1 (2018-09) eller nyere. HbbTV er automatisk aktiveret, når du køber en digital modtager, hvis den er blevet udstyret med denne tjeneste. Dette er påkrævet, så brugeren let kan slå HbbTV-funktionen til og fra.</w:t>
      </w:r>
    </w:p>
    <w:p w:rsidR="00080B05" w:rsidRPr="002200AF" w:rsidRDefault="00292458" w:rsidP="002C482D">
      <w:pPr>
        <w:pStyle w:val="Teksttreci0"/>
        <w:widowControl/>
        <w:shd w:val="clear" w:color="auto" w:fill="auto"/>
        <w:ind w:firstLine="440"/>
      </w:pPr>
      <w:r>
        <w:t>HbbTV-modtageren modtager og udfører programmering af applikationer (API), der er kompatible med HbbTV i overensstemmelse med standarden ETSI TS 102 796 [18], udgave V1.5.1 (2018-09) eller nyere, korrekt.</w:t>
      </w:r>
    </w:p>
    <w:p w:rsidR="00080B05" w:rsidRPr="002200AF" w:rsidRDefault="001A43DE" w:rsidP="002C482D">
      <w:pPr>
        <w:pStyle w:val="Nagwek40"/>
        <w:keepNext/>
        <w:keepLines/>
        <w:widowControl/>
        <w:shd w:val="clear" w:color="auto" w:fill="auto"/>
        <w:tabs>
          <w:tab w:val="left" w:pos="881"/>
        </w:tabs>
      </w:pPr>
      <w:r>
        <w:t>15. Opdatering af remotesoftware</w:t>
      </w:r>
    </w:p>
    <w:p w:rsidR="00080B05" w:rsidRPr="002200AF" w:rsidRDefault="00292458" w:rsidP="002C482D">
      <w:pPr>
        <w:pStyle w:val="Teksttreci0"/>
        <w:widowControl/>
        <w:shd w:val="clear" w:color="auto" w:fill="auto"/>
        <w:ind w:firstLine="440"/>
      </w:pPr>
      <w:r>
        <w:t>Digitale modtagere gør det muligt at opdatere systemsoftware med henblik på vedligeholdelse af modtageren. Måden, hvorpå en softwareopdatering gennemføres, fastsættes af producenten af modtageren og kan være en af nedenstående:</w:t>
      </w:r>
    </w:p>
    <w:p w:rsidR="00080B05" w:rsidRPr="002200AF" w:rsidRDefault="001A43DE" w:rsidP="002C482D">
      <w:pPr>
        <w:pStyle w:val="Teksttreci0"/>
        <w:widowControl/>
        <w:shd w:val="clear" w:color="auto" w:fill="auto"/>
        <w:ind w:left="440" w:hanging="440"/>
      </w:pPr>
      <w:r>
        <w:t>1)</w:t>
      </w:r>
      <w:r>
        <w:tab/>
        <w:t>lagringsenhed forbundet til en USB-grænseflade</w:t>
      </w:r>
    </w:p>
    <w:p w:rsidR="00080B05" w:rsidRPr="002200AF" w:rsidRDefault="001A43DE" w:rsidP="002C482D">
      <w:pPr>
        <w:pStyle w:val="Teksttreci0"/>
        <w:widowControl/>
        <w:shd w:val="clear" w:color="auto" w:fill="auto"/>
        <w:ind w:left="440" w:hanging="440"/>
      </w:pPr>
      <w:r>
        <w:t>2)</w:t>
      </w:r>
      <w:r>
        <w:tab/>
        <w:t>via internettet (i tilfælde af interaktive modtagere, der muliggør anvendelse af interaktive tv-tjenester via internettet)</w:t>
      </w:r>
    </w:p>
    <w:p w:rsidR="00080B05" w:rsidRPr="002200AF" w:rsidRDefault="001A43DE" w:rsidP="002C482D">
      <w:pPr>
        <w:pStyle w:val="Teksttreci0"/>
        <w:widowControl/>
        <w:shd w:val="clear" w:color="auto" w:fill="auto"/>
        <w:tabs>
          <w:tab w:val="left" w:pos="424"/>
        </w:tabs>
        <w:ind w:left="440" w:hanging="440"/>
      </w:pPr>
      <w:r>
        <w:t>3)</w:t>
      </w:r>
      <w:r>
        <w:tab/>
        <w:t>DVB-SSU i overensstemmelse med ETSI TS 102 006 [16].</w:t>
      </w:r>
    </w:p>
    <w:p w:rsidR="00080B05" w:rsidRPr="002200AF" w:rsidRDefault="001A43DE" w:rsidP="002C482D">
      <w:pPr>
        <w:pStyle w:val="Nagwek40"/>
        <w:keepNext/>
        <w:keepLines/>
        <w:widowControl/>
        <w:shd w:val="clear" w:color="auto" w:fill="auto"/>
        <w:tabs>
          <w:tab w:val="left" w:pos="881"/>
        </w:tabs>
      </w:pPr>
      <w:r>
        <w:t>16. Digitale modtagergrænseflader</w:t>
      </w:r>
    </w:p>
    <w:p w:rsidR="00080B05" w:rsidRPr="002200AF" w:rsidRDefault="001A43DE" w:rsidP="002C482D">
      <w:pPr>
        <w:pStyle w:val="Teksttreci0"/>
        <w:keepNext/>
        <w:keepLines/>
        <w:widowControl/>
        <w:shd w:val="clear" w:color="auto" w:fill="auto"/>
        <w:tabs>
          <w:tab w:val="left" w:pos="1035"/>
        </w:tabs>
        <w:ind w:firstLine="440"/>
      </w:pPr>
      <w:r>
        <w:t>16.1.</w:t>
      </w:r>
      <w:r>
        <w:tab/>
        <w:t>Højfrekvent signalgrænseflade:</w:t>
      </w:r>
    </w:p>
    <w:p w:rsidR="00080B05" w:rsidRPr="002200AF" w:rsidRDefault="00292458" w:rsidP="002C482D">
      <w:pPr>
        <w:pStyle w:val="Teksttreci0"/>
        <w:widowControl/>
        <w:shd w:val="clear" w:color="auto" w:fill="auto"/>
        <w:ind w:firstLine="440"/>
      </w:pPr>
      <w:r>
        <w:t>En digital modtager er udstyret med et IEC-stik i overensstemmelse med PN-EN 61169-2:2007 [6]. Indgangsimpedansen er 75 Q.</w:t>
      </w:r>
    </w:p>
    <w:p w:rsidR="00080B05" w:rsidRPr="002200AF" w:rsidRDefault="001A43DE" w:rsidP="002C482D">
      <w:pPr>
        <w:pStyle w:val="Teksttreci0"/>
        <w:keepNext/>
        <w:keepLines/>
        <w:widowControl/>
        <w:shd w:val="clear" w:color="auto" w:fill="auto"/>
        <w:tabs>
          <w:tab w:val="left" w:pos="1035"/>
        </w:tabs>
        <w:ind w:firstLine="440"/>
      </w:pPr>
      <w:r>
        <w:t>16.2.</w:t>
      </w:r>
      <w:r>
        <w:tab/>
        <w:t>Digital grænseflade</w:t>
      </w:r>
    </w:p>
    <w:p w:rsidR="00080B05" w:rsidRPr="002200AF" w:rsidRDefault="00292458" w:rsidP="002C482D">
      <w:pPr>
        <w:pStyle w:val="Teksttreci0"/>
        <w:widowControl/>
        <w:shd w:val="clear" w:color="auto" w:fill="auto"/>
        <w:ind w:firstLine="440"/>
      </w:pPr>
      <w:r>
        <w:t>En integreret (iDTV) modtager har et HDMI type A-inputstik i overensstemmelse med en "multimediegrænseflade med høj opløsning" [30], som er sikret med HDCP i overensstemmelse med et "digitalt indholdsbeskyttende system med stor båndbredde" [28]. I tilfælde med STB er HDMI-stikket udstyret med en funktionalitet for visning af udgangssignalet. I tilfælde af en integreret digital tv-modtager, der er i stand til at vise UHD-billeder, er multimediegrænsefladen med høj opløsning, version 2.1, standard [31] påkrævet og den skal være kompatibel med HDR og ARC samt HDCP 2.2 i overensstemmelse med det digitale indholdsbeskyttende system med stor båndbredde, som viser HDCP i forhold til HDMI, revision 2.2 [29]. Kravet om at have et HDMI-stik finder ikke anvendelse på integrerede modtagere (iDTV) med et billeddisplay, som diagonalt måler 30 cm eller derunder.</w:t>
      </w:r>
    </w:p>
    <w:p w:rsidR="00080B05" w:rsidRPr="002200AF" w:rsidRDefault="001A43DE" w:rsidP="002C482D">
      <w:pPr>
        <w:pStyle w:val="Nagwek40"/>
        <w:keepNext/>
        <w:keepLines/>
        <w:widowControl/>
        <w:shd w:val="clear" w:color="auto" w:fill="auto"/>
        <w:tabs>
          <w:tab w:val="left" w:pos="881"/>
        </w:tabs>
      </w:pPr>
      <w:r>
        <w:t>17. Strømforsyning til den digitale modtager</w:t>
      </w:r>
    </w:p>
    <w:p w:rsidR="00080B05" w:rsidRPr="002200AF" w:rsidRDefault="00292458" w:rsidP="002C482D">
      <w:pPr>
        <w:pStyle w:val="Teksttreci0"/>
        <w:keepNext/>
        <w:keepLines/>
        <w:widowControl/>
        <w:shd w:val="clear" w:color="auto" w:fill="auto"/>
        <w:ind w:firstLine="440"/>
      </w:pPr>
      <w:r>
        <w:t>Strømforsyning til digitale modtagere skal opfylde følgende krav:</w:t>
      </w:r>
    </w:p>
    <w:p w:rsidR="00080B05" w:rsidRPr="002200AF" w:rsidRDefault="001A43DE" w:rsidP="002C482D">
      <w:pPr>
        <w:pStyle w:val="Teksttreci0"/>
        <w:widowControl/>
        <w:shd w:val="clear" w:color="auto" w:fill="auto"/>
        <w:tabs>
          <w:tab w:val="left" w:pos="424"/>
        </w:tabs>
        <w:ind w:left="440" w:hanging="440"/>
      </w:pPr>
      <w:r>
        <w:t>1)</w:t>
      </w:r>
      <w:r>
        <w:tab/>
        <w:t>spænding: 230 V ±10 % i henhold til PN-EN 60038:2012 [4]</w:t>
      </w:r>
    </w:p>
    <w:p w:rsidR="00080B05" w:rsidRPr="002200AF" w:rsidRDefault="001A43DE" w:rsidP="002C482D">
      <w:pPr>
        <w:pStyle w:val="Teksttreci0"/>
        <w:widowControl/>
        <w:shd w:val="clear" w:color="auto" w:fill="auto"/>
        <w:tabs>
          <w:tab w:val="left" w:pos="424"/>
        </w:tabs>
        <w:ind w:left="440" w:hanging="440"/>
      </w:pPr>
      <w:r>
        <w:t>2)</w:t>
      </w:r>
      <w:r>
        <w:tab/>
        <w:t>frekvens: 47-53 Hz i henhold til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467" w:rsidRDefault="002F1467">
      <w:r>
        <w:separator/>
      </w:r>
    </w:p>
  </w:endnote>
  <w:endnote w:type="continuationSeparator" w:id="0">
    <w:p w:rsidR="002F1467" w:rsidRDefault="002F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467" w:rsidRDefault="002F1467">
      <w:r>
        <w:separator/>
      </w:r>
    </w:p>
  </w:footnote>
  <w:footnote w:type="continuationSeparator" w:id="0">
    <w:p w:rsidR="002F1467" w:rsidRDefault="002F1467">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Ministeren for digitalisering er ansvarlig for regeringens sundhedsforvaltning i henhold til § 1, stk. 2, i premierministerens forskrift af 20. april 2018 om ministeren for digitaliserings specifikke aktivitetsområder (Polens lovtidende, nr. 761).</w:t>
      </w:r>
    </w:p>
  </w:footnote>
  <w:footnote w:id="2">
    <w:p w:rsidR="00080B05" w:rsidRDefault="00292458">
      <w:pPr>
        <w:pStyle w:val="Stopka1"/>
        <w:shd w:val="clear" w:color="auto" w:fill="auto"/>
        <w:tabs>
          <w:tab w:val="left" w:pos="281"/>
        </w:tabs>
      </w:pPr>
      <w:r>
        <w:rPr>
          <w:sz w:val="12"/>
          <w:szCs w:val="12"/>
          <w:vertAlign w:val="superscript"/>
        </w:rPr>
        <w:footnoteRef/>
      </w:r>
      <w:r>
        <w:rPr>
          <w:sz w:val="12"/>
          <w:szCs w:val="12"/>
        </w:rPr>
        <w:tab/>
      </w:r>
      <w:r>
        <w:t>Denne forskrift blev notificeret til Europa-Kommissionen den 15. maj 2019 under nr. 2019/213/PL i henhold til § 4 i forskriften fra ministerrådet af 23. december 2002 om funktionsmåden for det nationale notifikationssystem for standarder og retsakter (Polens lovtidende, nr. 2039 og af 2004, nr. 597), som gennemfører bestemmelserne i Europa-Parlamentets og Rådets direktiv (EU) nr. 2015/1535 af 9. september 2015 om en informationsprocedure med hensyn til tekniske forskrifter samt forskrifter for informationssamfundets tjenester (EUT L 241 af 17.9.2015, s. 1).</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Ændringer af den konsoliderede tekst i loven, der henvises til, blev notificeret i Polens lovtidende af 2018, nr. 2245 og 2354, og af 2019, nr. 643, 730, 1030, 1553, 1815 og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Polens lovtidende</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BE7A62">
            <w:rPr>
              <w:noProof/>
            </w:rPr>
            <w:t>2</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Nr.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Dokument underskrevet af Krzysztof Madej.</w:t>
    </w:r>
  </w:p>
  <w:p w:rsidR="002200AF" w:rsidRPr="002200AF" w:rsidRDefault="002200AF" w:rsidP="00960F69">
    <w:pPr>
      <w:pStyle w:val="Teksttreci30"/>
      <w:shd w:val="clear" w:color="auto" w:fill="auto"/>
      <w:spacing w:line="264" w:lineRule="auto"/>
      <w:ind w:left="8827"/>
    </w:pPr>
    <w:r>
      <w:t>Dato: 04.11.2019 15:36:48 CET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80B05"/>
    <w:rsid w:val="000B6112"/>
    <w:rsid w:val="001A43DE"/>
    <w:rsid w:val="002200AF"/>
    <w:rsid w:val="00292458"/>
    <w:rsid w:val="002C482D"/>
    <w:rsid w:val="002F1467"/>
    <w:rsid w:val="0033633B"/>
    <w:rsid w:val="0040395F"/>
    <w:rsid w:val="004743A8"/>
    <w:rsid w:val="00541DCE"/>
    <w:rsid w:val="00617C9D"/>
    <w:rsid w:val="00684636"/>
    <w:rsid w:val="00791773"/>
    <w:rsid w:val="007A7A0E"/>
    <w:rsid w:val="007F4DF4"/>
    <w:rsid w:val="00901123"/>
    <w:rsid w:val="009459DB"/>
    <w:rsid w:val="00954617"/>
    <w:rsid w:val="00960F69"/>
    <w:rsid w:val="009E5E33"/>
    <w:rsid w:val="00AB43F8"/>
    <w:rsid w:val="00AE0F11"/>
    <w:rsid w:val="00AE4595"/>
    <w:rsid w:val="00AF2EFD"/>
    <w:rsid w:val="00B50F5C"/>
    <w:rsid w:val="00BE7A62"/>
    <w:rsid w:val="00C14A83"/>
    <w:rsid w:val="00EB29D4"/>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da-DK"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FAB86-1D48-428E-8976-02E407FABF4D}">
  <ds:schemaRefs>
    <ds:schemaRef ds:uri="http://schemas.microsoft.com/sharepoint/v3/contenttype/forms"/>
  </ds:schemaRefs>
</ds:datastoreItem>
</file>

<file path=customXml/itemProps3.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3346</Words>
  <Characters>19076</Characters>
  <Application>Microsoft Office Word</Application>
  <DocSecurity>0</DocSecurity>
  <Lines>158</Lines>
  <Paragraphs>44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13</cp:revision>
  <dcterms:created xsi:type="dcterms:W3CDTF">2020-09-10T12:10:00Z</dcterms:created>
  <dcterms:modified xsi:type="dcterms:W3CDTF">2020-10-29T05:12:00Z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