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AE49AE">
        <w:rPr>
          <w:color w:val="auto"/>
          <w:sz w:val="20"/>
          <w:szCs w:val="20"/>
        </w:rPr>
        <w:t>-</w:t>
      </w:r>
      <w:bookmarkStart w:id="0" w:name="_GoBack"/>
      <w:bookmarkEnd w:id="0"/>
      <w:r>
        <w:rPr>
          <w:color w:val="auto"/>
          <w:sz w:val="20"/>
          <w:szCs w:val="20"/>
        </w:rPr>
        <w:t xml:space="preserve">---IND- 2019 0213 PL- DE-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GESETZBLATT</w:t>
      </w:r>
    </w:p>
    <w:p w:rsidR="00080B05" w:rsidRPr="002200AF" w:rsidRDefault="00292458" w:rsidP="002C482D">
      <w:pPr>
        <w:pStyle w:val="Nagwek20"/>
        <w:widowControl/>
        <w:shd w:val="clear" w:color="auto" w:fill="auto"/>
        <w:ind w:left="1800"/>
        <w:jc w:val="both"/>
      </w:pPr>
      <w:r>
        <w:t>DER REPUBLIK POLEN</w:t>
      </w:r>
    </w:p>
    <w:p w:rsidR="002200AF" w:rsidRPr="002200AF" w:rsidRDefault="00292458" w:rsidP="002C482D">
      <w:pPr>
        <w:pStyle w:val="Nagwek30"/>
        <w:widowControl/>
        <w:shd w:val="clear" w:color="auto" w:fill="auto"/>
        <w:spacing w:after="240"/>
        <w:ind w:left="0"/>
      </w:pPr>
      <w:r>
        <w:t>Warschau, den 4. November 2019</w:t>
      </w:r>
    </w:p>
    <w:p w:rsidR="00080B05" w:rsidRPr="002200AF" w:rsidRDefault="00292458" w:rsidP="002C482D">
      <w:pPr>
        <w:pStyle w:val="Nagwek30"/>
        <w:widowControl/>
        <w:shd w:val="clear" w:color="auto" w:fill="auto"/>
        <w:ind w:left="0"/>
      </w:pPr>
      <w:r>
        <w:t>Pos. 2125</w:t>
      </w:r>
    </w:p>
    <w:p w:rsidR="002200AF" w:rsidRPr="002200AF" w:rsidRDefault="00292458" w:rsidP="002C482D">
      <w:pPr>
        <w:pStyle w:val="Teksttreci0"/>
        <w:widowControl/>
        <w:shd w:val="clear" w:color="auto" w:fill="auto"/>
        <w:spacing w:line="343" w:lineRule="auto"/>
        <w:jc w:val="center"/>
        <w:rPr>
          <w:b/>
          <w:bCs/>
        </w:rPr>
      </w:pPr>
      <w:r>
        <w:rPr>
          <w:b/>
          <w:bCs/>
        </w:rPr>
        <w:t>VERORDNUNG</w:t>
      </w:r>
    </w:p>
    <w:p w:rsidR="002200AF" w:rsidRPr="002200AF" w:rsidRDefault="00292458" w:rsidP="002C482D">
      <w:pPr>
        <w:pStyle w:val="Teksttreci0"/>
        <w:widowControl/>
        <w:shd w:val="clear" w:color="auto" w:fill="auto"/>
        <w:spacing w:line="343" w:lineRule="auto"/>
        <w:jc w:val="center"/>
        <w:rPr>
          <w:b/>
          <w:bCs/>
        </w:rPr>
      </w:pPr>
      <w:r>
        <w:rPr>
          <w:b/>
          <w:bCs/>
        </w:rPr>
        <w:t>DES MINISTERS FÜR DIGITALISIERUNG</w:t>
      </w:r>
      <w:r w:rsidRPr="002200AF">
        <w:rPr>
          <w:vertAlign w:val="superscript"/>
        </w:rPr>
        <w:footnoteReference w:id="1"/>
      </w:r>
    </w:p>
    <w:p w:rsidR="00080B05" w:rsidRPr="002200AF" w:rsidRDefault="00292458" w:rsidP="002C482D">
      <w:pPr>
        <w:pStyle w:val="Teksttreci0"/>
        <w:widowControl/>
        <w:shd w:val="clear" w:color="auto" w:fill="auto"/>
        <w:spacing w:line="343" w:lineRule="auto"/>
        <w:jc w:val="center"/>
      </w:pPr>
      <w:r>
        <w:t>vom 7. Oktober 2019</w:t>
      </w:r>
    </w:p>
    <w:p w:rsidR="00080B05" w:rsidRPr="002200AF" w:rsidRDefault="00292458" w:rsidP="002C482D">
      <w:pPr>
        <w:pStyle w:val="Nagwek40"/>
        <w:widowControl/>
        <w:shd w:val="clear" w:color="auto" w:fill="auto"/>
        <w:spacing w:after="180" w:line="298" w:lineRule="auto"/>
        <w:ind w:firstLine="0"/>
        <w:jc w:val="center"/>
      </w:pPr>
      <w:r>
        <w:t>über technische und betriebliche Anforderungen an Digitalempfänger</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Gemäß Artikel 132 Absatz 3 des Gesetzes vom 16. Juli 2004 über das Telekommunikationsrecht (polnisches Gesetzblatt von 2018 Pos. 1954 in der geltenden Fassung</w:t>
      </w:r>
      <w:r w:rsidRPr="002200AF">
        <w:rPr>
          <w:vertAlign w:val="superscript"/>
        </w:rPr>
        <w:footnoteReference w:id="3"/>
      </w:r>
      <w:r>
        <w:t>) wird Folgendes verfügt:</w:t>
      </w:r>
    </w:p>
    <w:p w:rsidR="00080B05" w:rsidRPr="002200AF" w:rsidRDefault="00292458" w:rsidP="002C482D">
      <w:pPr>
        <w:pStyle w:val="Teksttreci0"/>
        <w:widowControl/>
        <w:shd w:val="clear" w:color="auto" w:fill="auto"/>
        <w:spacing w:line="298" w:lineRule="auto"/>
        <w:ind w:firstLine="420"/>
      </w:pPr>
      <w:r>
        <w:rPr>
          <w:b/>
          <w:bCs/>
        </w:rPr>
        <w:t xml:space="preserve">§ 1. </w:t>
      </w:r>
      <w:r>
        <w:t>Die technischen und betrieblichen Anforderungen an Digitalempfänger sind im Anhang zur Verordnung festgelegt.</w:t>
      </w:r>
    </w:p>
    <w:p w:rsidR="00080B05" w:rsidRPr="002200AF" w:rsidRDefault="00292458" w:rsidP="002C482D">
      <w:pPr>
        <w:pStyle w:val="Teksttreci0"/>
        <w:widowControl/>
        <w:shd w:val="clear" w:color="auto" w:fill="auto"/>
        <w:ind w:firstLine="420"/>
      </w:pPr>
      <w:r>
        <w:rPr>
          <w:b/>
          <w:bCs/>
        </w:rPr>
        <w:t xml:space="preserve">§ 2. </w:t>
      </w:r>
      <w:r>
        <w:t>Die Verordnung des Ministers für Verwaltung und Digitalisierung vom 7. Juli 2015 über technische und betriebliche Anforderungen an Digitalempfänger (polnisches Gesetzblatt von 2017 Pos. 1092) tritt außer Kraft.</w:t>
      </w:r>
    </w:p>
    <w:p w:rsidR="00080B05" w:rsidRPr="002200AF" w:rsidRDefault="00292458" w:rsidP="002C482D">
      <w:pPr>
        <w:pStyle w:val="Teksttreci0"/>
        <w:widowControl/>
        <w:shd w:val="clear" w:color="auto" w:fill="auto"/>
        <w:spacing w:after="340" w:line="298" w:lineRule="auto"/>
        <w:ind w:firstLine="420"/>
      </w:pPr>
      <w:r>
        <w:rPr>
          <w:b/>
          <w:bCs/>
        </w:rPr>
        <w:t xml:space="preserve">§ 3. </w:t>
      </w:r>
      <w:r>
        <w:t>Die Verordnung tritt am 1. Dezember 2019 in Kraft.</w:t>
      </w:r>
    </w:p>
    <w:p w:rsidR="00080B05" w:rsidRPr="002200AF" w:rsidRDefault="00292458" w:rsidP="002C482D">
      <w:pPr>
        <w:pStyle w:val="Teksttreci0"/>
        <w:widowControl/>
        <w:shd w:val="clear" w:color="auto" w:fill="auto"/>
        <w:spacing w:after="160"/>
        <w:jc w:val="right"/>
        <w:rPr>
          <w:i/>
          <w:iCs/>
        </w:rPr>
      </w:pPr>
      <w:r>
        <w:t xml:space="preserve">Der Minister für Digitalisierung: </w:t>
      </w:r>
      <w:r>
        <w:rPr>
          <w:i/>
          <w:iCs/>
        </w:rPr>
        <w:t>M. Zagórski</w:t>
      </w:r>
    </w:p>
    <w:p w:rsidR="00080B05" w:rsidRPr="002200AF" w:rsidRDefault="00292458" w:rsidP="002C482D">
      <w:pPr>
        <w:pStyle w:val="Teksttreci20"/>
        <w:keepNext/>
        <w:keepLines/>
        <w:pageBreakBefore/>
        <w:widowControl/>
        <w:shd w:val="clear" w:color="auto" w:fill="auto"/>
      </w:pPr>
      <w:r>
        <w:lastRenderedPageBreak/>
        <w:t>Anhang zur Verordnung des Ministers für Digitalisierung vom 7. Oktober 2019 (Pos. 2125)</w:t>
      </w:r>
    </w:p>
    <w:p w:rsidR="00080B05" w:rsidRPr="002200AF" w:rsidRDefault="00292458" w:rsidP="002C482D">
      <w:pPr>
        <w:pStyle w:val="Teksttreci0"/>
        <w:keepNext/>
        <w:keepLines/>
        <w:widowControl/>
        <w:shd w:val="clear" w:color="auto" w:fill="auto"/>
        <w:jc w:val="center"/>
      </w:pPr>
      <w:r>
        <w:t>TECHNISCHE UND BETRIEBLICHE ANFORDERUNGEN AN DIGITALEMPFÄNGER</w:t>
      </w:r>
    </w:p>
    <w:p w:rsidR="00080B05" w:rsidRPr="002200AF" w:rsidRDefault="001A43DE" w:rsidP="002C482D">
      <w:pPr>
        <w:pStyle w:val="Nagwek40"/>
        <w:keepNext/>
        <w:keepLines/>
        <w:widowControl/>
        <w:shd w:val="clear" w:color="auto" w:fill="auto"/>
        <w:tabs>
          <w:tab w:val="left" w:pos="789"/>
        </w:tabs>
      </w:pPr>
      <w:r>
        <w:t>1. Allgemeine Bestimmungen</w:t>
      </w:r>
    </w:p>
    <w:p w:rsidR="00080B05" w:rsidRPr="002200AF" w:rsidRDefault="00292458" w:rsidP="002C482D">
      <w:pPr>
        <w:pStyle w:val="Teksttreci0"/>
        <w:widowControl/>
        <w:shd w:val="clear" w:color="auto" w:fill="auto"/>
        <w:ind w:firstLine="440"/>
      </w:pPr>
      <w:r>
        <w:t>Im Anhang sind die technischen und betrieblichen Anforderungen festgelegt, die Digitalempfänger erfüllen müssen, damit sie Signale über das terrestrische DVB-T- und DVB-T2-System zur Übertragung von audiovisuellen Inhalten und anderen Daten und Zusatzdiensten störungsfrei empfangen können.</w:t>
      </w:r>
    </w:p>
    <w:p w:rsidR="00080B05" w:rsidRPr="002200AF" w:rsidRDefault="00292458" w:rsidP="002C482D">
      <w:pPr>
        <w:pStyle w:val="Teksttreci0"/>
        <w:widowControl/>
        <w:shd w:val="clear" w:color="auto" w:fill="auto"/>
        <w:ind w:firstLine="440"/>
      </w:pPr>
      <w:r>
        <w:t>Für DVB-T wurden die in ETSI TS 101 154 [15] als „25 Hz H.264/AVC HDTV video, MPEG-2 Layer 2 and E-AC-3 audio, for a Baseline IRD able to decode up to 1920 x 1080 interlaced 25 Hz video pictures or 1280 x 720 progressive 50 Hz video pictures“ definierten Parameter für Digitalempfänger standardmäßig festgelegt.</w:t>
      </w:r>
    </w:p>
    <w:p w:rsidR="00080B05" w:rsidRPr="002200AF" w:rsidRDefault="00292458" w:rsidP="002C482D">
      <w:pPr>
        <w:pStyle w:val="Teksttreci0"/>
        <w:widowControl/>
        <w:shd w:val="clear" w:color="auto" w:fill="auto"/>
        <w:ind w:firstLine="440"/>
      </w:pPr>
      <w:r>
        <w:t>Für DVB-T2 wurden die grundlegenden Parameter für Digitalempfänger festgelegt, die in ETSI TS 101 154 [15] für Level 4.1 HDTV: 50 Hz HEVC HDTV 8-Bit (Auflösung 1920 x 1080 p50, 1280 x 720 p50) und MPEG-2 Audio Layer 2 und E-AC-3 Audio definiert sind. Bei Fernsehempfangsgeräten, die UHD-Bilder darstellen können, unterstützt der DVB-T2-Empfänger auch das Format laut ETSI TS 101 154 [15] in Punkt 5.14 als UHDTV IRD HEVC HDR HLG10 sowie HEVC HDR UHDTV IRD PQ10, Main 10 Profile und Main Tier für UHDTV mit einer Auflösung von 3840 x 2160 und AC-4 Audio.</w:t>
      </w:r>
    </w:p>
    <w:p w:rsidR="00080B05" w:rsidRPr="002200AF" w:rsidRDefault="00292458" w:rsidP="002C482D">
      <w:pPr>
        <w:pStyle w:val="Teksttreci0"/>
        <w:widowControl/>
        <w:shd w:val="clear" w:color="auto" w:fill="auto"/>
        <w:ind w:firstLine="440"/>
      </w:pPr>
      <w:r>
        <w:t>Der Digitalempfänger darf um andere Funktionen, die seinen Funktions- oder Nutzwert erhöhen, erweitert werden, sofern er den in diesem Anhang festgelegten Anforderungen genügt.</w:t>
      </w:r>
    </w:p>
    <w:p w:rsidR="00080B05" w:rsidRPr="002200AF" w:rsidRDefault="00292458" w:rsidP="002C482D">
      <w:pPr>
        <w:pStyle w:val="Teksttreci0"/>
        <w:widowControl/>
        <w:shd w:val="clear" w:color="auto" w:fill="auto"/>
        <w:ind w:firstLine="440"/>
      </w:pPr>
      <w:r>
        <w:t>Technische Parameter mit dem Zusatz „falls vorhanden“ haben keinen verbindlichen Charakter; sind diese jedoch vorhanden, genügen sie den genannten Anforderungen.</w:t>
      </w:r>
    </w:p>
    <w:p w:rsidR="00080B05" w:rsidRPr="002200AF" w:rsidRDefault="001A43DE" w:rsidP="002C482D">
      <w:pPr>
        <w:pStyle w:val="Nagwek40"/>
        <w:keepNext/>
        <w:keepLines/>
        <w:widowControl/>
        <w:shd w:val="clear" w:color="auto" w:fill="auto"/>
        <w:tabs>
          <w:tab w:val="left" w:pos="789"/>
        </w:tabs>
      </w:pPr>
      <w:r>
        <w:t>2. Verzeichnis der Normen und Dokumente</w:t>
      </w:r>
    </w:p>
    <w:p w:rsidR="00080B05" w:rsidRPr="002200AF" w:rsidRDefault="001A43DE" w:rsidP="002C482D">
      <w:pPr>
        <w:pStyle w:val="Teksttreci0"/>
        <w:keepNext/>
        <w:keepLines/>
        <w:widowControl/>
        <w:shd w:val="clear" w:color="auto" w:fill="auto"/>
        <w:tabs>
          <w:tab w:val="left" w:pos="938"/>
        </w:tabs>
        <w:ind w:firstLine="440"/>
      </w:pPr>
      <w:r>
        <w:t>2.1.</w:t>
      </w:r>
      <w:r>
        <w:tab/>
        <w:t>Verzeichnis der in diesem Anhang zitierten Normen und Dokumente:</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Kennwerte für die Kleinsignalverbindung zwischen elektronischen Geräten für den Heimgebrauch und ähnliche Anwendungen: Peritelevision-Verbindung</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Kennwerte für die Kleinsignalverbindung zwischen elektronischen Geräten für den Heimgebrauch und ähnliche Anwendungen: AV.link – Teil 2-1: Qualitatives Anpassen von Signalen und automatisches Auswählen von Signalquellen</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Merkmale der Spannung in öffentlichen Elektrizitätsversorgungsnetzen</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CENELEC-Normspannungen</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Digitalton-Schnittstelle – Teil 1: Allgemeines</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Hochfrequenz-Steckverbinder – Teil 2: Rahmenspezifikation – Koaxiale Hochfrequenzsteckverbinder Typ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Fernsehempfänger für das digitale terrestrische DVB-T-System</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Schnittstellen des Universellen Seriellen Busses für Daten und Energie – Teil 2-1: Festlegung des Universellen Seriellen Busses, Überarbeitung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300468 Digitaler Fernsehrundfunk (DVB) – Festlegung der Serviceinformation (SI) für DVB-Systeme</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300706 V1.2.1:2005 Erweiterte Fernsehtext-Spezifikation</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300743 V1.6.1:2019-04 Digitaler Fernsehrundfunk (DVB) – Untertitelungssysteme</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300744 Digitaler Fernsehrundfunk (DVB) – Rahmenstruktur; Kanalcodierung und Modulation für das digitale terrestrische Fernsehen</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302755 Digitaler Fernsehrundfunk (DVB) – Rahmenstruktur; Kanalcodierung und Modulation für die zweite Generation des Übertragungssystems zum digitalen terrestrischen Fernsehen (DVB-T2)</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[14]</w:t>
      </w:r>
      <w:r w:rsidRPr="00AE49AE">
        <w:rPr>
          <w:lang w:val="en-US"/>
        </w:rPr>
        <w:tab/>
        <w:t>ETSI TS 100 289 V1.2.1 (2014-03) Digital Video Broadcasting (DVB); Support for use of the DVB Scrambling Algorithm version 3 within digital broadcasting systems</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[15]</w:t>
      </w:r>
      <w:r w:rsidRPr="00AE49AE">
        <w:rPr>
          <w:lang w:val="en-US"/>
        </w:rPr>
        <w:tab/>
        <w:t>ETSI TS 101 154 Digital Video Broadcasting (DVB); Specification for the use of Video and Audio Coding in Broadcasting Applications based on the MPEG-2 Transport Stream</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[16]</w:t>
      </w:r>
      <w:r w:rsidRPr="00AE49AE">
        <w:rPr>
          <w:lang w:val="en-US"/>
        </w:rPr>
        <w:tab/>
        <w:t>ETSI TS 102 006 Digital Video Broadcasting (DVB); Specification for System Software Update in DVB Systems</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[17]</w:t>
      </w:r>
      <w:r w:rsidRPr="00AE49AE">
        <w:rPr>
          <w:lang w:val="en-US"/>
        </w:rPr>
        <w:tab/>
        <w:t>ETSI TS 102 366 Digital Audio Compression (AC-3, Enhanced AC-3) Standard</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lastRenderedPageBreak/>
        <w:t>[18]</w:t>
      </w:r>
      <w:r w:rsidRPr="00AE49AE">
        <w:rPr>
          <w:lang w:val="en-US"/>
        </w:rPr>
        <w:tab/>
        <w:t>ETSI TS 102 796 Hybrid Broadcast Broadband TV</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[19]</w:t>
      </w:r>
      <w:r w:rsidRPr="00AE49AE">
        <w:rPr>
          <w:lang w:val="en-US"/>
        </w:rPr>
        <w:tab/>
        <w:t>ETSI TS 103 190 Digital Audio Compression (AC-4) Standard Part 2: Immersive and personalized audio</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Informationstechnik – 8-Bit einzelbytekodierte Schriftzeichensätze – Lateinisches Alphabet Nr. 2</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[21]</w:t>
      </w:r>
      <w:r w:rsidRPr="00AE49AE">
        <w:rPr>
          <w:lang w:val="en-US"/>
        </w:rPr>
        <w:tab/>
        <w:t>IEC 61937-3:2017 Digital audio - Interface for non-linear PCM encoded audio bitstreams applying IEC 60958 - Part 3: Non-linear PCM bitstreams according to the AC-3 and enhanced AC-3 formats</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[22]</w:t>
      </w:r>
      <w:r w:rsidRPr="00AE49AE">
        <w:rPr>
          <w:lang w:val="en-US"/>
        </w:rPr>
        <w:tab/>
        <w:t>ISO/IEC 13818-3:1998 Information technology – Generic coding of moving pictures and associated audio information – Part 3: Audio</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[23]</w:t>
      </w:r>
      <w:r w:rsidRPr="00AE49AE">
        <w:rPr>
          <w:lang w:val="en-US"/>
        </w:rPr>
        <w:tab/>
        <w:t>ITU-T Recommendation H.264: Advanced video coding for generic audiovisual services</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[24]</w:t>
      </w:r>
      <w:r w:rsidRPr="00AE49AE">
        <w:rPr>
          <w:lang w:val="en-US"/>
        </w:rPr>
        <w:tab/>
        <w:t>ITU-T Recommendation H.265: High efficiency video coding</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[25]</w:t>
      </w:r>
      <w:r w:rsidRPr="00AE49AE">
        <w:rPr>
          <w:lang w:val="en-US"/>
        </w:rPr>
        <w:tab/>
        <w:t>ITU-R Recommendation BT.2020 Parameter values for ultra-high definition television systems for production and international programme exchange</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[26]</w:t>
      </w:r>
      <w:r w:rsidRPr="00AE49AE">
        <w:rPr>
          <w:lang w:val="en-US"/>
        </w:rPr>
        <w:tab/>
        <w:t>ITU-R Recommendation BT.2100 Image parameter values for high dynamic range television for use in production and international programme exchange</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[27]</w:t>
      </w:r>
      <w:r w:rsidRPr="00AE49AE">
        <w:rPr>
          <w:lang w:val="en-US"/>
        </w:rPr>
        <w:tab/>
        <w:t>Digital Video Broadcasting (DVB); Specification for Service Information (SI) in DVB systems, DVB Document A038, Feb 2019</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[28]</w:t>
      </w:r>
      <w:r w:rsidRPr="00AE49AE">
        <w:rPr>
          <w:lang w:val="en-US"/>
        </w:rPr>
        <w:tab/>
        <w:t>High-bandwidth Digital Content Protection System, Revision 1.3, December 21, 2006, Digital Content Protection LLC</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[29]</w:t>
      </w:r>
      <w:r w:rsidRPr="00AE49AE">
        <w:rPr>
          <w:lang w:val="en-US"/>
        </w:rPr>
        <w:tab/>
        <w:t>High-bandwidth Digital Content Protection System, Mapping HDCP to HDMI, Revision 2.2, February 13, 2013, Digital Content Protection LLC</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[30]</w:t>
      </w:r>
      <w:r w:rsidRPr="00AE49AE">
        <w:rPr>
          <w:lang w:val="en-US"/>
        </w:rPr>
        <w:tab/>
        <w:t>High-Definition Multimedia Interface, Version 1.4a, March 2010, HDMI Licensing, LLC</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[31]</w:t>
      </w:r>
      <w:r w:rsidRPr="00AE49AE">
        <w:rPr>
          <w:lang w:val="en-US"/>
        </w:rPr>
        <w:tab/>
        <w:t>High-Definition Multimedia Interface, Version 2.1, November 2017, HDMI Licensing, LLC</w:t>
      </w:r>
    </w:p>
    <w:p w:rsidR="00080B05" w:rsidRPr="00AE49AE" w:rsidRDefault="001A43DE" w:rsidP="002C482D">
      <w:pPr>
        <w:pStyle w:val="Teksttreci0"/>
        <w:widowControl/>
        <w:shd w:val="clear" w:color="auto" w:fill="auto"/>
        <w:tabs>
          <w:tab w:val="left" w:pos="430"/>
        </w:tabs>
        <w:spacing w:after="120"/>
        <w:ind w:left="440" w:hanging="440"/>
        <w:rPr>
          <w:lang w:val="en-US"/>
        </w:rPr>
      </w:pPr>
      <w:r w:rsidRPr="00AE49AE">
        <w:rPr>
          <w:lang w:val="en-US"/>
        </w:rPr>
        <w:t>[32]</w:t>
      </w:r>
      <w:r w:rsidRPr="00AE49AE">
        <w:rPr>
          <w:lang w:val="en-US"/>
        </w:rP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Bezieht sich das Verzeichnis nach Punkt 2.1. auf die konkrete Fassung eines Dokuments (Veröffentlichungsdatum, Nummer der Überarbeitung usw.), so finden die nachfolgenden Überarbeitungen keine Anwendung.</w:t>
      </w:r>
    </w:p>
    <w:p w:rsidR="00080B05" w:rsidRPr="002200AF" w:rsidRDefault="001A43DE" w:rsidP="002C482D">
      <w:pPr>
        <w:pStyle w:val="Teksttreci0"/>
        <w:widowControl/>
        <w:shd w:val="clear" w:color="auto" w:fill="auto"/>
        <w:tabs>
          <w:tab w:val="left" w:pos="920"/>
        </w:tabs>
        <w:ind w:firstLine="440"/>
      </w:pPr>
      <w:r>
        <w:t>2.3.</w:t>
      </w:r>
      <w:r>
        <w:tab/>
        <w:t>Ist in dem Verzeichnis nach Punkt 2.1. keine konkrete Überarbeitung eines Dokuments genannt, so ist dessen neueste Überarbeitung verbindlich.</w:t>
      </w:r>
    </w:p>
    <w:p w:rsidR="00080B05" w:rsidRPr="002200AF" w:rsidRDefault="001A43DE" w:rsidP="002C482D">
      <w:pPr>
        <w:pStyle w:val="Teksttreci0"/>
        <w:widowControl/>
        <w:shd w:val="clear" w:color="auto" w:fill="auto"/>
        <w:tabs>
          <w:tab w:val="left" w:pos="925"/>
        </w:tabs>
        <w:ind w:firstLine="440"/>
      </w:pPr>
      <w:r>
        <w:t>2.4.</w:t>
      </w:r>
      <w:r>
        <w:tab/>
        <w:t xml:space="preserve">Die in Punkt 2.1 unter den Nummern [1]-[13] und [20] genannten Dokumente sind unentgeltlich in der Normensammlung des Polnischen Komitees für Normung und gegen Gebühr auf der Website </w:t>
      </w:r>
      <w:hyperlink r:id="rId11" w:history="1">
        <w:r>
          <w:t>www.pkn.pl</w:t>
        </w:r>
      </w:hyperlink>
      <w:r>
        <w:t xml:space="preserve"> abrufbar.</w:t>
      </w:r>
    </w:p>
    <w:p w:rsidR="00080B05" w:rsidRPr="002200AF" w:rsidRDefault="001A43DE" w:rsidP="002C482D">
      <w:pPr>
        <w:pStyle w:val="Teksttreci0"/>
        <w:widowControl/>
        <w:shd w:val="clear" w:color="auto" w:fill="auto"/>
        <w:tabs>
          <w:tab w:val="left" w:pos="925"/>
        </w:tabs>
        <w:ind w:firstLine="440"/>
      </w:pPr>
      <w:r>
        <w:t>2.5.</w:t>
      </w:r>
      <w:r>
        <w:tab/>
        <w:t>Die in Punkt 2.1 unter den Nummern [14]-[19] genannten Dokumente sind auf der Website des Europäischen Instituts für Telekommunikationsnormen ETSI abrufbar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Die in Punkt 2.1 unter den Nummern [21] und [22] genannten Dokumente sind entgeltlich auf der Website der Internationalen Elektrotechnischen Kommission IEC abrufbar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Die in Punkt 2.1 unter den Nummern [23]-[26] genannten Dokumente sind auf der Website der Internationalen Fernmeldeunion ITU abrufbar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Das in Punkt 2.1 unter Nummer [27] genannte Dokument ist auf der Website </w:t>
      </w:r>
      <w:hyperlink r:id="rId15" w:history="1">
        <w:r>
          <w:t>www.dvb.org</w:t>
        </w:r>
      </w:hyperlink>
      <w:r>
        <w:t xml:space="preserve"> abrufbar.</w:t>
      </w:r>
    </w:p>
    <w:p w:rsidR="00080B05" w:rsidRPr="002200AF" w:rsidRDefault="001A43DE" w:rsidP="002C482D">
      <w:pPr>
        <w:pStyle w:val="Teksttreci0"/>
        <w:widowControl/>
        <w:shd w:val="clear" w:color="auto" w:fill="auto"/>
        <w:tabs>
          <w:tab w:val="left" w:pos="925"/>
        </w:tabs>
        <w:ind w:firstLine="440"/>
      </w:pPr>
      <w:r>
        <w:t>2.9.</w:t>
      </w:r>
      <w:r>
        <w:tab/>
        <w:t xml:space="preserve">Die in Punkt 2.1 unter den Nummern [28] und [29] genannten Dokumente sind auf der Website </w:t>
      </w:r>
      <w:hyperlink r:id="rId16" w:history="1">
        <w:r>
          <w:t>www.digital-cp.com</w:t>
        </w:r>
      </w:hyperlink>
      <w:r>
        <w:t xml:space="preserve"> abrufbar.</w:t>
      </w:r>
    </w:p>
    <w:p w:rsidR="00080B05" w:rsidRPr="002200AF" w:rsidRDefault="001A43DE" w:rsidP="002C482D">
      <w:pPr>
        <w:pStyle w:val="Teksttreci0"/>
        <w:widowControl/>
        <w:shd w:val="clear" w:color="auto" w:fill="auto"/>
        <w:tabs>
          <w:tab w:val="left" w:pos="925"/>
        </w:tabs>
        <w:ind w:firstLine="440"/>
      </w:pPr>
      <w:r>
        <w:t>2.10.</w:t>
      </w:r>
      <w:r>
        <w:tab/>
        <w:t xml:space="preserve">Die in Punkt 2.1 unter den Nummern [30] und [31] genannten Dokumente sind auf der Website </w:t>
      </w:r>
      <w:hyperlink r:id="rId17" w:history="1">
        <w:r>
          <w:t>www.hdmi.org</w:t>
        </w:r>
      </w:hyperlink>
      <w:r>
        <w:t xml:space="preserve"> abrufbar.</w:t>
      </w:r>
    </w:p>
    <w:p w:rsidR="00080B05" w:rsidRPr="002200AF" w:rsidRDefault="001A43DE" w:rsidP="002C482D">
      <w:pPr>
        <w:pStyle w:val="Teksttreci0"/>
        <w:widowControl/>
        <w:shd w:val="clear" w:color="auto" w:fill="auto"/>
        <w:tabs>
          <w:tab w:val="left" w:pos="925"/>
        </w:tabs>
        <w:ind w:firstLine="440"/>
      </w:pPr>
      <w:r>
        <w:t>2.11.</w:t>
      </w:r>
      <w:r>
        <w:tab/>
        <w:t xml:space="preserve">Das in Punkt 2.1 unter Nummer [32] genannte Dokument ist auf der Website </w:t>
      </w:r>
      <w:hyperlink r:id="rId18" w:history="1">
        <w:r>
          <w:t>www.nordig.org</w:t>
        </w:r>
      </w:hyperlink>
      <w:r>
        <w:t xml:space="preserve"> abrufbar.</w:t>
      </w:r>
    </w:p>
    <w:p w:rsidR="00080B05" w:rsidRPr="002200AF" w:rsidRDefault="001A43DE" w:rsidP="002C482D">
      <w:pPr>
        <w:pStyle w:val="Nagwek40"/>
        <w:keepNext/>
        <w:keepLines/>
        <w:widowControl/>
        <w:shd w:val="clear" w:color="auto" w:fill="auto"/>
        <w:tabs>
          <w:tab w:val="left" w:pos="789"/>
        </w:tabs>
        <w:spacing w:after="120"/>
        <w:ind w:left="440" w:firstLine="0"/>
      </w:pPr>
      <w:r>
        <w:t>3. Abkürzungen und Akronyme</w:t>
      </w:r>
    </w:p>
    <w:p w:rsidR="00080B05" w:rsidRPr="002200AF" w:rsidRDefault="00292458" w:rsidP="002C482D">
      <w:pPr>
        <w:pStyle w:val="Teksttreci0"/>
        <w:keepNext/>
        <w:keepLines/>
        <w:widowControl/>
        <w:shd w:val="clear" w:color="auto" w:fill="auto"/>
        <w:spacing w:after="100" w:line="252" w:lineRule="auto"/>
        <w:ind w:firstLine="440"/>
      </w:pPr>
      <w:r>
        <w:t>Für die Zwecke dieses Anhangs gelten die folgenden Abkürzungen und Akronyme:</w:t>
      </w:r>
    </w:p>
    <w:p w:rsidR="00080B05" w:rsidRPr="002200AF" w:rsidRDefault="00292458" w:rsidP="002C482D">
      <w:pPr>
        <w:pStyle w:val="Teksttreci0"/>
        <w:widowControl/>
        <w:shd w:val="clear" w:color="auto" w:fill="auto"/>
        <w:tabs>
          <w:tab w:val="left" w:pos="900"/>
        </w:tabs>
        <w:spacing w:after="120"/>
        <w:ind w:left="907" w:hanging="907"/>
      </w:pPr>
      <w:r>
        <w:t>AC-3</w:t>
      </w:r>
      <w:r>
        <w:tab/>
        <w:t>Mehrkanal-Audiokodiersystem Dolby AC-3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Mehrkanal-Audiokodiersystem Dolby AC-4 (Dolby Audio Coding 4)</w:t>
      </w:r>
    </w:p>
    <w:p w:rsidR="00080B05" w:rsidRPr="002200AF" w:rsidRDefault="00292458" w:rsidP="002C482D">
      <w:pPr>
        <w:pStyle w:val="Teksttreci0"/>
        <w:widowControl/>
        <w:shd w:val="clear" w:color="auto" w:fill="auto"/>
        <w:tabs>
          <w:tab w:val="left" w:pos="900"/>
        </w:tabs>
        <w:spacing w:after="120"/>
        <w:ind w:left="907" w:hanging="907"/>
      </w:pPr>
      <w:r>
        <w:lastRenderedPageBreak/>
        <w:t>API</w:t>
      </w:r>
      <w:r>
        <w:tab/>
        <w:t>Programmierschnittstelle der Applikation (Application Programming Interface)</w:t>
      </w:r>
    </w:p>
    <w:p w:rsidR="00080B05" w:rsidRPr="002200AF" w:rsidRDefault="00292458" w:rsidP="002C482D">
      <w:pPr>
        <w:pStyle w:val="Teksttreci0"/>
        <w:widowControl/>
        <w:shd w:val="clear" w:color="auto" w:fill="auto"/>
        <w:tabs>
          <w:tab w:val="left" w:pos="900"/>
        </w:tabs>
        <w:spacing w:after="120"/>
        <w:ind w:left="907" w:hanging="907"/>
      </w:pPr>
      <w:r>
        <w:t>ARC</w:t>
      </w:r>
      <w:r>
        <w:tab/>
        <w:t>Audiorückkanal in HDMI, der Audiosysteme unterstützt (Audio Return Channel)</w:t>
      </w:r>
    </w:p>
    <w:p w:rsidR="00080B05" w:rsidRPr="002200AF" w:rsidRDefault="00292458" w:rsidP="002C482D">
      <w:pPr>
        <w:pStyle w:val="Teksttreci0"/>
        <w:widowControl/>
        <w:shd w:val="clear" w:color="auto" w:fill="auto"/>
        <w:tabs>
          <w:tab w:val="left" w:pos="900"/>
        </w:tabs>
        <w:spacing w:after="120"/>
        <w:ind w:left="907" w:hanging="907"/>
      </w:pPr>
      <w:r>
        <w:t>AVC</w:t>
      </w:r>
      <w:r>
        <w:tab/>
        <w:t>Fortgeschrittene Videokompression (Advanced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Digitale Ausstrahlung von Fernsehsignalen entsprechend dem DVB-Kodiersystem und dem DVB-Modulationsverfahren (Digital Video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Digitales terrestrisches Fernsehen (eine Variante von DVB für die Funkübertragung auf terrestrischem Wege) (Digital Video Broadcasting –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Zweite Generation des Übertragungssystems zum digitalen terrestrischen Fernsehen (Digital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Mehrkanal-Audiokodiersystem Dolby, eine Weiterentwicklung des AC-3-Systems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Fernsehprogramm von frei empfangbaren Sendern (Free-to-Air)</w:t>
      </w:r>
    </w:p>
    <w:p w:rsidR="00080B05" w:rsidRPr="002200AF" w:rsidRDefault="00292458" w:rsidP="002C482D">
      <w:pPr>
        <w:pStyle w:val="Teksttreci0"/>
        <w:widowControl/>
        <w:shd w:val="clear" w:color="auto" w:fill="auto"/>
        <w:tabs>
          <w:tab w:val="left" w:pos="900"/>
        </w:tabs>
        <w:spacing w:after="120"/>
        <w:ind w:left="907" w:hanging="907"/>
      </w:pPr>
      <w:r>
        <w:t>HbbTV</w:t>
      </w:r>
      <w:r>
        <w:tab/>
        <w:t>Dienst für die Übertragung zusätzlicher multimedialer Inhalte über das Internet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Breitbandschutz für digitale Inhalte (High-Bandwidth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HD-Multimedia-Schnittstelle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Hochkontrastbild (High Dynamic Range Image) mit den Parametern gemäß der Empfehlung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Hochauflösendes Fernsehen (High Definition TV) 1280 x 720 und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Standard für die Videokomprimierung (High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Übertragungstechnik, bei der eine größere Zahl an Bildern pro Sekunde in aufgenommenem/abgespieltem Videomaterial genutzt wird (High Frame Rate, 100/120 Bilder pro Sekunde)</w:t>
      </w:r>
    </w:p>
    <w:p w:rsidR="00080B05" w:rsidRPr="002200AF" w:rsidRDefault="00292458" w:rsidP="002C482D">
      <w:pPr>
        <w:pStyle w:val="Teksttreci0"/>
        <w:widowControl/>
        <w:shd w:val="clear" w:color="auto" w:fill="auto"/>
        <w:tabs>
          <w:tab w:val="left" w:pos="900"/>
        </w:tabs>
        <w:spacing w:after="120"/>
        <w:ind w:left="907" w:hanging="907"/>
      </w:pPr>
      <w:r>
        <w:t>HLG10</w:t>
      </w:r>
      <w:r>
        <w:tab/>
        <w:t>HDR-System, dessen Spezifikation in der Empfehlung ITU-R BT.2100 [26] definiert ist, mit 10-Bit-Auflösung der Farbtiefe entsprechend der Empfehlung ITU-R BT.2020 [25] (Hybrid Log 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mit Bildanzeige (Fernseher)</w:t>
      </w:r>
    </w:p>
    <w:p w:rsidR="00080B05" w:rsidRPr="002200AF" w:rsidRDefault="00292458" w:rsidP="002C482D">
      <w:pPr>
        <w:pStyle w:val="Teksttreci0"/>
        <w:widowControl/>
        <w:shd w:val="clear" w:color="auto" w:fill="auto"/>
        <w:tabs>
          <w:tab w:val="left" w:pos="900"/>
        </w:tabs>
        <w:spacing w:after="120"/>
        <w:ind w:left="907" w:hanging="907"/>
      </w:pPr>
      <w:r>
        <w:t>IRD</w:t>
      </w:r>
      <w:r>
        <w:tab/>
        <w:t>Integrierter Empfänger, ausgerüstet mit integriertem Video- und Audiodecoder (Integrated Receiver/Decoder) in der Version STB oder iDTV</w:t>
      </w:r>
    </w:p>
    <w:p w:rsidR="00080B05" w:rsidRPr="002200AF" w:rsidRDefault="00292458" w:rsidP="002C482D">
      <w:pPr>
        <w:pStyle w:val="Teksttreci0"/>
        <w:widowControl/>
        <w:shd w:val="clear" w:color="auto" w:fill="auto"/>
        <w:tabs>
          <w:tab w:val="left" w:pos="900"/>
        </w:tabs>
        <w:spacing w:after="120"/>
        <w:ind w:left="907" w:hanging="907"/>
      </w:pPr>
      <w:r>
        <w:t>LCN</w:t>
      </w:r>
      <w:r>
        <w:tab/>
        <w:t>Logische Kanalnummerierung (Logical Channel Number)</w:t>
      </w:r>
    </w:p>
    <w:p w:rsidR="00080B05" w:rsidRPr="002200AF" w:rsidRDefault="00292458" w:rsidP="002C482D">
      <w:pPr>
        <w:pStyle w:val="Teksttreci0"/>
        <w:widowControl/>
        <w:shd w:val="clear" w:color="auto" w:fill="auto"/>
        <w:tabs>
          <w:tab w:val="left" w:pos="900"/>
        </w:tabs>
        <w:spacing w:after="120"/>
        <w:ind w:left="907" w:hanging="907"/>
      </w:pPr>
      <w:r>
        <w:t>MPEG-2</w:t>
      </w:r>
      <w:r>
        <w:tab/>
        <w:t>Audioschicht 2 Format für Audiokompression MPEG-2, definiert in der Norm ISO/IEC 13818-3: 1998 [22]</w:t>
      </w:r>
    </w:p>
    <w:p w:rsidR="00080B05" w:rsidRPr="002200AF" w:rsidRDefault="00292458" w:rsidP="002C482D">
      <w:pPr>
        <w:pStyle w:val="Teksttreci0"/>
        <w:widowControl/>
        <w:shd w:val="clear" w:color="auto" w:fill="auto"/>
        <w:tabs>
          <w:tab w:val="left" w:pos="900"/>
        </w:tabs>
        <w:spacing w:after="120"/>
        <w:ind w:left="907" w:hanging="907"/>
      </w:pPr>
      <w:r>
        <w:t>NIT</w:t>
      </w:r>
      <w:r>
        <w:tab/>
        <w:t>Netzwerkinformationstabelle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Orthogonales Frequenzmultiplexverfahren (Orthogonal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Bildschirmanzeige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Einzelner physikalischer Datenstrom mit definierter Modulation und Kodierung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HDR-System, bei dem die nichtlineare Perzeptionsfunktion des Auges berücksichtigt wird, was eine sehr breite Palette an Helligkeitsabstufungen ermöglicht, dessen Spezifikation ist in der Empfehlung ITU-R BT.2100 [26] definiert, mit 10-Bit-Auflösung der Farbtiefe entsprechend der Empfehlung ITU-R BT.2020 [25] (Perceptual Quantizer 10)</w:t>
      </w:r>
    </w:p>
    <w:p w:rsidR="00080B05" w:rsidRPr="002200AF" w:rsidRDefault="00292458" w:rsidP="002C482D">
      <w:pPr>
        <w:pStyle w:val="Teksttreci0"/>
        <w:widowControl/>
        <w:shd w:val="clear" w:color="auto" w:fill="auto"/>
        <w:tabs>
          <w:tab w:val="left" w:pos="900"/>
        </w:tabs>
        <w:spacing w:after="120"/>
        <w:ind w:left="907" w:hanging="907"/>
      </w:pPr>
      <w:r>
        <w:t>SDT</w:t>
      </w:r>
      <w:r>
        <w:tab/>
        <w:t>Tabelle mit den Diensteparametern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Fernsehen mit Standardauflösung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Information über Dienste (Service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Technik für die Übertragung eines Inhalts mithilfe einer Sendeantenne, der mit einer Empfangsantenne empfangen wird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Systemsoftware-Update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Digitalempfänger ohne Bildanzeige (Set-Top-Box)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Fernsehen (TeleVision)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Ultrahochauflösung (Ultra-High Definition)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UHDTV</w:t>
      </w:r>
      <w:r>
        <w:tab/>
        <w:t>Ultrahochauflösendes Fernsehen (Ultra-High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Ultrahochfrequenz 300-3000 MHz (Ultra-High Frequency), Dezimeterwellen</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Serieller Universalbus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8-Bit-Kodierungssystem Unicode (8-bit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Austastlücke (Vertical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Ultrakurzfrequenz im Bereich 30-300 MHz (Very-High Frequency), Ultrakurzwellen</w:t>
      </w:r>
    </w:p>
    <w:p w:rsidR="00080B05" w:rsidRPr="002200AF" w:rsidRDefault="001A43DE" w:rsidP="002C482D">
      <w:pPr>
        <w:pStyle w:val="Nagwek40"/>
        <w:keepNext/>
        <w:keepLines/>
        <w:widowControl/>
        <w:shd w:val="clear" w:color="auto" w:fill="auto"/>
        <w:tabs>
          <w:tab w:val="left" w:pos="784"/>
        </w:tabs>
        <w:spacing w:line="252" w:lineRule="auto"/>
      </w:pPr>
      <w:r>
        <w:t>4. Empfangsmöglichkeiten</w:t>
      </w:r>
    </w:p>
    <w:p w:rsidR="00080B05" w:rsidRPr="002200AF" w:rsidRDefault="00292458" w:rsidP="002C482D">
      <w:pPr>
        <w:pStyle w:val="Teksttreci0"/>
        <w:widowControl/>
        <w:shd w:val="clear" w:color="auto" w:fill="auto"/>
        <w:spacing w:after="160" w:line="252" w:lineRule="auto"/>
        <w:ind w:firstLine="440"/>
      </w:pPr>
      <w:r>
        <w:t>Der Digitalempfänger stellt sicher, dass digitale DVB-T- und DVB-T2-Signale mit den Parametern laut den Normen PN-ETSI EN 300 744 [12] und PN-ETSI EN 302 755 [13] in den folgenden Bandbreiten empfangen werden können: VHF (174–230 MHz) in 7-MHz-Kanälen und UHF (470–790 MHz) in 8-MHz-Kanälen. Der Tuner des Digitalempfängers genügt den Anforderungen in der Norm PN-EN 62216:2011 [7] sowie den sonstigen Anforderungen an den Funkempfänger, die in Kapitel 3.4 der Norm „NorDig Unified Requirements for Integrated Receiver Decoders for use in cable, satellite, terrestrial and managed IPTV based networks“ [32] definiert sind.</w:t>
      </w:r>
    </w:p>
    <w:p w:rsidR="00080B05" w:rsidRPr="002200AF" w:rsidRDefault="001A43DE" w:rsidP="002C482D">
      <w:pPr>
        <w:pStyle w:val="Nagwek40"/>
        <w:keepNext/>
        <w:keepLines/>
        <w:widowControl/>
        <w:shd w:val="clear" w:color="auto" w:fill="auto"/>
        <w:tabs>
          <w:tab w:val="left" w:pos="784"/>
        </w:tabs>
        <w:spacing w:after="100" w:line="252" w:lineRule="auto"/>
      </w:pPr>
      <w:r>
        <w:t>5. Bandabtastung</w:t>
      </w:r>
    </w:p>
    <w:p w:rsidR="00080B05" w:rsidRPr="002200AF" w:rsidRDefault="00292458" w:rsidP="002C482D">
      <w:pPr>
        <w:pStyle w:val="Teksttreci0"/>
        <w:widowControl/>
        <w:shd w:val="clear" w:color="auto" w:fill="auto"/>
        <w:spacing w:after="160"/>
        <w:ind w:firstLine="440"/>
      </w:pPr>
      <w:r>
        <w:t>Der Digitalempfänger ermöglicht die automatische Abtastung des gesamten verfügbaren Frequenzbands, das dem HF-Tastkopf zugänglich ist, sowie die Anpassung an die korrekte DVB-T- und DVB-T2-Rahmenstruktur, die Kanalkodierung und die Modulation, damit der Eingangstransportstrahl an die nachfolgenden Module gesendet werden kann. Der DVB-T2-Empfänger ermöglicht den Empfang von SISO-Übertragungen unter Anwendung des OFDM-Verfahrens, bei dem gedrehte Konstellationen und keine gedrehten Konstellationen genutzt werden. Der Digitalempfänger empfängt Übertragungen im DVB-T2-Standard, die sich zumindest aus einem PLP zusammensetzen. Die Daten über die Abstimmung werden auf der Diensteliste gespeichert, um den geforderten Transportstrom rasch auswählen zu können.</w:t>
      </w:r>
    </w:p>
    <w:p w:rsidR="00080B05" w:rsidRPr="002200AF" w:rsidRDefault="001A43DE" w:rsidP="002C482D">
      <w:pPr>
        <w:pStyle w:val="Nagwek40"/>
        <w:keepNext/>
        <w:keepLines/>
        <w:widowControl/>
        <w:shd w:val="clear" w:color="auto" w:fill="auto"/>
        <w:tabs>
          <w:tab w:val="left" w:pos="784"/>
        </w:tabs>
        <w:spacing w:after="100" w:line="252" w:lineRule="auto"/>
      </w:pPr>
      <w:r>
        <w:t>6. Zugang zu Diensten</w:t>
      </w:r>
    </w:p>
    <w:p w:rsidR="00080B05" w:rsidRPr="002200AF" w:rsidRDefault="00292458" w:rsidP="002C482D">
      <w:pPr>
        <w:pStyle w:val="Teksttreci0"/>
        <w:keepNext/>
        <w:keepLines/>
        <w:widowControl/>
        <w:shd w:val="clear" w:color="auto" w:fill="auto"/>
        <w:spacing w:after="100" w:line="252" w:lineRule="auto"/>
        <w:ind w:firstLine="440"/>
      </w:pPr>
      <w:r>
        <w:t>Der Digitalempfänger ermöglicht Folgendes:</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Empfang von FTA;</w:t>
      </w:r>
    </w:p>
    <w:p w:rsidR="00080B05" w:rsidRPr="002200AF" w:rsidRDefault="001A43DE" w:rsidP="002C482D">
      <w:pPr>
        <w:pStyle w:val="Teksttreci0"/>
        <w:widowControl/>
        <w:shd w:val="clear" w:color="auto" w:fill="auto"/>
        <w:tabs>
          <w:tab w:val="left" w:pos="450"/>
        </w:tabs>
        <w:spacing w:after="100"/>
        <w:ind w:left="440" w:hanging="440"/>
      </w:pPr>
      <w:r>
        <w:t>2)</w:t>
      </w:r>
      <w:r>
        <w:tab/>
        <w:t>Auswahl der Audiokomponente bei der Übertragung vieler Audiokomponenten im Rahmen eines Dienstes; die Fernbedienung des Empfängers muss über eine Taste zur Auswahl der Audiospur oder über einen anderen Mechanismus, über den diese Audiospur leicht ausgewählt werden kann, verfügen;</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Auswahl der Untertitel (Videotext oder DVB) im UTF-8-Format;</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Nutzung von Videotext;</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Bildformatierung für die Bildseitenverhältnisse 4:3 und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Elternkontrolle für den Zugang zu ausgesuchten Programmen oder Veranstaltungen;</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Zugriff auf Menü in polnischer Sprache und Einstellung der polnischen Sprache.</w:t>
      </w:r>
    </w:p>
    <w:p w:rsidR="00080B05" w:rsidRPr="002200AF" w:rsidRDefault="001A43DE" w:rsidP="002C482D">
      <w:pPr>
        <w:pStyle w:val="Nagwek40"/>
        <w:keepNext/>
        <w:keepLines/>
        <w:widowControl/>
        <w:shd w:val="clear" w:color="auto" w:fill="auto"/>
        <w:tabs>
          <w:tab w:val="left" w:pos="784"/>
        </w:tabs>
        <w:spacing w:after="100" w:line="252" w:lineRule="auto"/>
      </w:pPr>
      <w:r>
        <w:t>7. SI-Navigator</w:t>
      </w:r>
    </w:p>
    <w:p w:rsidR="00080B05" w:rsidRPr="002200AF" w:rsidRDefault="00292458" w:rsidP="002C482D">
      <w:pPr>
        <w:pStyle w:val="Teksttreci0"/>
        <w:widowControl/>
        <w:shd w:val="clear" w:color="auto" w:fill="auto"/>
        <w:spacing w:after="160"/>
        <w:ind w:firstLine="440"/>
      </w:pPr>
      <w:r>
        <w:t>Der Digitalempfänger ist mit einem SI-Navigator ausgerüstet, der dem Nutzer die Programm- und Veranstaltungsübersicht anzeigt, die in den übertragenen SI-Tabellen gemäß PN-ETSI EN 300.468 [9] und im DVB Document A038 [27] enthalten sind, und ermöglicht dem Nutzer die Bedienung des Empfangsgeräts. Der Navigator stellt die Zeichen des polnischen Alphabets, die gemäß der Norm PN-ISO/IEC 8859-2:2001 [20] verschlüsselt sind, korrekt dar.</w:t>
      </w:r>
    </w:p>
    <w:p w:rsidR="00080B05" w:rsidRPr="002200AF" w:rsidRDefault="001A43DE" w:rsidP="002C482D">
      <w:pPr>
        <w:pStyle w:val="Nagwek40"/>
        <w:keepNext/>
        <w:keepLines/>
        <w:widowControl/>
        <w:shd w:val="clear" w:color="auto" w:fill="auto"/>
        <w:tabs>
          <w:tab w:val="left" w:pos="784"/>
        </w:tabs>
        <w:spacing w:after="100" w:line="252" w:lineRule="auto"/>
      </w:pPr>
      <w:r>
        <w:t>8. Automatische Installation</w:t>
      </w:r>
    </w:p>
    <w:p w:rsidR="00080B05" w:rsidRPr="002200AF" w:rsidRDefault="00292458" w:rsidP="002C482D">
      <w:pPr>
        <w:pStyle w:val="Teksttreci0"/>
        <w:widowControl/>
        <w:shd w:val="clear" w:color="auto" w:fill="auto"/>
        <w:spacing w:after="100" w:line="252" w:lineRule="auto"/>
        <w:ind w:firstLine="440"/>
      </w:pPr>
      <w:r>
        <w:t>Der Digitalempfänger nutzt die verbindlichen Informationen der Netzwerkinformationstabelle NIT oder die der Tabelle mit den Diensteparametern SDT gemäß PN-ETSI EN 300 468 [9] und in DVB Document A038 [27] zur automatischen Erstellung einer Programmliste und für die späteren Updates. Das Empfangsgerät unterstützt LCN. Alle gefundenen Dienste mit der Markierung als „angesehen“ sind auf der Diensteliste mit der zugewiesenen LCN-Nummer aufgelistet. Bei fehlender Nummer oder Übereinstimmung wird der Dienst am Ende der Liste aufgeführt. Der Nutzer hat die Möglichkeit, die Anordnung der Dienste zu ändern oder eine eigene Liste zu erstellen. Alle als „nicht angesehen“ markierten Dienste sind gespeichert, werden jedoch nicht auf der Liste der verfügbaren Dienste angezeigt.</w:t>
      </w:r>
    </w:p>
    <w:p w:rsidR="00080B05" w:rsidRPr="002200AF" w:rsidRDefault="001A43DE" w:rsidP="002C482D">
      <w:pPr>
        <w:pStyle w:val="Nagwek40"/>
        <w:keepNext/>
        <w:keepLines/>
        <w:widowControl/>
        <w:shd w:val="clear" w:color="auto" w:fill="auto"/>
        <w:tabs>
          <w:tab w:val="left" w:pos="789"/>
        </w:tabs>
        <w:spacing w:after="160"/>
      </w:pPr>
      <w:r>
        <w:t>9. Elternkontrolle</w:t>
      </w:r>
    </w:p>
    <w:p w:rsidR="00080B05" w:rsidRPr="002200AF" w:rsidRDefault="00292458" w:rsidP="002C482D">
      <w:pPr>
        <w:pStyle w:val="Teksttreci0"/>
        <w:widowControl/>
        <w:shd w:val="clear" w:color="auto" w:fill="auto"/>
        <w:spacing w:after="220"/>
        <w:ind w:firstLine="440"/>
      </w:pPr>
      <w:r>
        <w:t>Der Digitalempfänger kann den Zugriff auf die gesamten Programme oder auf ausgewählte Sendungen sperren, wenn im Strom die Information „parental_rating_descriptor“ gemäß PN-ETSI EN 300 468 [9] eingebettet ist.</w:t>
      </w:r>
    </w:p>
    <w:p w:rsidR="00080B05" w:rsidRPr="002200AF" w:rsidRDefault="001A43DE" w:rsidP="002C482D">
      <w:pPr>
        <w:pStyle w:val="Nagwek40"/>
        <w:keepNext/>
        <w:keepLines/>
        <w:widowControl/>
        <w:shd w:val="clear" w:color="auto" w:fill="auto"/>
        <w:tabs>
          <w:tab w:val="left" w:pos="890"/>
        </w:tabs>
        <w:spacing w:after="160"/>
      </w:pPr>
      <w:r>
        <w:lastRenderedPageBreak/>
        <w:t>10. Videodecoder</w:t>
      </w:r>
    </w:p>
    <w:p w:rsidR="00080B05" w:rsidRPr="002200AF" w:rsidRDefault="00292458" w:rsidP="002C482D">
      <w:pPr>
        <w:pStyle w:val="Teksttreci0"/>
        <w:keepNext/>
        <w:keepLines/>
        <w:widowControl/>
        <w:shd w:val="clear" w:color="auto" w:fill="auto"/>
        <w:spacing w:after="80"/>
        <w:ind w:firstLine="440"/>
      </w:pPr>
      <w:r>
        <w:t>Der Videodecoder entschlüsselt die digitalen Videoströme laut:</w:t>
      </w:r>
    </w:p>
    <w:p w:rsidR="00080B05" w:rsidRPr="002200AF" w:rsidRDefault="001A43DE" w:rsidP="002C482D">
      <w:pPr>
        <w:pStyle w:val="Teksttreci0"/>
        <w:widowControl/>
        <w:shd w:val="clear" w:color="auto" w:fill="auto"/>
        <w:tabs>
          <w:tab w:val="left" w:pos="450"/>
        </w:tabs>
        <w:spacing w:after="80"/>
        <w:ind w:left="440" w:hanging="440"/>
      </w:pPr>
      <w:r>
        <w:t>1)</w:t>
      </w:r>
      <w:r>
        <w:tab/>
        <w:t>der Empfehlung ITU-T H.264 [23] mit den Einschränkungen in ETSI TS 101 154 [15] Teil 5.6 und 5.7 für 25-Hz-H.264/AVC-Empfänger, die zur Dekodierung der HDTV-Ströme HP@L4 sowie der Ströme MP@L3 für Fernsehen mit Standardauflösung SDTV-fähig sind;</w:t>
      </w:r>
    </w:p>
    <w:p w:rsidR="00080B05" w:rsidRPr="002200AF" w:rsidRDefault="001A43DE" w:rsidP="002C482D">
      <w:pPr>
        <w:pStyle w:val="Teksttreci0"/>
        <w:widowControl/>
        <w:shd w:val="clear" w:color="auto" w:fill="auto"/>
        <w:tabs>
          <w:tab w:val="left" w:pos="450"/>
        </w:tabs>
        <w:spacing w:after="160"/>
        <w:ind w:left="440" w:hanging="440"/>
      </w:pPr>
      <w:r>
        <w:t>2)</w:t>
      </w:r>
      <w:r>
        <w:tab/>
        <w:t>der Empfehlung ITU-T H.265 [24] mit den Einschränkungen in ETSI TS 101 154 [15] Teil 5.14.1 und 5.14.2 (HDTV) für 50-HZ-HEVC-HDTV-8-Bit-Empfänger (Auflösung 1920 x 1080 p50, 1280 x 720 p50).</w:t>
      </w:r>
    </w:p>
    <w:p w:rsidR="00080B05" w:rsidRPr="002200AF" w:rsidRDefault="00292458" w:rsidP="002C482D">
      <w:pPr>
        <w:pStyle w:val="Teksttreci0"/>
        <w:widowControl/>
        <w:shd w:val="clear" w:color="auto" w:fill="auto"/>
        <w:spacing w:after="80"/>
        <w:ind w:firstLine="446"/>
      </w:pPr>
      <w:r>
        <w:t>Bei integrierten Empfangsgeräten (iDTV), die UHD-Bilder darstellen können, muss laut der Empfehlung ITU-T H.265 [24] die Dekodierung der Ströme entsprechend der Profile (definiert in der Empfehlung ITU-T H.265 [24]) Main Profile, Main 10 Profile und Main Tier unterstützt werden:</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mit den Einschränkungen in ETSI TS 101 154 [15] Teil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mit HLG10 sowie HEVC HDR UHDTV IRD mit PQ10 mit den Einschränkungen in ETSI TS 101 154 [15] Teil 5.14.4.</w:t>
      </w:r>
    </w:p>
    <w:p w:rsidR="00080B05" w:rsidRPr="002200AF" w:rsidRDefault="001A43DE" w:rsidP="002C482D">
      <w:pPr>
        <w:pStyle w:val="Nagwek40"/>
        <w:keepNext/>
        <w:keepLines/>
        <w:widowControl/>
        <w:shd w:val="clear" w:color="auto" w:fill="auto"/>
        <w:tabs>
          <w:tab w:val="left" w:pos="890"/>
        </w:tabs>
        <w:spacing w:after="160"/>
      </w:pPr>
      <w:r>
        <w:t>11. Audiodecoder</w:t>
      </w:r>
    </w:p>
    <w:p w:rsidR="00080B05" w:rsidRPr="002200AF" w:rsidRDefault="00292458" w:rsidP="002C482D">
      <w:pPr>
        <w:pStyle w:val="Teksttreci0"/>
        <w:keepNext/>
        <w:keepLines/>
        <w:widowControl/>
        <w:shd w:val="clear" w:color="auto" w:fill="auto"/>
        <w:spacing w:after="80"/>
        <w:ind w:firstLine="440"/>
      </w:pPr>
      <w:r>
        <w:t>Der Audiodecoder entschlüsselt die digitalen Audioströme, die verschlüsselt sind laut:</w:t>
      </w:r>
    </w:p>
    <w:p w:rsidR="00080B05" w:rsidRPr="002200AF" w:rsidRDefault="001A43DE" w:rsidP="002C482D">
      <w:pPr>
        <w:pStyle w:val="Teksttreci0"/>
        <w:widowControl/>
        <w:shd w:val="clear" w:color="auto" w:fill="auto"/>
        <w:spacing w:after="80"/>
        <w:ind w:left="440" w:hanging="440"/>
      </w:pPr>
      <w:r>
        <w:t>1)</w:t>
      </w:r>
      <w:r>
        <w:tab/>
        <w:t>MPEG-2 Audio Layer 2 mit den Einschränkungen in ETSI TS 101 154 [15] Teil 6.1;</w:t>
      </w:r>
    </w:p>
    <w:p w:rsidR="00080B05" w:rsidRPr="002200AF" w:rsidRDefault="001A43DE" w:rsidP="002C482D">
      <w:pPr>
        <w:pStyle w:val="Teksttreci0"/>
        <w:widowControl/>
        <w:shd w:val="clear" w:color="auto" w:fill="auto"/>
        <w:spacing w:after="160"/>
        <w:ind w:left="440" w:hanging="440"/>
      </w:pPr>
      <w:r>
        <w:t>2)</w:t>
      </w:r>
      <w:r>
        <w:tab/>
        <w:t>E-AC-3 gemäß ETSI TS 102 366 [17] und den Einschränkungen in ETSI TS 101 154 [15], Teil 6.2 [15].</w:t>
      </w:r>
    </w:p>
    <w:p w:rsidR="00080B05" w:rsidRPr="002200AF" w:rsidRDefault="00292458" w:rsidP="002C482D">
      <w:pPr>
        <w:pStyle w:val="Teksttreci0"/>
        <w:widowControl/>
        <w:shd w:val="clear" w:color="auto" w:fill="auto"/>
        <w:spacing w:after="160"/>
        <w:ind w:firstLine="440"/>
      </w:pPr>
      <w:r>
        <w:t>Bei integrierten Empfangsgeräten (iDTV), die UHD-Bilder darstellen können, muss laut der Empfehlung ETSI TS 103 190 [19] mit den Einschränkungen in ETSI TS 101 154 [15] Teil 6.6 und 6.7 der Standard AC-4 unterstützt werden.</w:t>
      </w:r>
    </w:p>
    <w:p w:rsidR="00080B05" w:rsidRPr="002200AF" w:rsidRDefault="00292458" w:rsidP="002C482D">
      <w:pPr>
        <w:pStyle w:val="Teksttreci0"/>
        <w:widowControl/>
        <w:shd w:val="clear" w:color="auto" w:fill="auto"/>
        <w:spacing w:after="160"/>
        <w:ind w:firstLine="440"/>
      </w:pPr>
      <w:r>
        <w:t>Der Audiodecoder nutzt die im E-AC-3- oder AC-4-Strom eingebetteten Metadaten zur Regelung der Lautstärke, zur Umwandlung des Raumklangs in Stereoklang oder zum Mischen des Haupttones mit zusätzlichen Tönen entsprechend der Norm PN-ETSI EN 300 468 [9] Annex J.</w:t>
      </w:r>
    </w:p>
    <w:p w:rsidR="00080B05" w:rsidRPr="002200AF" w:rsidRDefault="00292458" w:rsidP="002C482D">
      <w:pPr>
        <w:pStyle w:val="Teksttreci0"/>
        <w:keepNext/>
        <w:keepLines/>
        <w:widowControl/>
        <w:shd w:val="clear" w:color="auto" w:fill="auto"/>
        <w:spacing w:after="80"/>
        <w:ind w:firstLine="440"/>
      </w:pPr>
      <w:r>
        <w:t>Der Nutzer kann über die Fernbedienung des Empfangsgeräts den Klangempfang wie folgt personalisieren:</w:t>
      </w:r>
    </w:p>
    <w:p w:rsidR="00080B05" w:rsidRPr="002200AF" w:rsidRDefault="001A43DE" w:rsidP="002C482D">
      <w:pPr>
        <w:pStyle w:val="Teksttreci0"/>
        <w:widowControl/>
        <w:shd w:val="clear" w:color="auto" w:fill="auto"/>
        <w:spacing w:after="80"/>
        <w:ind w:left="440" w:hanging="440"/>
      </w:pPr>
      <w:r>
        <w:t>1)</w:t>
      </w:r>
      <w:r>
        <w:tab/>
        <w:t>Auswahl des Klangformats;</w:t>
      </w:r>
    </w:p>
    <w:p w:rsidR="00080B05" w:rsidRPr="002200AF" w:rsidRDefault="001A43DE" w:rsidP="002C482D">
      <w:pPr>
        <w:pStyle w:val="Teksttreci0"/>
        <w:widowControl/>
        <w:shd w:val="clear" w:color="auto" w:fill="auto"/>
        <w:spacing w:after="80"/>
        <w:ind w:left="440" w:hanging="440"/>
      </w:pPr>
      <w:r>
        <w:t>2)</w:t>
      </w:r>
      <w:r>
        <w:tab/>
        <w:t>Verbesserung der Sprachqualität der Dialoge;</w:t>
      </w:r>
    </w:p>
    <w:p w:rsidR="00080B05" w:rsidRPr="002200AF" w:rsidRDefault="001A43DE" w:rsidP="002C482D">
      <w:pPr>
        <w:pStyle w:val="Teksttreci0"/>
        <w:widowControl/>
        <w:shd w:val="clear" w:color="auto" w:fill="auto"/>
        <w:tabs>
          <w:tab w:val="left" w:pos="420"/>
        </w:tabs>
        <w:spacing w:after="160"/>
        <w:ind w:left="440" w:hanging="440"/>
      </w:pPr>
      <w:r>
        <w:t>3)</w:t>
      </w:r>
      <w:r>
        <w:tab/>
        <w:t>Mischen des Haupttones mit zusätzlichen Tönen (z. B. Sprecher, Audiodeskription), die als Klangobjekte gesendet werden.</w:t>
      </w:r>
    </w:p>
    <w:p w:rsidR="00080B05" w:rsidRPr="002200AF" w:rsidRDefault="00292458" w:rsidP="002C482D">
      <w:pPr>
        <w:pStyle w:val="Teksttreci0"/>
        <w:widowControl/>
        <w:shd w:val="clear" w:color="auto" w:fill="auto"/>
        <w:spacing w:after="220"/>
        <w:ind w:firstLine="440"/>
      </w:pPr>
      <w:r>
        <w:t>Unabhängig vom Kodierungsverfahren und von der Anzahl der übertragenen Audiokanäle leitet der Audiodecoder ein Stereosignal zum analogen Audioausgang des Digitalempfängers (falls vorhanden) weiter, es sei denn, dass ein Mono-Audiosignal oder zwei Töne gesendet werden. In diesem Fall überträgt der Decoder auf beiden Kanälen das ausgewählte Mono-Audiosignal.</w:t>
      </w:r>
    </w:p>
    <w:p w:rsidR="00080B05" w:rsidRPr="002200AF" w:rsidRDefault="001A43DE" w:rsidP="002C482D">
      <w:pPr>
        <w:pStyle w:val="Nagwek40"/>
        <w:keepNext/>
        <w:keepLines/>
        <w:widowControl/>
        <w:shd w:val="clear" w:color="auto" w:fill="auto"/>
        <w:tabs>
          <w:tab w:val="left" w:pos="890"/>
        </w:tabs>
        <w:spacing w:after="160"/>
      </w:pPr>
      <w:r>
        <w:t>12. Videotext und DVB-Untertitel</w:t>
      </w:r>
    </w:p>
    <w:p w:rsidR="00080B05" w:rsidRPr="002200AF" w:rsidRDefault="00292458" w:rsidP="002C482D">
      <w:pPr>
        <w:pStyle w:val="Teksttreci0"/>
        <w:widowControl/>
        <w:shd w:val="clear" w:color="auto" w:fill="auto"/>
        <w:spacing w:after="220"/>
        <w:ind w:firstLine="440"/>
      </w:pPr>
      <w:r>
        <w:t>Während der Dekodierung der Audio-, Video- und Datenströme isoliert der Digitalempfänger parallel dazu die Videotextdaten nach den Anforderungen der Norm PN-ETSI EN 300 706 V1.2.1:2005 [10] für Layer 1.5, die in Form von Paketen gemäß der Norm PN-ETSI EN 300 743 V1.6.1:2019-04 [11] übertragen werden.</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Videotext</w:t>
      </w:r>
    </w:p>
    <w:p w:rsidR="00080B05" w:rsidRPr="002200AF" w:rsidRDefault="00292458" w:rsidP="002C482D">
      <w:pPr>
        <w:pStyle w:val="Teksttreci0"/>
        <w:widowControl/>
        <w:shd w:val="clear" w:color="auto" w:fill="auto"/>
        <w:spacing w:after="120"/>
        <w:ind w:firstLine="440"/>
      </w:pPr>
      <w:r>
        <w:t>Der in den digitalen Strömen gesendete Videotext wird im Empfangsgerät wie folgt entschlüsselt:</w:t>
      </w:r>
    </w:p>
    <w:p w:rsidR="00080B05" w:rsidRPr="002200AF" w:rsidRDefault="001A43DE" w:rsidP="002C482D">
      <w:pPr>
        <w:pStyle w:val="Teksttreci0"/>
        <w:widowControl/>
        <w:shd w:val="clear" w:color="auto" w:fill="auto"/>
        <w:spacing w:after="120"/>
        <w:ind w:left="440" w:hanging="440"/>
      </w:pPr>
      <w:r>
        <w:t>1)</w:t>
      </w:r>
      <w:r>
        <w:tab/>
        <w:t>durch den internen Decoder, dabei wird er in Form von Zeichen und Symbolen auf der Bildschirmanzeige (OSD) dargestellt, oder</w:t>
      </w:r>
    </w:p>
    <w:p w:rsidR="00080B05" w:rsidRPr="002200AF" w:rsidRDefault="001A43DE" w:rsidP="002C482D">
      <w:pPr>
        <w:pStyle w:val="Teksttreci0"/>
        <w:widowControl/>
        <w:shd w:val="clear" w:color="auto" w:fill="auto"/>
        <w:spacing w:after="160"/>
        <w:ind w:left="440" w:hanging="440"/>
      </w:pPr>
      <w:r>
        <w:t>2)</w:t>
      </w:r>
      <w:r>
        <w:tab/>
        <w:t>bei STB mit analogem Ausgang durch Einfügen der Daten in ausgesuchten Linien über die Dauer der Austastlücke (VBI) gemäß den Anforderungen der Norm ETSI EN 300 706 V1.2.1:2005 [10] für Layer 1.5.</w:t>
      </w:r>
    </w:p>
    <w:p w:rsidR="00080B05" w:rsidRPr="002200AF" w:rsidRDefault="001A43DE" w:rsidP="002C482D">
      <w:pPr>
        <w:pStyle w:val="Teksttreci0"/>
        <w:keepNext/>
        <w:keepLines/>
        <w:widowControl/>
        <w:shd w:val="clear" w:color="auto" w:fill="auto"/>
        <w:tabs>
          <w:tab w:val="left" w:pos="1035"/>
        </w:tabs>
        <w:ind w:firstLine="440"/>
      </w:pPr>
      <w:r>
        <w:t>12.2.</w:t>
      </w:r>
      <w:r>
        <w:tab/>
        <w:t>DVB-Untertitel</w:t>
      </w:r>
    </w:p>
    <w:p w:rsidR="00080B05" w:rsidRPr="002200AF" w:rsidRDefault="00292458" w:rsidP="002C482D">
      <w:pPr>
        <w:pStyle w:val="Teksttreci0"/>
        <w:widowControl/>
        <w:shd w:val="clear" w:color="auto" w:fill="auto"/>
        <w:ind w:firstLine="440"/>
      </w:pPr>
      <w:r>
        <w:t>Der Digitalempfänger entschlüsselt die übertragenen Untertitel und stellt sie gemäß den Interoperabilitätsvorschriften in Punkt 7.3 und dem Zusatz B.4 zur Norm ETSI EN 300 743 V1.6.1:2019-04 [11] dar.</w:t>
      </w:r>
    </w:p>
    <w:p w:rsidR="00080B05" w:rsidRPr="002200AF" w:rsidRDefault="00292458" w:rsidP="002C482D">
      <w:pPr>
        <w:pStyle w:val="Teksttreci0"/>
        <w:widowControl/>
        <w:shd w:val="clear" w:color="auto" w:fill="auto"/>
        <w:ind w:firstLine="440"/>
      </w:pPr>
      <w:r>
        <w:t>Der Nutzer muss das Dekodieren des Videotextes und der DVB-Untertitel, die gleichzeitig übertragen werden, steuern können.</w:t>
      </w:r>
    </w:p>
    <w:p w:rsidR="00080B05" w:rsidRPr="002200AF" w:rsidRDefault="001A43DE" w:rsidP="002C482D">
      <w:pPr>
        <w:pStyle w:val="Nagwek40"/>
        <w:keepNext/>
        <w:keepLines/>
        <w:widowControl/>
        <w:shd w:val="clear" w:color="auto" w:fill="auto"/>
        <w:tabs>
          <w:tab w:val="left" w:pos="881"/>
        </w:tabs>
      </w:pPr>
      <w:r>
        <w:lastRenderedPageBreak/>
        <w:t>13. HFR (falls im Empfänger vorhanden)</w:t>
      </w:r>
    </w:p>
    <w:p w:rsidR="00080B05" w:rsidRPr="002200AF" w:rsidRDefault="00292458" w:rsidP="002C482D">
      <w:pPr>
        <w:pStyle w:val="Teksttreci0"/>
        <w:widowControl/>
        <w:shd w:val="clear" w:color="auto" w:fill="auto"/>
        <w:ind w:firstLine="440"/>
      </w:pPr>
      <w:r>
        <w:t>UHDTV-Empfänger, die Bilder im HFR-Verfahren darstellen können, müssen das Dekodieren der Ströme in den Profilen (definiert in der Empfehlung ITU-T H.265 [24]) Main Profile, Main 10 Profile und Main Tier: HEVC HDR HFR UHDTV IRD mit HLG10 sowie HEVC HDR HFR UHDTV IRD mit PQ10 und den Einschränkungen in der Empfehlung ETSI TS 101 154 [15] Teil 5.14.5 unterstützen.</w:t>
      </w:r>
    </w:p>
    <w:p w:rsidR="00080B05" w:rsidRPr="002200AF" w:rsidRDefault="001A43DE" w:rsidP="002C482D">
      <w:pPr>
        <w:pStyle w:val="Nagwek40"/>
        <w:keepNext/>
        <w:keepLines/>
        <w:widowControl/>
        <w:shd w:val="clear" w:color="auto" w:fill="auto"/>
        <w:tabs>
          <w:tab w:val="left" w:pos="881"/>
        </w:tabs>
      </w:pPr>
      <w:r>
        <w:t>14. Hybridfernsehen (HbbTV, falls im Empfänger vorhanden)</w:t>
      </w:r>
    </w:p>
    <w:p w:rsidR="00080B05" w:rsidRPr="002200AF" w:rsidRDefault="00292458" w:rsidP="002C482D">
      <w:pPr>
        <w:pStyle w:val="Teksttreci0"/>
        <w:widowControl/>
        <w:shd w:val="clear" w:color="auto" w:fill="auto"/>
        <w:ind w:firstLine="440"/>
      </w:pPr>
      <w:r>
        <w:t>Falls der Empfänger Hybridfernsehen HbbTV ermöglicht, unterstützt er die Version 2.0.2 gemäß der Norm ETSI TS 102 796 [18] Fassung V1.5.1 (2018-09) oder neuer. HbbTV wird standardmäßig beim Kauf eines Digitalempfängers aktiviert, sofern dieser über die entsprechende Funktion verfügt. Der Nutzer muss die HbbTV-Funktion auf einfache Weise ein- und ausschalten können.</w:t>
      </w:r>
    </w:p>
    <w:p w:rsidR="00080B05" w:rsidRPr="002200AF" w:rsidRDefault="00292458" w:rsidP="002C482D">
      <w:pPr>
        <w:pStyle w:val="Teksttreci0"/>
        <w:widowControl/>
        <w:shd w:val="clear" w:color="auto" w:fill="auto"/>
        <w:ind w:firstLine="440"/>
      </w:pPr>
      <w:r>
        <w:t>HbbTV-Empfänger empfangen störungsfrei die Programmapplikationen (API) für HbbTV entsprechend der Empfehlung ETSI TS 102 796 [18] Fassung V1.5.1 (2018-09) oder ihrer neueren Überarbeitung.</w:t>
      </w:r>
    </w:p>
    <w:p w:rsidR="00080B05" w:rsidRPr="002200AF" w:rsidRDefault="001A43DE" w:rsidP="002C482D">
      <w:pPr>
        <w:pStyle w:val="Nagwek40"/>
        <w:keepNext/>
        <w:keepLines/>
        <w:widowControl/>
        <w:shd w:val="clear" w:color="auto" w:fill="auto"/>
        <w:tabs>
          <w:tab w:val="left" w:pos="881"/>
        </w:tabs>
      </w:pPr>
      <w:r>
        <w:t>15. Software-Fernupdate</w:t>
      </w:r>
    </w:p>
    <w:p w:rsidR="00080B05" w:rsidRPr="002200AF" w:rsidRDefault="00292458" w:rsidP="002C482D">
      <w:pPr>
        <w:pStyle w:val="Teksttreci0"/>
        <w:widowControl/>
        <w:shd w:val="clear" w:color="auto" w:fill="auto"/>
        <w:ind w:firstLine="440"/>
      </w:pPr>
      <w:r>
        <w:t>Der Digitalempfänger führt das Systemsoftware-Update zur Wartung des Empfängers aus. Der Hersteller des Empfängers entscheidet, welches der nachstehend genannten Software-Aktualisierungsverfahren zum Einsatz kommt:</w:t>
      </w:r>
    </w:p>
    <w:p w:rsidR="00080B05" w:rsidRPr="002200AF" w:rsidRDefault="001A43DE" w:rsidP="002C482D">
      <w:pPr>
        <w:pStyle w:val="Teksttreci0"/>
        <w:widowControl/>
        <w:shd w:val="clear" w:color="auto" w:fill="auto"/>
        <w:ind w:left="440" w:hanging="440"/>
      </w:pPr>
      <w:r>
        <w:t>1)</w:t>
      </w:r>
      <w:r>
        <w:tab/>
        <w:t>an den USB-Eingang angeschlossenes Speichermedium;</w:t>
      </w:r>
    </w:p>
    <w:p w:rsidR="00080B05" w:rsidRPr="002200AF" w:rsidRDefault="001A43DE" w:rsidP="002C482D">
      <w:pPr>
        <w:pStyle w:val="Teksttreci0"/>
        <w:widowControl/>
        <w:shd w:val="clear" w:color="auto" w:fill="auto"/>
        <w:ind w:left="440" w:hanging="440"/>
      </w:pPr>
      <w:r>
        <w:t>2)</w:t>
      </w:r>
      <w:r>
        <w:tab/>
        <w:t>über das Internet (bei interaktiven Empfängern mit Möglichkeit der Nutzung von interaktiven Fernsehdiensten über das Internet);</w:t>
      </w:r>
    </w:p>
    <w:p w:rsidR="00080B05" w:rsidRPr="002200AF" w:rsidRDefault="001A43DE" w:rsidP="002C482D">
      <w:pPr>
        <w:pStyle w:val="Teksttreci0"/>
        <w:widowControl/>
        <w:shd w:val="clear" w:color="auto" w:fill="auto"/>
        <w:tabs>
          <w:tab w:val="left" w:pos="424"/>
        </w:tabs>
        <w:ind w:left="440" w:hanging="440"/>
      </w:pPr>
      <w:r>
        <w:t>3)</w:t>
      </w:r>
      <w:r>
        <w:tab/>
        <w:t>DVB-SSU gemäß der Empfehlung ETSI TS 102 006 [16].</w:t>
      </w:r>
    </w:p>
    <w:p w:rsidR="00080B05" w:rsidRPr="002200AF" w:rsidRDefault="001A43DE" w:rsidP="002C482D">
      <w:pPr>
        <w:pStyle w:val="Nagwek40"/>
        <w:keepNext/>
        <w:keepLines/>
        <w:widowControl/>
        <w:shd w:val="clear" w:color="auto" w:fill="auto"/>
        <w:tabs>
          <w:tab w:val="left" w:pos="881"/>
        </w:tabs>
      </w:pPr>
      <w:r>
        <w:t>16. Schnittstellen des Digitalempfängers</w:t>
      </w:r>
    </w:p>
    <w:p w:rsidR="00080B05" w:rsidRPr="002200AF" w:rsidRDefault="001A43DE" w:rsidP="002C482D">
      <w:pPr>
        <w:pStyle w:val="Teksttreci0"/>
        <w:keepNext/>
        <w:keepLines/>
        <w:widowControl/>
        <w:shd w:val="clear" w:color="auto" w:fill="auto"/>
        <w:tabs>
          <w:tab w:val="left" w:pos="1035"/>
        </w:tabs>
        <w:ind w:firstLine="440"/>
      </w:pPr>
      <w:r>
        <w:t>16.1.</w:t>
      </w:r>
      <w:r>
        <w:tab/>
        <w:t>Hochfrequenz-Signalschnittstelle:</w:t>
      </w:r>
    </w:p>
    <w:p w:rsidR="00080B05" w:rsidRPr="002200AF" w:rsidRDefault="00292458" w:rsidP="002C482D">
      <w:pPr>
        <w:pStyle w:val="Teksttreci0"/>
        <w:widowControl/>
        <w:shd w:val="clear" w:color="auto" w:fill="auto"/>
        <w:ind w:firstLine="440"/>
      </w:pPr>
      <w:r>
        <w:t>Der Digitalempfänger verfügt über einen IEC-Anschluss gemäß der Norm PN-EN 61169-2:2007 [6]. Die Eingangsimpedanz beträgt 75 Q.</w:t>
      </w:r>
    </w:p>
    <w:p w:rsidR="00080B05" w:rsidRPr="002200AF" w:rsidRDefault="001A43DE" w:rsidP="002C482D">
      <w:pPr>
        <w:pStyle w:val="Teksttreci0"/>
        <w:keepNext/>
        <w:keepLines/>
        <w:widowControl/>
        <w:shd w:val="clear" w:color="auto" w:fill="auto"/>
        <w:tabs>
          <w:tab w:val="left" w:pos="1035"/>
        </w:tabs>
        <w:ind w:firstLine="440"/>
      </w:pPr>
      <w:r>
        <w:t>16.2.</w:t>
      </w:r>
      <w:r>
        <w:tab/>
        <w:t>Digitale Schnittstellen</w:t>
      </w:r>
    </w:p>
    <w:p w:rsidR="00080B05" w:rsidRPr="002200AF" w:rsidRDefault="00292458" w:rsidP="002C482D">
      <w:pPr>
        <w:pStyle w:val="Teksttreci0"/>
        <w:widowControl/>
        <w:shd w:val="clear" w:color="auto" w:fill="auto"/>
        <w:ind w:firstLine="440"/>
      </w:pPr>
      <w:r>
        <w:t>Das integrierte Empfangsgerät (iDTV) verfügt über einen HDMI-Eingang des Typs A entsprechend „High-Definition Multimedia Interface“ [30], abgesichert mit einem HDCP-System in Übereinstimmung mit „High-Bandwidth Digital Content Protection System“ [28]. Bei STB hat der HDMI-Anschluss die Funktion des Signalausgangs zur Anzeige. Bei integrierten Empfangsgeräten (iDTV), die UHD-Bilder darstellen können, ist der Standard HDMI 2.1 gemäß High-Definition Multimedia Interface, Version 2.1 [31] erforderlich und es müssen HDR und ARC sowie HDCP 2.2 gemäß „High-bandwidth Digital Content Protection System, Mapping HDCP to HDMI, Revision 2.2“ [29] unterstützt werden. Integrierte Empfangsgeräte (iDTV) mit Bildanzeige mit einer Diagonale von 30 cm oder weniger müssen keinen HDMI-Eingang haben.</w:t>
      </w:r>
    </w:p>
    <w:p w:rsidR="00080B05" w:rsidRPr="002200AF" w:rsidRDefault="001A43DE" w:rsidP="002C482D">
      <w:pPr>
        <w:pStyle w:val="Nagwek40"/>
        <w:keepNext/>
        <w:keepLines/>
        <w:widowControl/>
        <w:shd w:val="clear" w:color="auto" w:fill="auto"/>
        <w:tabs>
          <w:tab w:val="left" w:pos="881"/>
        </w:tabs>
      </w:pPr>
      <w:r>
        <w:t>17. Stromversorgung</w:t>
      </w:r>
    </w:p>
    <w:p w:rsidR="00080B05" w:rsidRPr="002200AF" w:rsidRDefault="00292458" w:rsidP="002C482D">
      <w:pPr>
        <w:pStyle w:val="Teksttreci0"/>
        <w:keepNext/>
        <w:keepLines/>
        <w:widowControl/>
        <w:shd w:val="clear" w:color="auto" w:fill="auto"/>
        <w:ind w:firstLine="440"/>
      </w:pPr>
      <w:r>
        <w:t>Die Stromversorgung des Digitalempfängers genügt den folgenden Anforderungen:</w:t>
      </w:r>
    </w:p>
    <w:p w:rsidR="00080B05" w:rsidRPr="002200AF" w:rsidRDefault="001A43DE" w:rsidP="002C482D">
      <w:pPr>
        <w:pStyle w:val="Teksttreci0"/>
        <w:widowControl/>
        <w:shd w:val="clear" w:color="auto" w:fill="auto"/>
        <w:tabs>
          <w:tab w:val="left" w:pos="424"/>
        </w:tabs>
        <w:ind w:left="440" w:hanging="440"/>
      </w:pPr>
      <w:r>
        <w:t>1)</w:t>
      </w:r>
      <w:r>
        <w:tab/>
        <w:t>Spannung: 230 V ± 10 % gemäß der Norm PN-EN 60038:2012 [4];</w:t>
      </w:r>
    </w:p>
    <w:p w:rsidR="00080B05" w:rsidRPr="002200AF" w:rsidRDefault="001A43DE" w:rsidP="002C482D">
      <w:pPr>
        <w:pStyle w:val="Teksttreci0"/>
        <w:widowControl/>
        <w:shd w:val="clear" w:color="auto" w:fill="auto"/>
        <w:tabs>
          <w:tab w:val="left" w:pos="424"/>
        </w:tabs>
        <w:ind w:left="440" w:hanging="440"/>
      </w:pPr>
      <w:r>
        <w:t>2)</w:t>
      </w:r>
      <w:r>
        <w:tab/>
        <w:t>Frequenz: 47–53 Hz gemäß der Norm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BB2" w:rsidRDefault="00183BB2">
      <w:r>
        <w:separator/>
      </w:r>
    </w:p>
  </w:endnote>
  <w:endnote w:type="continuationSeparator" w:id="0">
    <w:p w:rsidR="00183BB2" w:rsidRDefault="0018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BB2" w:rsidRDefault="00183BB2">
      <w:r>
        <w:separator/>
      </w:r>
    </w:p>
  </w:footnote>
  <w:footnote w:type="continuationSeparator" w:id="0">
    <w:p w:rsidR="00183BB2" w:rsidRDefault="00183BB2">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Der Minister für Digitalisierung leitet die Abteilung der Regierungsverwaltung „Informatisierung“ gemäß § 1 Absatz 2 der Verordnung des Ministerpräsidenten vom 20. April 2018 über den detaillierten Geschäftsbereich des Ministers für Digitalisierung (polnisches Gesetzblatt Pos.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Diese Verordnung wurde der Europäischen Kommission am 15. Mai 2019 unter der Nummer 2019/213/PL gemäß § 4 der Verordnung des Ministerrates vom 23. Dezember 2002 über die Funktionsweise des nationalen Notifizierungssystems von Normen und Rechtsakten (polnisches Gesetzblatt Pos. 2039 sowie von 2004 Pos. 597) notifiziert, mit der die Richtlinie (EU) 2015/1535 des Europäischen Parlaments und des Rates vom 9. September 2015 über ein Informationsverfahren auf dem Gebiet der technischen Vorschriften und der Vorschriften für die Dienste der Informationsgesellschaft (ABl. EU L 241 vom 17.9.2015, S. 1) umgesetzt wird.</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Die Änderungen der einheitlichen Fassung des oben genannten Gesetzes wurden im polnischen Gesetzblatt von 2018 Pos. 2245 und 2354 sowie von 2019 Pos. 643, 730, 1030, 1553, 1815 und 2005 bekannt gegeben.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Gesetzblatt</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AE49AE">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Pos.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Dokument unterzeichnet von Krzysztof Madej</w:t>
    </w:r>
  </w:p>
  <w:p w:rsidR="002200AF" w:rsidRPr="002200AF" w:rsidRDefault="002200AF" w:rsidP="00960F69">
    <w:pPr>
      <w:pStyle w:val="Teksttreci30"/>
      <w:shd w:val="clear" w:color="auto" w:fill="auto"/>
      <w:spacing w:line="264" w:lineRule="auto"/>
      <w:ind w:left="8827"/>
    </w:pPr>
    <w:r>
      <w:t>Datum: 04.11.2019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83BB2"/>
    <w:rsid w:val="001A43DE"/>
    <w:rsid w:val="002200AF"/>
    <w:rsid w:val="00292458"/>
    <w:rsid w:val="002C482D"/>
    <w:rsid w:val="0033633B"/>
    <w:rsid w:val="004743A8"/>
    <w:rsid w:val="00617C9D"/>
    <w:rsid w:val="00684636"/>
    <w:rsid w:val="007F4DF4"/>
    <w:rsid w:val="00960F69"/>
    <w:rsid w:val="009E5E33"/>
    <w:rsid w:val="00AE0F11"/>
    <w:rsid w:val="00AE4595"/>
    <w:rsid w:val="00AE49AE"/>
    <w:rsid w:val="00B50F5C"/>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de-DE"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3318</Words>
  <Characters>18919</Characters>
  <Application>Microsoft Office Word</Application>
  <DocSecurity>0</DocSecurity>
  <Lines>157</Lines>
  <Paragraphs>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4</cp:revision>
  <dcterms:created xsi:type="dcterms:W3CDTF">2020-09-10T12:10:00Z</dcterms:created>
  <dcterms:modified xsi:type="dcterms:W3CDTF">2020-10-28T02:59:00Z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