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NACRT KRALJEVSKE UREDBE O UREĐENJU KOMUNIKACIJE PREMA HITNIM SLUŽBAMA PUTEM JEDINSTVENOG BROJA ZA HITNE SLUČAJEVE 112.</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Odlukom Vijeća Europskih zajednica od 29. srpnja 1991. utvrđena je obveza država članica da uvedu broj 112 kao jedinstveni europski pozivni broj za hitne slučajeve.</w:t>
      </w:r>
    </w:p>
    <w:p w14:paraId="6376BDD0" w14:textId="547E9F35" w:rsidR="00E027DA" w:rsidRPr="00665FA8" w:rsidRDefault="00F67865" w:rsidP="00E027DA">
      <w:pPr>
        <w:jc w:val="both"/>
        <w:rPr>
          <w:rFonts w:cstheme="minorHAnsi"/>
          <w:sz w:val="24"/>
          <w:szCs w:val="24"/>
        </w:rPr>
      </w:pPr>
      <w:r>
        <w:rPr>
          <w:sz w:val="24"/>
        </w:rPr>
        <w:t>U tom je pogledu uvođenje jedinstvenog broja za hitne slučajeve u svim državama članicama Europske unije omogućilo građanima da u vlastitoj zemlji ili u drugoj državi članici lakše pristupaju hitnim službama putem telefona.</w:t>
      </w:r>
    </w:p>
    <w:p w14:paraId="47E353DB" w14:textId="1302357D" w:rsidR="00E027DA" w:rsidRPr="00665FA8" w:rsidRDefault="00E027DA" w:rsidP="00E027DA">
      <w:pPr>
        <w:jc w:val="both"/>
        <w:rPr>
          <w:rFonts w:cstheme="minorHAnsi"/>
          <w:sz w:val="24"/>
          <w:szCs w:val="24"/>
        </w:rPr>
      </w:pPr>
      <w:r>
        <w:rPr>
          <w:sz w:val="24"/>
        </w:rPr>
        <w:t>Kraljevskom uredbom 903/1997 od 16. lipnja 1997. o uređenju pristupa službi za odgovor na hitne pozive putem broja 112 putem telekomunikacijskih mreža omogućeno je da se u Španjolskoj za pristup službi odgovora na hitne pozive upotrebljava isključivo broj 112 i da se pristup toj službi regulira putem mreža telefonskih operatera. Slijedom toga, Odluka od 14. listopada 1999. o uvjetima za pružanje informacija relevantnih za pružanje usluga odgovora na hitne pozive izdana je pod brojem 112.</w:t>
      </w:r>
    </w:p>
    <w:p w14:paraId="7695F0AE" w14:textId="1D3B8770" w:rsidR="00E027DA" w:rsidRPr="00665FA8" w:rsidRDefault="00E027DA" w:rsidP="00E027DA">
      <w:pPr>
        <w:jc w:val="both"/>
        <w:rPr>
          <w:rFonts w:cstheme="minorHAnsi"/>
          <w:sz w:val="24"/>
          <w:szCs w:val="24"/>
        </w:rPr>
      </w:pPr>
      <w:r>
        <w:rPr>
          <w:sz w:val="24"/>
        </w:rPr>
        <w:t>Unatoč uspješnoj provedbi modela pružanja usluge 112 u okviru dugogodišnjeg iskustva, Direktivom (EU) 2018/1972 Europskog parlamenta i Vijeća od 11. prosinca 2018. o Europskom zakoniku elektroničkih komunikacija (dalje u tekstu: Zakonik) podrobnije su razrađene informacije i širenje njegove uporabe, uveden je tehnički napredak kojim se omogućuje preciznije utvrđivanje lokacije pozivatelja i poboljšan je pristup osoba s invaliditetom hitnim službama putem komunikacije prema hitnim službama.</w:t>
      </w:r>
    </w:p>
    <w:p w14:paraId="258B4F42" w14:textId="7A1048A7" w:rsidR="00EB2A27" w:rsidRDefault="00BE5C76" w:rsidP="00E027DA">
      <w:pPr>
        <w:jc w:val="both"/>
        <w:rPr>
          <w:rFonts w:cstheme="minorHAnsi"/>
          <w:sz w:val="24"/>
          <w:szCs w:val="24"/>
        </w:rPr>
      </w:pPr>
      <w:r>
        <w:rPr>
          <w:sz w:val="24"/>
        </w:rPr>
        <w:t>Člankom 74. Zakona 11/2022 od 28. lipnja o općim telekomunikacijama, kojim je članak 109. Europskog zakonika elektroničkih komunikacija prenesen u španjolsko pravo, uređeni su komunikacija prema hitnim službama i broj 112 za hitne slučajeve.</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Navedenim člankom 74. Zakona o općim telekomunikacijama već su uređeni elementi koji čine komunikacijsku uslugu 112 na način da je utvrđeno da će usluga poziva u slučaju opasnosti biti besplatna za korisnike, bez obzira na to koje tijelo javne uprave pruža uslugu i te neovisno o tome koja se vrsta terminala upotrebljava. Nadalje, njime je predviđeno da pristup hitnim službama za krajnje korisnike s invaliditetom mora jednak onome koji imaju ostali krajnji korisnici.</w:t>
      </w:r>
    </w:p>
    <w:p w14:paraId="14F9C1E6" w14:textId="0F8F305A" w:rsidR="00E027DA" w:rsidRPr="00665FA8" w:rsidRDefault="00E027DA" w:rsidP="00E027DA">
      <w:pPr>
        <w:jc w:val="both"/>
        <w:rPr>
          <w:rFonts w:cstheme="minorHAnsi"/>
          <w:sz w:val="24"/>
          <w:szCs w:val="24"/>
        </w:rPr>
      </w:pPr>
      <w:r>
        <w:rPr>
          <w:sz w:val="24"/>
        </w:rPr>
        <w:lastRenderedPageBreak/>
        <w:t>Istim člankom 74. operatorima je nametnuta obveza usmjeravanja poziva na telefonski broj 112 prema hitnim službama bez prava na novčanu naknadu te je određeno da se kriteriji za točnost i pouzdanost informacija o lokaciji pozivatelja hitnim službama utvrđuju kraljevskom uredbom.</w:t>
      </w:r>
    </w:p>
    <w:p w14:paraId="59640755" w14:textId="2A3944F4" w:rsidR="00E027DA" w:rsidRPr="00665FA8" w:rsidRDefault="00E027DA" w:rsidP="00E027DA">
      <w:pPr>
        <w:jc w:val="both"/>
        <w:rPr>
          <w:rFonts w:cstheme="minorHAnsi"/>
          <w:sz w:val="24"/>
          <w:szCs w:val="24"/>
        </w:rPr>
      </w:pPr>
      <w:r>
        <w:rPr>
          <w:sz w:val="24"/>
        </w:rPr>
        <w:t>Konačno, tijela nadležna za pružanje usluga 112 osigurat će da građani raspolažu odgovarajućim informacijama o postojanju i uporabi tog broja, posebno putem inicijativa koje su posebno usmjerene na osobe koje putuju u druge države članice Europske unije.</w:t>
      </w:r>
    </w:p>
    <w:p w14:paraId="544B0562" w14:textId="198314CE" w:rsidR="00F67865" w:rsidRPr="00665FA8" w:rsidRDefault="00F67865" w:rsidP="00E027DA">
      <w:pPr>
        <w:jc w:val="both"/>
        <w:rPr>
          <w:rFonts w:cstheme="minorHAnsi"/>
          <w:sz w:val="24"/>
          <w:szCs w:val="24"/>
        </w:rPr>
      </w:pPr>
      <w:r>
        <w:rPr>
          <w:sz w:val="24"/>
        </w:rPr>
        <w:t>Španjolsko iskustvo u području komunikacije prema hitnim službama putem broja 112 mjerilo je za druge zemlje, a ujedno predstavlja uspješno iskustvo suradnje između tijela javne uprave, s obzirom na to da se ne smije zaboraviti da je upravljanje centrima za primanje poziva prema hitnim službama, koji su središnji element sustava, od samog početka u nadležnosti autonomnih zajednica.</w:t>
      </w:r>
    </w:p>
    <w:p w14:paraId="244FC978" w14:textId="62557327" w:rsidR="00E027DA" w:rsidRPr="00665FA8" w:rsidRDefault="00F67865" w:rsidP="00E027DA">
      <w:pPr>
        <w:jc w:val="both"/>
        <w:rPr>
          <w:rFonts w:cstheme="minorHAnsi"/>
          <w:sz w:val="24"/>
          <w:szCs w:val="24"/>
        </w:rPr>
      </w:pPr>
      <w:r>
        <w:rPr>
          <w:sz w:val="24"/>
        </w:rPr>
        <w:t>Međutim, potrebno je nastaviti ostvarivati napredak kako bi se usluga komunikacije prema hitnim službama putem broja 112, osobito uzimajući u obzir nove okolnosti koje proizlaze iz pandemije bolesti COVID-19, razvila u još osjetljiviju uslugu za građane, koristeći se svim raspoloživim tehnološkim i materijalnim sredstvima za suočavanje sa svim izvanrednim situacijama u kojima su ugroženi životi ljudi.</w:t>
      </w:r>
    </w:p>
    <w:p w14:paraId="69159036" w14:textId="4E717157" w:rsidR="00E027DA" w:rsidRPr="00665FA8" w:rsidRDefault="00E027DA" w:rsidP="00E027DA">
      <w:pPr>
        <w:jc w:val="both"/>
        <w:rPr>
          <w:rFonts w:cstheme="minorHAnsi"/>
          <w:sz w:val="24"/>
          <w:szCs w:val="24"/>
        </w:rPr>
      </w:pPr>
      <w:r>
        <w:rPr>
          <w:sz w:val="24"/>
        </w:rPr>
        <w:t>Ukratko, ovom Kraljevskom uredbom uvode se promjene kojima se želi postići tekst koji je dosljedan i sustavan s odredbama iz članka 74. Zakona o općim telekomunikacijama te koji uključuje najnovija tehnološka dostignuća u tom području.</w:t>
      </w:r>
    </w:p>
    <w:p w14:paraId="6D7877BF" w14:textId="219F1065" w:rsidR="00E027DA" w:rsidRPr="00665FA8" w:rsidRDefault="00E027DA" w:rsidP="00E027DA">
      <w:pPr>
        <w:jc w:val="both"/>
        <w:rPr>
          <w:rFonts w:cstheme="minorHAnsi"/>
          <w:sz w:val="24"/>
          <w:szCs w:val="24"/>
        </w:rPr>
      </w:pPr>
      <w:r>
        <w:rPr>
          <w:sz w:val="24"/>
        </w:rPr>
        <w:t xml:space="preserve">U tom je pogledu jedan od glavnih ciljeva ove regulatorne odredbe poboljšanje informacija o lokaciji pozivatelja uključivanjem metode naprednog lociranja pozivatelja u hitnom slučaju (engl. </w:t>
      </w:r>
      <w:r>
        <w:rPr>
          <w:i/>
          <w:iCs/>
          <w:sz w:val="24"/>
        </w:rPr>
        <w:t>Advanced Mobile Location</w:t>
      </w:r>
      <w:r>
        <w:rPr>
          <w:sz w:val="24"/>
        </w:rPr>
        <w:t xml:space="preserve"> (AML)), tj. pružanje hitnim službama točnijih informacija o lokaciji pozivatelja na temelju mobilnog terminala pozivatelja.</w:t>
      </w:r>
    </w:p>
    <w:p w14:paraId="52A5EC1A" w14:textId="374D857F" w:rsidR="00E027DA" w:rsidRPr="00665FA8" w:rsidRDefault="00E027DA" w:rsidP="00E027DA">
      <w:pPr>
        <w:jc w:val="both"/>
        <w:rPr>
          <w:rFonts w:cstheme="minorHAnsi"/>
          <w:sz w:val="24"/>
          <w:szCs w:val="24"/>
        </w:rPr>
      </w:pPr>
      <w:r>
        <w:rPr>
          <w:sz w:val="24"/>
        </w:rPr>
        <w:t xml:space="preserve">Nadalje, u skladu s odredbama članka 74. Zakona o općim telekomunikacijama, ovom se Kraljevskom uredbom osobama s invaliditetom omogućuje jednak pristup broju 112, čime se osigurava jednak pristup čak i kada putuju iz druge države članice. Njome se također promiče pristup hitnim službama iz elektroničkih komunikacijskih mreža koje nisu dostupne javnosti te se naglašava potreba za time da krajnji korisnici dobiju </w:t>
      </w:r>
      <w:r>
        <w:rPr>
          <w:sz w:val="24"/>
        </w:rPr>
        <w:lastRenderedPageBreak/>
        <w:t>odgovarajuće informacije o postojanju i uporabi jedinstvenog europskog broja za hitne službe 112, kao i o njegovim značajkama pristupačnosti.</w:t>
      </w:r>
    </w:p>
    <w:p w14:paraId="6656B6AD" w14:textId="130A94B2" w:rsidR="00E027DA" w:rsidRPr="00665FA8" w:rsidRDefault="00E027DA" w:rsidP="00E027DA">
      <w:pPr>
        <w:jc w:val="both"/>
        <w:rPr>
          <w:rFonts w:cstheme="minorHAnsi"/>
          <w:sz w:val="24"/>
          <w:szCs w:val="24"/>
        </w:rPr>
      </w:pPr>
      <w:r>
        <w:rPr>
          <w:sz w:val="24"/>
        </w:rPr>
        <w:t>Konačno, Kraljevska uredba bavi se pitanjem odgovarajuće uporabe osobnih podataka i jamstva njihove zaštite prilikom pružanja usluga u slučajevima opasnosti putem komunikacija prema hitnim službama, osobito u pogledu informacija o lokaciji s mobilnih uređaja, jer to podrazumijeva pristup vrlo preciznim podacima o lokaciji i upravljanje tim podacima, što je utoliko važnije zbog sve veće i raširenije upotrebe osobnih podataka.</w:t>
      </w:r>
    </w:p>
    <w:p w14:paraId="67A2E597" w14:textId="38BB6A68" w:rsidR="00E027DA" w:rsidRPr="00665FA8" w:rsidRDefault="0089567D" w:rsidP="00E027DA">
      <w:pPr>
        <w:jc w:val="both"/>
        <w:rPr>
          <w:rFonts w:cstheme="minorHAnsi"/>
          <w:sz w:val="24"/>
          <w:szCs w:val="24"/>
        </w:rPr>
      </w:pPr>
      <w:r>
        <w:rPr>
          <w:sz w:val="24"/>
        </w:rPr>
        <w:t>Ukratko, ova Kraljevska uredba mora doprinijeti pružanju komunikacije u slučajevima opasnosti skladu s mogućnostima koje nudi tehnološki razvoj 21. stoljeća, s krajnjim ciljem pružanja vrhunskih hitnih usluga putem jedinstvenog europskog broja 112.</w:t>
      </w:r>
    </w:p>
    <w:p w14:paraId="3CCC4768" w14:textId="52FBBBF6" w:rsidR="00E027DA" w:rsidRDefault="00E027DA" w:rsidP="00E027DA">
      <w:pPr>
        <w:jc w:val="both"/>
        <w:rPr>
          <w:rFonts w:cstheme="minorHAnsi"/>
          <w:sz w:val="24"/>
          <w:szCs w:val="24"/>
        </w:rPr>
      </w:pPr>
      <w:r>
        <w:rPr>
          <w:sz w:val="24"/>
        </w:rPr>
        <w:t>U pogledu sadržaja i obrade, Kraljevska uredba u skladu je s načelima dobre regulacije iz članka 129. Zakona 39/2015 od 1. listopada o zajedničkom upravnom postupku tijela javne uprave.</w:t>
      </w:r>
    </w:p>
    <w:p w14:paraId="38F1EBD0" w14:textId="77777777" w:rsidR="00A81C7E" w:rsidRDefault="00AE2097" w:rsidP="00AE2097">
      <w:pPr>
        <w:jc w:val="both"/>
        <w:rPr>
          <w:rFonts w:cstheme="minorHAnsi"/>
          <w:sz w:val="24"/>
          <w:szCs w:val="24"/>
        </w:rPr>
      </w:pPr>
      <w:r>
        <w:rPr>
          <w:sz w:val="24"/>
        </w:rPr>
        <w:t>Tijekom izrade Kraljevske uredbe saslušani su zahvaćeni građani i sektori te je od Nacionalnog povjerenstva za tržišta i tržišno natjecanje zatraženo izvješće.</w:t>
      </w:r>
    </w:p>
    <w:p w14:paraId="6AAD9DAC" w14:textId="1864001D" w:rsidR="00AE2097" w:rsidRPr="00AE2097" w:rsidRDefault="00A06BFE" w:rsidP="00AE2097">
      <w:pPr>
        <w:jc w:val="both"/>
        <w:rPr>
          <w:rFonts w:cstheme="minorHAnsi"/>
          <w:sz w:val="24"/>
          <w:szCs w:val="24"/>
        </w:rPr>
      </w:pPr>
      <w:r>
        <w:rPr>
          <w:sz w:val="24"/>
        </w:rPr>
        <w:t>Na ovu Kraljevsku uredbu primjenjuje se postupak predviđen Direktivom (EU) 2015/1535 Europskog parlamenta i Vijeća od 9. rujna 2015. o utvrđivanju postupka pružanja informacija u području tehničkih propisa i pravila o uslugama informacijskog društva, kao i odredbe Kraljevske uredbe 1337/1999 od 31. srpnja o uređenju pružanja informacija u području tehničkih propisa i normi te pravila o uslugama informacijskog društva.</w:t>
      </w:r>
    </w:p>
    <w:p w14:paraId="4A987318" w14:textId="3A667D94" w:rsidR="00AE2097" w:rsidRPr="00AE2097" w:rsidRDefault="00AE2097" w:rsidP="00AE2097">
      <w:pPr>
        <w:jc w:val="both"/>
        <w:rPr>
          <w:rFonts w:cstheme="minorHAnsi"/>
          <w:sz w:val="24"/>
          <w:szCs w:val="24"/>
        </w:rPr>
      </w:pPr>
      <w:r>
        <w:rPr>
          <w:sz w:val="24"/>
        </w:rPr>
        <w:t>Ova se Kraljevska uredba donosi u skladu s odredbama članka 149. stavka 1. točaka 21. i 29. španjolskog Ustava, kojim se državi dodjeljuje nadležnost u pitanjima telekomunikacija i javne sigurnosti.</w:t>
      </w:r>
    </w:p>
    <w:p w14:paraId="6E6140D4" w14:textId="2A68573A" w:rsidR="00F70228" w:rsidRPr="00665FA8" w:rsidRDefault="00E027DA" w:rsidP="00E027DA">
      <w:pPr>
        <w:jc w:val="both"/>
        <w:rPr>
          <w:rFonts w:cstheme="minorHAnsi"/>
          <w:sz w:val="24"/>
          <w:szCs w:val="24"/>
        </w:rPr>
      </w:pPr>
      <w:r>
        <w:rPr>
          <w:sz w:val="24"/>
        </w:rPr>
        <w:t>Na temelju navedenoga, na prijedlog ministra gospodarstva i digitalne transformacije i ministra unutarnjih poslova, u dogovoru s Državnom vijećem te nakon razmatranja Vijeća ministara na sastanku održanom _________,</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UTVRĐUJE SE SLJEDEĆE:</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POGLAVLJE I.</w:t>
      </w:r>
    </w:p>
    <w:p w14:paraId="7DC17760" w14:textId="5D7F2D91" w:rsidR="00B655FC" w:rsidRPr="00665FA8" w:rsidRDefault="00B655FC" w:rsidP="00654EA5">
      <w:pPr>
        <w:jc w:val="center"/>
        <w:rPr>
          <w:rFonts w:cstheme="minorHAnsi"/>
          <w:b/>
          <w:bCs/>
          <w:sz w:val="24"/>
          <w:szCs w:val="24"/>
        </w:rPr>
      </w:pPr>
      <w:r>
        <w:rPr>
          <w:b/>
          <w:sz w:val="24"/>
        </w:rPr>
        <w:t>Opće odredbe</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Članak 1. Cilj i svrha.</w:t>
      </w:r>
    </w:p>
    <w:p w14:paraId="5F4E033B" w14:textId="4F355184" w:rsidR="002C4646" w:rsidRPr="00665FA8" w:rsidRDefault="002C4646" w:rsidP="00216CBB">
      <w:pPr>
        <w:jc w:val="both"/>
        <w:rPr>
          <w:rFonts w:cstheme="minorHAnsi"/>
          <w:bCs/>
          <w:sz w:val="24"/>
          <w:szCs w:val="24"/>
        </w:rPr>
      </w:pPr>
      <w:r>
        <w:rPr>
          <w:sz w:val="24"/>
        </w:rPr>
        <w:t>1.Svrha je ove Kraljevske uredbe, koja se temelji na članku 74. Zakona 11/2022 od 28. lipnja o općim telekomunikacijama, regulirati komunikaciju prema hitnim službama za pristup hitnim službama pomoću jedinstvenog europskog broja 112.</w:t>
      </w:r>
    </w:p>
    <w:p w14:paraId="1EAEDCF1" w14:textId="5B493586" w:rsidR="00F41153" w:rsidRPr="00665FA8" w:rsidRDefault="002C4646" w:rsidP="002C4646">
      <w:pPr>
        <w:jc w:val="both"/>
        <w:rPr>
          <w:rFonts w:cstheme="minorHAnsi"/>
          <w:bCs/>
          <w:sz w:val="24"/>
          <w:szCs w:val="24"/>
        </w:rPr>
      </w:pPr>
      <w:r>
        <w:rPr>
          <w:sz w:val="24"/>
        </w:rPr>
        <w:t>2. Ciljevi su ove Uredbe sljedeći:</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osigurati održavanje najviših standarda pristupa, integriteta i kontinuiteta usluge komunikacije prema hitnim službama;</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osigurati da mreže, instalacije i uređaji zahvaćeni ovom normom mogu uspješno prenositi komunikaciju prema hitnim službama službi za odgovor na hitne situacije 112;</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pružiti najtočnije informacije o lokaciji dostupne za komunikaciju prema hitnim službama službi za odgovor na hitne situacije 112;</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krajnjim korisnicima s invaliditetom osigurati pristup službi za odgovor na hitne situacije 112 na jednakoj osnovi kao i ostalim krajnjim korisnicima</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Članak 2. Područje primjene.</w:t>
      </w:r>
    </w:p>
    <w:p w14:paraId="371C94A6" w14:textId="79CE1E15" w:rsidR="004D313F" w:rsidRDefault="00DD0A72" w:rsidP="00DD0A72">
      <w:pPr>
        <w:jc w:val="both"/>
        <w:rPr>
          <w:rFonts w:cstheme="minorHAnsi"/>
          <w:bCs/>
          <w:sz w:val="24"/>
          <w:szCs w:val="24"/>
        </w:rPr>
      </w:pPr>
      <w:r>
        <w:rPr>
          <w:sz w:val="24"/>
        </w:rPr>
        <w:t>1. Ova Kraljevska uredba primjenjuje se na operatore koji pružaju javno dostupne interpersonalne komunikacijske usluge utemeljene na brojevima ako je takvim uslugama krajnjim korisnicima omogućeno upućivanje poziva korištenjem javnih resursa u smislu numeriranja dodijeljenih u okviru nacionalnih ili međunarodnih planova numeriranja.</w:t>
      </w:r>
    </w:p>
    <w:p w14:paraId="38952C23" w14:textId="186C6211" w:rsidR="00D83C45" w:rsidRPr="00665FA8" w:rsidRDefault="004B14A3" w:rsidP="00DD0A72">
      <w:pPr>
        <w:jc w:val="both"/>
        <w:rPr>
          <w:rFonts w:cstheme="minorHAnsi"/>
          <w:bCs/>
          <w:sz w:val="24"/>
          <w:szCs w:val="24"/>
        </w:rPr>
      </w:pPr>
      <w:r>
        <w:rPr>
          <w:sz w:val="24"/>
        </w:rPr>
        <w:t>2. Ova se Kraljevska uredba također primjenjuje na subjekte odgovorne za elektroničke komunikacijske mreže koje nisu dostupne javnosti, ali kojima su omogućeni pozivi prema javnim mrežama, osobito ako ne pružaju alternativni i jednostavan pristup hitnoj službi.</w:t>
      </w:r>
    </w:p>
    <w:p w14:paraId="75994B45" w14:textId="7364F965" w:rsidR="00111AF9" w:rsidRPr="00665FA8" w:rsidRDefault="004B14A3" w:rsidP="00DD0A72">
      <w:pPr>
        <w:jc w:val="both"/>
        <w:rPr>
          <w:rFonts w:cstheme="minorHAnsi"/>
          <w:bCs/>
          <w:sz w:val="24"/>
          <w:szCs w:val="24"/>
        </w:rPr>
      </w:pPr>
      <w:r>
        <w:rPr>
          <w:sz w:val="24"/>
        </w:rPr>
        <w:lastRenderedPageBreak/>
        <w:t>3. Ova se Kraljevska uredba primjenjuje na usluge glasovne komunikacije, uključujući sredstva komunikacije posebno namijenjena krajnjim korisnicima s invaliditetom koji upotrebljavaju usluge pretvaranja teksta u govor ili cjelovite konverzacijske usluge u tekstualnom načinu rada.</w:t>
      </w:r>
    </w:p>
    <w:p w14:paraId="6AC0226C" w14:textId="5E3F13E6" w:rsidR="00B3150A" w:rsidRPr="00665FA8" w:rsidRDefault="00111AF9" w:rsidP="00491EF9">
      <w:pPr>
        <w:jc w:val="both"/>
        <w:rPr>
          <w:rFonts w:cstheme="minorHAnsi"/>
          <w:bCs/>
          <w:sz w:val="24"/>
          <w:szCs w:val="24"/>
        </w:rPr>
      </w:pPr>
      <w:r>
        <w:rPr>
          <w:sz w:val="24"/>
        </w:rPr>
        <w:t>Nadalje, komunikacija prema hitnim službama može se pokrenuti pozivom u nuždi iz vozila koje upotrebljava sustav e-poziv (eCall), pod uvjetima utvrđenima u Uredbi (EU) 2015/758 Europskog parlamenta i Vijeća od 29. travnja 2015. o zahtjevima za homologaciju za uvođenje sustava eCall ugrađenog u vozilo koji se temelji na službi 112 te o izmjeni Direktive 2007/46/EZ.</w:t>
      </w:r>
    </w:p>
    <w:p w14:paraId="1363A3BC" w14:textId="3000956A" w:rsidR="004D313F" w:rsidRPr="00665FA8" w:rsidRDefault="00C23106" w:rsidP="00416655">
      <w:pPr>
        <w:jc w:val="both"/>
        <w:rPr>
          <w:rFonts w:cstheme="minorHAnsi"/>
          <w:bCs/>
          <w:sz w:val="24"/>
          <w:szCs w:val="24"/>
        </w:rPr>
      </w:pPr>
      <w:bookmarkStart w:id="0" w:name="_Hlk105786198"/>
      <w:r>
        <w:rPr>
          <w:sz w:val="24"/>
        </w:rPr>
        <w:t>4. Odgovornost je proizvođača operativnih sustava za prijenosne mobilne uređaje s funkcijama računala u smislu obrade podataka i kapaciteta pohrane da osiguraju da takvi operativni sustavi mogu pružiti naprednog lociranja pozivatelja u hitnom slučaju (AML) sa samog uređaja, kako je uređeno ovom Kraljevskom uredbom, kada se aktivira komunikacija u nuždi.</w:t>
      </w:r>
    </w:p>
    <w:bookmarkEnd w:id="0"/>
    <w:p w14:paraId="708D0CCE" w14:textId="11912B3C" w:rsidR="004D313F" w:rsidRPr="00665FA8" w:rsidRDefault="00F74F1A" w:rsidP="00F63CA4">
      <w:pPr>
        <w:jc w:val="both"/>
        <w:rPr>
          <w:rFonts w:cstheme="minorHAnsi"/>
          <w:b/>
          <w:bCs/>
          <w:sz w:val="24"/>
          <w:szCs w:val="24"/>
        </w:rPr>
      </w:pPr>
      <w:r>
        <w:rPr>
          <w:b/>
          <w:sz w:val="24"/>
        </w:rPr>
        <w:t>Članak 3. Definicije.</w:t>
      </w:r>
    </w:p>
    <w:p w14:paraId="464E637B" w14:textId="402D4F49" w:rsidR="00FB2916" w:rsidRPr="00665FA8" w:rsidRDefault="00FB2916" w:rsidP="00F63CA4">
      <w:pPr>
        <w:jc w:val="both"/>
        <w:rPr>
          <w:rFonts w:cstheme="minorHAnsi"/>
          <w:bCs/>
          <w:sz w:val="24"/>
          <w:szCs w:val="24"/>
        </w:rPr>
      </w:pPr>
      <w:r>
        <w:rPr>
          <w:sz w:val="24"/>
        </w:rPr>
        <w:t>Za potrebe ove Kraljevske uredbe, osim definicija koje su već sadržane u Zakonu 11/2022 od 28. lipnja o općim telekomunikacijama, uključene su definicije navedene u nastavku:</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 xml:space="preserve">centri za primanje hitnih poziva – </w:t>
      </w:r>
      <w:r>
        <w:rPr>
          <w:sz w:val="24"/>
        </w:rPr>
        <w:t>fizička lokacija na kojoj se prvotno primaju, obrađuju i ocjenjuju komunikacije prema hitnim službama upućene na jedinstveni europski broj za hitne slučajeve 112 ili druge nacionalne brojeve za hitne slučajeve;</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 xml:space="preserve">eCall </w:t>
      </w:r>
      <w:r>
        <w:rPr>
          <w:sz w:val="24"/>
        </w:rPr>
        <w:t>– definicija iz članka 3. stavka 2. Uredbe (EU) 2015/758 Europskog parlamenta i Vijeća od 29. travnja 2015. o zahtjevima za homologaciju za uvođenje sustava eCall ugrađenog u vozilo koji se temelji na službi 112 te o izmjeni Direktive 2007/46/EZ;</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napredno lociranje pozivatelja u hitnom slučaju: sustav koji aktivira usluge lociranja s mobilnog uređaja i šalje lokaciju hitnim službama 112, kako je definiran normom ETSI-TS-103-625 Europskog instituta za telekomunikacijske norme (ETSI) ili jednakovrijedan sustav;</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t>služba za odgovor na hitne pozive upućene na broj 112</w:t>
      </w:r>
      <w:r>
        <w:rPr>
          <w:sz w:val="24"/>
        </w:rPr>
        <w:t xml:space="preserve"> – služba kojom se pruža brza i neposredna pomoć u situacijama u kojima osobito postoji izravan rizik za život ili tjelesni integritet osobe, za javno zdravlje i sigurnost ili za zdravlje i sigurnost pojedinaca ili za javnu ili privatnu imovinu ili okoliš i kojoj se pristupa komunikacijom prema hitnim službama putem jedinstvenog europskog broja za hitne slučajeve 112;</w:t>
      </w:r>
    </w:p>
    <w:p w14:paraId="548A412B" w14:textId="67427EC0" w:rsidR="00516456" w:rsidRDefault="00516456" w:rsidP="00B25460">
      <w:pPr>
        <w:pStyle w:val="ListParagraph"/>
        <w:numPr>
          <w:ilvl w:val="0"/>
          <w:numId w:val="19"/>
        </w:numPr>
        <w:jc w:val="both"/>
        <w:rPr>
          <w:rFonts w:cstheme="minorHAnsi"/>
          <w:bCs/>
          <w:iCs/>
          <w:sz w:val="24"/>
          <w:szCs w:val="24"/>
        </w:rPr>
      </w:pPr>
      <w:r>
        <w:rPr>
          <w:i/>
          <w:sz w:val="24"/>
        </w:rPr>
        <w:lastRenderedPageBreak/>
        <w:t xml:space="preserve">sustav eCall ugrađen u vozilo koji se temelju na službi 112 </w:t>
      </w:r>
      <w:r>
        <w:rPr>
          <w:sz w:val="24"/>
        </w:rPr>
        <w:t>– definicija iz članka 3. stavka 1. Uredbe (EU) 2015/758 Europskog parlamenta i Vijeća od 29. travnja 2015. o zahtjevima za homologaciju za uvođenje sustava eCall ugrađenog u vozilo koji se temelji na službi 112 te o izmjeni Direktive 2007/46/EZ;</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tekstualna komunikacija u stvarnom vremenu: definicija iz članka 3. stavka 14. Direktive (EU) 2019/882 Europskog parlamenta i Vijeća od 17. travnja 2019. o zahtjevima za pristupačnost proizvoda i usluga.</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POGLAVLJE II.</w:t>
      </w:r>
    </w:p>
    <w:p w14:paraId="3F593816" w14:textId="0D12C1E8" w:rsidR="00B25460" w:rsidRPr="00665FA8" w:rsidRDefault="00B25460" w:rsidP="00654EA5">
      <w:pPr>
        <w:jc w:val="center"/>
        <w:rPr>
          <w:rFonts w:cstheme="minorHAnsi"/>
          <w:b/>
          <w:bCs/>
          <w:sz w:val="24"/>
          <w:szCs w:val="24"/>
        </w:rPr>
      </w:pPr>
      <w:r>
        <w:rPr>
          <w:b/>
          <w:sz w:val="24"/>
        </w:rPr>
        <w:t>Služba za odgovor na hitne pozive upućene putem jedinstvenog europskog broja za hitne slučajeve 112</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Članak 4. Konfiguracija službe za odgovor na hitne pozive upućene na broj 112.</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Krajnji korisnici javno dostupnih interpersonalnih komunikacijskih usluga utemeljenih na brojevima koje im omogućuju upućivanje poziva na određeni broj u nacionalnom ili međunarodnom planu numeriranja moraju imati mogućnost pristupa usluzi poziva prema hitnim službama 112 putem centara za primanje hitnih poziva iz članka 6. koje su na raspolaganje stavili pružatelji usluga ovlašteni za pružanje usluge poziva prema hitnim službama na broj 112.</w:t>
      </w:r>
    </w:p>
    <w:p w14:paraId="6513C95A" w14:textId="55A2A6DD" w:rsidR="00141EE8" w:rsidRDefault="008517E9" w:rsidP="00327211">
      <w:pPr>
        <w:jc w:val="both"/>
        <w:rPr>
          <w:rFonts w:cstheme="minorHAnsi"/>
          <w:bCs/>
          <w:sz w:val="24"/>
          <w:szCs w:val="24"/>
        </w:rPr>
      </w:pPr>
      <w:r>
        <w:rPr>
          <w:sz w:val="24"/>
        </w:rPr>
        <w:t>2. Uslugama za hitne pozive upućene na broj 112 također se može pristupiti putem centara za primanje poziva prema hitnim službama iz prethodnog stavka upotrebom jedinstvenog europskog broja za hitne slučajeve 112 iz javnih govornica, s mobilnih uređaja bez SIM kartice ili bez aktivirane SIM kartice te iz vozila sa sustavom eCall ugrađenim u vozilo koji se temelji na službi 112.</w:t>
      </w:r>
    </w:p>
    <w:p w14:paraId="76343F90" w14:textId="6E1E9AC9" w:rsidR="008517E9" w:rsidRPr="008517E9" w:rsidRDefault="008517E9" w:rsidP="00327211">
      <w:pPr>
        <w:jc w:val="both"/>
        <w:rPr>
          <w:rFonts w:cstheme="minorHAnsi"/>
          <w:sz w:val="24"/>
          <w:szCs w:val="24"/>
        </w:rPr>
      </w:pPr>
      <w:r>
        <w:rPr>
          <w:sz w:val="24"/>
        </w:rPr>
        <w:t>3. Služba za odgovor na hitne pozive upućene na broj 112 bit će kompatibilna s ostalim uslugama kojima se koriste različita tijela javne uprave kako bi odgovorila na hitne situacije građana.</w:t>
      </w:r>
    </w:p>
    <w:p w14:paraId="37FB3717" w14:textId="60DB9473" w:rsidR="00154C68" w:rsidRPr="00665FA8" w:rsidRDefault="00154C68" w:rsidP="00154C68">
      <w:pPr>
        <w:jc w:val="both"/>
        <w:rPr>
          <w:rFonts w:cstheme="minorHAnsi"/>
          <w:b/>
          <w:bCs/>
          <w:sz w:val="24"/>
          <w:szCs w:val="24"/>
        </w:rPr>
      </w:pPr>
      <w:r>
        <w:rPr>
          <w:b/>
          <w:sz w:val="24"/>
        </w:rPr>
        <w:lastRenderedPageBreak/>
        <w:t>Članak 5. Subjekti koji pružaju uslugu odgovora na hitne pozive upućene na broj 112.</w:t>
      </w:r>
    </w:p>
    <w:p w14:paraId="3B7D51D6" w14:textId="62DAE5D4" w:rsidR="00154C68" w:rsidRPr="00665FA8" w:rsidRDefault="00154C68" w:rsidP="00154C68">
      <w:pPr>
        <w:jc w:val="both"/>
        <w:rPr>
          <w:rFonts w:cstheme="minorHAnsi"/>
          <w:bCs/>
          <w:sz w:val="24"/>
          <w:szCs w:val="24"/>
        </w:rPr>
      </w:pPr>
      <w:r>
        <w:rPr>
          <w:sz w:val="24"/>
        </w:rPr>
        <w:t>1. Uslugu za odgovor na hitne pozive upućene na broj 112 pružaju autonomne zajednice i gradovi Ceuta i Melilla, koji su dužni uspostaviti odgovarajuće centre za primanje poziva prema hitnim službama i mreže koje, ako je to potrebno, treba uvesti kako bi se uspostavile druge točke pozornosti za javne službe koje trebaju pružati pomoć.</w:t>
      </w:r>
    </w:p>
    <w:p w14:paraId="51B94879" w14:textId="07C92872" w:rsidR="00154C68" w:rsidRDefault="00154C68" w:rsidP="00154C68">
      <w:pPr>
        <w:jc w:val="both"/>
        <w:rPr>
          <w:rFonts w:cstheme="minorHAnsi"/>
          <w:bCs/>
          <w:sz w:val="24"/>
          <w:szCs w:val="24"/>
        </w:rPr>
      </w:pPr>
      <w:r>
        <w:rPr>
          <w:sz w:val="24"/>
        </w:rPr>
        <w:t>2. Ni pod kojim okolnostima ne smiju postojati teritorijalna preklapanja između područja koja pokrivaju subjekti koji pružaju uslugu odgovora na hitne pozive upućene na broj 112. U tu svrhu autonomne zajednice i gradovi Ceuta i Melilla moraju nadzirati upravljanje navedenom uslugom kako bi se jasno razlikovala različita područja pozornosti.</w:t>
      </w:r>
    </w:p>
    <w:p w14:paraId="02744B8A" w14:textId="300A7C1C" w:rsidR="00E20E4A" w:rsidRDefault="00E20E4A" w:rsidP="00154C68">
      <w:pPr>
        <w:jc w:val="both"/>
        <w:rPr>
          <w:rFonts w:cstheme="minorHAnsi"/>
          <w:bCs/>
          <w:sz w:val="24"/>
          <w:szCs w:val="24"/>
        </w:rPr>
      </w:pPr>
      <w:r>
        <w:rPr>
          <w:sz w:val="24"/>
        </w:rPr>
        <w:t>3. Kako bi se zajamčio odgovarajući odgovor i pozornost na komunikaciju prema hitnim službama koja se javlja te kako bi se osiguralo brzo, uredno i učinkovito djelovanje prethodno navedenih službi, u okviru funkcija i nadležnosti koje odgovaraju svakoj od njih, subjekti koji pružaju uslugu odgovora na hitne pozive upućene na broj 112 donose potrebne mjere u odnosu na hitne službe koje o njima ovise te sklapaju potrebne ugovore o suradnji ili aranžmane kada im takve službe ne pripadaju.</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Članak 6. Centri za primanje hitnih poziva upućenih na broj 112.</w:t>
      </w:r>
    </w:p>
    <w:p w14:paraId="3635A1EC" w14:textId="3763194E" w:rsidR="00154C68" w:rsidRDefault="00154C68" w:rsidP="00154C68">
      <w:pPr>
        <w:jc w:val="both"/>
        <w:rPr>
          <w:rFonts w:cstheme="minorHAnsi"/>
          <w:bCs/>
          <w:sz w:val="24"/>
          <w:szCs w:val="24"/>
        </w:rPr>
      </w:pPr>
      <w:r>
        <w:rPr>
          <w:sz w:val="24"/>
        </w:rPr>
        <w:t>1. Pružanje usluge odgovora na hitne pozive upućene na broj 112 zahtijeva uspostavu centara za primanje hitnih poziva upućenih na broj 112. Ti centri za primanje hitnih poziva upućenih na broj 112, kao i sve ostale točke skrbi kojima javne službe pružaju pomoć, nisu dio pristupa službi za odgovor na hitne pozive putem jedinstvenog europskog broja 112, a njihovi uvjeti rada ovisit će o pružateljima usluga.</w:t>
      </w:r>
    </w:p>
    <w:p w14:paraId="6E7B9775" w14:textId="2A2C20CB" w:rsidR="00DE5401" w:rsidRPr="00DE5401" w:rsidRDefault="00DE5401" w:rsidP="00DE5401">
      <w:pPr>
        <w:jc w:val="both"/>
        <w:rPr>
          <w:rFonts w:cstheme="minorHAnsi"/>
          <w:bCs/>
          <w:sz w:val="24"/>
          <w:szCs w:val="24"/>
        </w:rPr>
      </w:pPr>
      <w:r>
        <w:rPr>
          <w:sz w:val="24"/>
        </w:rPr>
        <w:t>2. Svaki centar za primanje hitnih poziva upućenih na broj 112 pokriva određeno zemljopisno područje koje određuje subjekt koji pruža uslugu odgovora na hitne pozive upućene na broj 112 i o njemu obavješćuje operatore iz članka 2. stavka 1.</w:t>
      </w:r>
    </w:p>
    <w:p w14:paraId="458656E8" w14:textId="6F2F8FDC" w:rsidR="00DE5401" w:rsidRPr="00665FA8" w:rsidRDefault="00830B70" w:rsidP="00DE5401">
      <w:pPr>
        <w:jc w:val="both"/>
        <w:rPr>
          <w:rFonts w:cstheme="minorHAnsi"/>
          <w:bCs/>
          <w:sz w:val="24"/>
          <w:szCs w:val="24"/>
        </w:rPr>
      </w:pPr>
      <w:r>
        <w:rPr>
          <w:sz w:val="24"/>
        </w:rPr>
        <w:t>3. Troškove pristupa javno dostupnim elektroničkim komunikacijskim mrežama centara za primanje hitnih poziva snose subjekti koji pružaju uslugu odgovora na pozive upućene na broj 112.</w:t>
      </w:r>
    </w:p>
    <w:p w14:paraId="1148FB96" w14:textId="6FCE88C5" w:rsidR="00830B70" w:rsidRDefault="00830B70" w:rsidP="00154C68">
      <w:pPr>
        <w:jc w:val="both"/>
        <w:rPr>
          <w:rFonts w:cstheme="minorHAnsi"/>
          <w:bCs/>
          <w:sz w:val="24"/>
          <w:szCs w:val="24"/>
        </w:rPr>
      </w:pPr>
      <w:r>
        <w:rPr>
          <w:sz w:val="24"/>
        </w:rPr>
        <w:lastRenderedPageBreak/>
        <w:t>4. Može se uspostaviti najviše jedna pristupna točka po pokrajini. To se ograničenje ne primjenjuje na otočne autonomne zajednice, s obzirom na njihove posebne značajke, zbog čega se može uspostaviti najviše jedna pristupna točka po otoku.</w:t>
      </w:r>
    </w:p>
    <w:p w14:paraId="52FEE43A" w14:textId="4A0FD498" w:rsidR="00B972C1" w:rsidRPr="00665FA8" w:rsidRDefault="00DE5401" w:rsidP="00154C68">
      <w:pPr>
        <w:jc w:val="both"/>
        <w:rPr>
          <w:rFonts w:cstheme="minorHAnsi"/>
          <w:bCs/>
          <w:sz w:val="24"/>
          <w:szCs w:val="24"/>
        </w:rPr>
      </w:pPr>
      <w:r>
        <w:rPr>
          <w:sz w:val="24"/>
        </w:rPr>
        <w:t>5. U slučaju da komunikacije između centara za primanje hitnih poziva upućenih na broj 112 i drugih točaka javnih službi koje pružaju pomoć zahtijevaju uvođenje elektroničkih komunikacijskih mreža, operatori iz članka 2. stavka 1. nisu odgovorni za ulaganje, rad i održavanje tih mreža, ne dovodeći u pitanje mogućnost da ti operatori sklope ugovore sa subjektima koji pružaju uslugu odgovora na hitne pozive upućene na broj 112 za djelomično ili potpuno pružanje mreže za uslugu koju žele dobiti.</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Članak 7. Pristup podatcima iz imenika.</w:t>
      </w:r>
    </w:p>
    <w:p w14:paraId="64B4BDC3" w14:textId="572FC39F" w:rsidR="00446862" w:rsidRDefault="00446862" w:rsidP="00D15DCA">
      <w:pPr>
        <w:jc w:val="both"/>
        <w:rPr>
          <w:rFonts w:cstheme="minorHAnsi"/>
          <w:sz w:val="24"/>
          <w:szCs w:val="24"/>
        </w:rPr>
      </w:pPr>
      <w:r>
        <w:rPr>
          <w:sz w:val="24"/>
        </w:rPr>
        <w:t xml:space="preserve">1. </w:t>
      </w:r>
      <w:bookmarkStart w:id="1" w:name="_Hlk105582760"/>
      <w:r>
        <w:rPr>
          <w:sz w:val="24"/>
        </w:rPr>
        <w:t>Subjekti koji pružaju uslugu odgovora na hitne pozive upućene na broj 112, kao i centri za primanje hitnih poziva upućenih na broj 112</w:t>
      </w:r>
      <w:bookmarkEnd w:id="1"/>
      <w:r>
        <w:rPr>
          <w:sz w:val="24"/>
        </w:rPr>
        <w:t>, u skladu s odredbama članka 72. stavka 2. točke (c) Općeg zakona o telekomunikacijama imaju pristup podatcima o brojevima pretplatnika, isključivo u svrhu obavljanja svojih funkcija.</w:t>
      </w:r>
    </w:p>
    <w:p w14:paraId="298AC744" w14:textId="11357EB4" w:rsidR="00446862" w:rsidRDefault="00446862" w:rsidP="00D15DCA">
      <w:pPr>
        <w:jc w:val="both"/>
        <w:rPr>
          <w:rFonts w:cstheme="minorHAnsi"/>
          <w:sz w:val="24"/>
          <w:szCs w:val="24"/>
        </w:rPr>
      </w:pPr>
      <w:r>
        <w:rPr>
          <w:sz w:val="24"/>
        </w:rPr>
        <w:t>2. U tu će im svrhu Nacionalno povjerenstvo za tržišta i tržišno natjecanje besplatno pružiti podatke o brojevima pretplatnika, čak i ako su pretplatnici iskoristili svoje pravo na temelju članka 66. stavka 3. točke (c) Zakona 11/2022 od 28. lipnja 2002. o općim telekomunikacijama da njihovi podatci ne budu uvršteni u imenike ili da zatraže izostavljanje nekih od njihovih podataka.</w:t>
      </w:r>
    </w:p>
    <w:p w14:paraId="367E06FD" w14:textId="6F167036" w:rsidR="00794819" w:rsidRDefault="00446862" w:rsidP="00794819">
      <w:pPr>
        <w:jc w:val="both"/>
        <w:rPr>
          <w:rFonts w:cstheme="minorHAnsi"/>
          <w:sz w:val="24"/>
          <w:szCs w:val="24"/>
        </w:rPr>
      </w:pPr>
      <w:r>
        <w:rPr>
          <w:sz w:val="24"/>
        </w:rPr>
        <w:t>3. Nacionalno povjerenstvo za tržišta i tržišno natjecanje pruža podatke na ažurirani način u skladu s uvjetima utvrđenima propisima kojima su uređeni imenici pretplatnika i usluge pružanja informacija o brojevima pretplatnika i u skladu s postupkom za pružanje i primanje informacija koje, ako je to primjereno, može utvrditi Nacionalno povjerenstvo za tržišta i tržišno natjecanje putem okružnice.</w:t>
      </w:r>
    </w:p>
    <w:p w14:paraId="30CD625E" w14:textId="64C12034" w:rsidR="00794819" w:rsidRDefault="00794819" w:rsidP="00794819">
      <w:pPr>
        <w:jc w:val="both"/>
        <w:rPr>
          <w:rFonts w:cstheme="minorHAnsi"/>
          <w:sz w:val="24"/>
          <w:szCs w:val="24"/>
        </w:rPr>
      </w:pPr>
      <w:r>
        <w:rPr>
          <w:sz w:val="24"/>
        </w:rPr>
        <w:t>4. Nacionalno povjerenstvo za tržišta i tržišno natjecanje dostavlja barem sljedeće dostupne podatke o pretplatnicima:</w:t>
      </w:r>
    </w:p>
    <w:p w14:paraId="783A7AF4" w14:textId="3B69A674" w:rsidR="00D22728" w:rsidRDefault="00D22728" w:rsidP="00D22728">
      <w:pPr>
        <w:pStyle w:val="ListParagraph"/>
        <w:numPr>
          <w:ilvl w:val="0"/>
          <w:numId w:val="21"/>
        </w:numPr>
        <w:jc w:val="both"/>
        <w:rPr>
          <w:rFonts w:cstheme="minorHAnsi"/>
          <w:sz w:val="24"/>
          <w:szCs w:val="24"/>
        </w:rPr>
      </w:pPr>
      <w:r>
        <w:rPr>
          <w:sz w:val="24"/>
        </w:rPr>
        <w:t>puno ime i prezime ili naziv tvrtke;</w:t>
      </w:r>
    </w:p>
    <w:p w14:paraId="5F2386C2" w14:textId="65B9478E" w:rsidR="00D22728" w:rsidRDefault="00D22728" w:rsidP="00D22728">
      <w:pPr>
        <w:pStyle w:val="ListParagraph"/>
        <w:numPr>
          <w:ilvl w:val="0"/>
          <w:numId w:val="21"/>
        </w:numPr>
        <w:jc w:val="both"/>
        <w:rPr>
          <w:rFonts w:cstheme="minorHAnsi"/>
          <w:sz w:val="24"/>
          <w:szCs w:val="24"/>
        </w:rPr>
      </w:pPr>
      <w:r>
        <w:rPr>
          <w:sz w:val="24"/>
        </w:rPr>
        <w:t>broj nacionalne osobne iskaznice;</w:t>
      </w:r>
    </w:p>
    <w:p w14:paraId="0FFAEDA1" w14:textId="45ED18CF" w:rsidR="00D22728" w:rsidRDefault="00D22728" w:rsidP="00D22728">
      <w:pPr>
        <w:pStyle w:val="ListParagraph"/>
        <w:numPr>
          <w:ilvl w:val="0"/>
          <w:numId w:val="21"/>
        </w:numPr>
        <w:jc w:val="both"/>
        <w:rPr>
          <w:rFonts w:cstheme="minorHAnsi"/>
          <w:sz w:val="24"/>
          <w:szCs w:val="24"/>
        </w:rPr>
      </w:pPr>
      <w:r>
        <w:rPr>
          <w:sz w:val="24"/>
        </w:rPr>
        <w:t>broj pretplatnika;</w:t>
      </w:r>
    </w:p>
    <w:p w14:paraId="28866C39" w14:textId="39DADDEA" w:rsidR="00D22728" w:rsidRDefault="00D22728" w:rsidP="00D22728">
      <w:pPr>
        <w:pStyle w:val="ListParagraph"/>
        <w:numPr>
          <w:ilvl w:val="0"/>
          <w:numId w:val="21"/>
        </w:numPr>
        <w:jc w:val="both"/>
        <w:rPr>
          <w:rFonts w:cstheme="minorHAnsi"/>
          <w:sz w:val="24"/>
          <w:szCs w:val="24"/>
        </w:rPr>
      </w:pPr>
      <w:r>
        <w:rPr>
          <w:sz w:val="24"/>
        </w:rPr>
        <w:lastRenderedPageBreak/>
        <w:t>poštansku adresu, uključujući kat, broj stana i vrata;</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posebni deklarirani terminal.</w:t>
      </w:r>
    </w:p>
    <w:p w14:paraId="477CDC1F" w14:textId="6B3E44EB" w:rsidR="00D22728" w:rsidRDefault="00B801D5" w:rsidP="00794819">
      <w:pPr>
        <w:jc w:val="both"/>
        <w:rPr>
          <w:rFonts w:cstheme="minorHAnsi"/>
          <w:sz w:val="24"/>
          <w:szCs w:val="24"/>
        </w:rPr>
      </w:pPr>
      <w:r>
        <w:rPr>
          <w:sz w:val="24"/>
        </w:rPr>
        <w:t>5. Dobiveni podatci upotrebljavat će se isključivo kao potpora učinkovitom pružanju poziva usluga odgovora na hitne pozive upućene na broj 112, a pružatelj usluga i centri za primanje poziva bit će odgovorni za odgovarajuću upotrebu podataka.</w:t>
      </w:r>
    </w:p>
    <w:p w14:paraId="02E4E8FD" w14:textId="18B42222" w:rsidR="00446862" w:rsidRPr="00446862" w:rsidRDefault="00B801D5" w:rsidP="00B801D5">
      <w:pPr>
        <w:jc w:val="both"/>
        <w:rPr>
          <w:rFonts w:cstheme="minorHAnsi"/>
          <w:sz w:val="24"/>
          <w:szCs w:val="24"/>
        </w:rPr>
      </w:pPr>
      <w:r>
        <w:rPr>
          <w:sz w:val="24"/>
        </w:rPr>
        <w:t>6. Odredbama ovog članka ne dovodi se u pitanje primjena primjenjivog zakonodavstva o zaštiti osobnih podataka, posebno Uredbe (EU) 2016/679 Europskog parlamenta i Vijeća od 27. travnja 2016. i Organskog zakona 3/2018 od 5. prosinca o zaštiti osobnih podataka i jamstvu digitalnih prava te njezinih provedbenih uredbi.</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Članak 8. – Informacije o postojanju i uporabi jedinstvenog europskog broja za hitne slučajeve 112.</w:t>
      </w:r>
    </w:p>
    <w:p w14:paraId="7D50E4F1" w14:textId="6161D9B0" w:rsidR="00D15DCA" w:rsidRPr="00665FA8" w:rsidRDefault="00D15DCA" w:rsidP="00D15DCA">
      <w:pPr>
        <w:jc w:val="both"/>
        <w:rPr>
          <w:rFonts w:cstheme="minorHAnsi"/>
          <w:bCs/>
          <w:sz w:val="24"/>
          <w:szCs w:val="24"/>
        </w:rPr>
      </w:pPr>
      <w:r>
        <w:rPr>
          <w:sz w:val="24"/>
        </w:rPr>
        <w:t>Tijela nadležna za pružanje usluga odgovora na hitne pozive upućene na broj 112 jamče odgovarajuću informiranost građana o postojanju i uporabi jedinstvenog europskog broja za hitne slučajeve 112 i njegovih značajki pristupačnosti, osobito putem inicijativa koje su usmjerene na osobe koje putuju iz drugih država članica Europske unije i krajnje korisnike s invaliditetom. Takve se informacije pružaju u pristupačnim formatima u skladu s različitim vrstama invaliditeta.</w:t>
      </w:r>
    </w:p>
    <w:p w14:paraId="59331BC7" w14:textId="5D291A5A" w:rsidR="0006458E" w:rsidRDefault="0006458E" w:rsidP="00327211">
      <w:pPr>
        <w:jc w:val="both"/>
        <w:rPr>
          <w:rFonts w:cstheme="minorHAnsi"/>
          <w:b/>
          <w:bCs/>
          <w:sz w:val="24"/>
          <w:szCs w:val="24"/>
        </w:rPr>
      </w:pPr>
    </w:p>
    <w:p w14:paraId="0CE4E396" w14:textId="73A9388B" w:rsidR="00665FA8" w:rsidRDefault="00665FA8" w:rsidP="00327211">
      <w:pPr>
        <w:jc w:val="both"/>
        <w:rPr>
          <w:rFonts w:cstheme="minorHAnsi"/>
          <w:b/>
          <w:bCs/>
          <w:sz w:val="24"/>
          <w:szCs w:val="24"/>
        </w:rPr>
      </w:pP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POGLAVLJE III.</w:t>
      </w:r>
    </w:p>
    <w:p w14:paraId="7100A396" w14:textId="1F55FCE0" w:rsidR="00FC0FB2" w:rsidRPr="00665FA8" w:rsidRDefault="00FC0FB2" w:rsidP="00F2452F">
      <w:pPr>
        <w:jc w:val="center"/>
        <w:rPr>
          <w:rFonts w:cstheme="minorHAnsi"/>
          <w:b/>
          <w:bCs/>
          <w:sz w:val="24"/>
          <w:szCs w:val="24"/>
        </w:rPr>
      </w:pPr>
      <w:r>
        <w:rPr>
          <w:b/>
          <w:sz w:val="24"/>
        </w:rPr>
        <w:t>Pristup službi za odgovor na hitne pozive putem jedinstvenog europskog broja 112.</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Članak 9. Pristup službi za odgovor na hitne pozive upućene na broj 112 putem jedinstvenog europskog broja 112 iz javno dostupnih elektroničkih komunikacijskih mreža.</w:t>
      </w:r>
    </w:p>
    <w:p w14:paraId="2BA03DF5" w14:textId="658D4D37" w:rsidR="00D15643" w:rsidRPr="00665FA8" w:rsidRDefault="00327211" w:rsidP="004A67D9">
      <w:pPr>
        <w:jc w:val="both"/>
        <w:rPr>
          <w:rFonts w:cstheme="minorHAnsi"/>
          <w:bCs/>
          <w:sz w:val="24"/>
          <w:szCs w:val="24"/>
        </w:rPr>
      </w:pPr>
      <w:r>
        <w:rPr>
          <w:sz w:val="24"/>
        </w:rPr>
        <w:lastRenderedPageBreak/>
        <w:t>1. Krajnji korisnici interpersonalnih komunikacijskih usluga utemeljenih na brojevima, ako je takvim uslugama omogućeno upućivanje poziva na broj u nacionalnom ili međunarodnom planu numeriranja, pozivom na jedinstveni europski broj za hitne pozive 112 imaju besplatan pristup centrima za primanje hitnih poziva koje pružaju subjekti koji pružaju uslugu odgovora na hitne pozive upućene na broj 112, bez plaćanja naknade i bez potrebe za uporabom bilo kojeg sredstva plaćanja s bilo kojeg uređaja kojim se podržavaju interpersonalne komunikacijske usluge utemeljene na brojevima, uključujući kada krajnji korisnici u drugoj državi članici koriste usluge roaminga u Španjolskoj.</w:t>
      </w:r>
    </w:p>
    <w:p w14:paraId="1FE9F16E" w14:textId="47E2444C" w:rsidR="005E1BBD" w:rsidRPr="00665FA8" w:rsidRDefault="00D15643" w:rsidP="00327211">
      <w:pPr>
        <w:jc w:val="both"/>
        <w:rPr>
          <w:rFonts w:cstheme="minorHAnsi"/>
          <w:bCs/>
          <w:sz w:val="24"/>
          <w:szCs w:val="24"/>
        </w:rPr>
      </w:pPr>
      <w:r>
        <w:rPr>
          <w:sz w:val="24"/>
        </w:rPr>
        <w:t>Za potrebe prethodnog stavka, uređaji koji podržavaju interpersonalne komunikacijske usluge utemeljene na brojevima uključuju fiksne i mobilne uređaje, posebno mobilne uređaje bez SIM kartice ili bez aktivirane SIM, javne govornice i vozila sa sustavom eCall ugrađenim u vozilo koji se temelji na službi 112.</w:t>
      </w:r>
    </w:p>
    <w:p w14:paraId="2D8DAE3C" w14:textId="01E912FA" w:rsidR="00327211" w:rsidRPr="00665FA8" w:rsidRDefault="005578F4" w:rsidP="00327211">
      <w:pPr>
        <w:jc w:val="both"/>
        <w:rPr>
          <w:rFonts w:cstheme="minorHAnsi"/>
          <w:bCs/>
          <w:sz w:val="24"/>
          <w:szCs w:val="24"/>
        </w:rPr>
      </w:pPr>
      <w:r>
        <w:rPr>
          <w:sz w:val="24"/>
        </w:rPr>
        <w:t>2. U tu svrhu operatori iz članka 2. stavka 1. ove Kraljevske uredbe usmjeravaju komunikaciju prema hitnim službama na jedinstveni europski broj za hitne slučajeve 112 prema centru za primanje hitnih poziva odgovarajućeg subjekta koji pruža uslugu odgovora na hitne pozive upućene na broj 112, ovisno o zemljopisnom području iz kojeg komunikacija potječe. Ta se obveza primjenjuje čak i ako se pristup pruža putem operatora koji su neovisni o mreži interpersonalnih komunikacijskih usluga utemeljenih na brojevima; stoga je takav pristup usporediv s pristupom koji se zahtijeva od pružatelja interpersonalnih komunikacijskih usluga utemeljenih na brojevima koje se pružaju preko veze kojom upravljaju.</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sz w:val="24"/>
        </w:rPr>
        <w:t xml:space="preserve">Članak 10. Pristup </w:t>
      </w:r>
      <w:bookmarkStart w:id="2" w:name="_Hlk105583432"/>
      <w:r>
        <w:rPr>
          <w:b/>
          <w:sz w:val="24"/>
        </w:rPr>
        <w:t xml:space="preserve">službi za odgovor na hitne pozive upućene na broj 112 </w:t>
      </w:r>
      <w:bookmarkEnd w:id="2"/>
      <w:r>
        <w:rPr>
          <w:b/>
          <w:sz w:val="24"/>
        </w:rPr>
        <w:t>putem jedinstvenog europskog broja 112 iz elektroničkih komunikacijskih mreža koje nisu dostupne javnosti, ali iz kojih je moguće uputiti pozive javnim mrežama.</w:t>
      </w:r>
    </w:p>
    <w:p w14:paraId="68250DF3" w14:textId="2D83A3A3" w:rsidR="00AA54EE" w:rsidRPr="00665FA8" w:rsidRDefault="00AA54EE" w:rsidP="00AA54EE">
      <w:pPr>
        <w:jc w:val="both"/>
        <w:rPr>
          <w:rFonts w:cstheme="minorHAnsi"/>
          <w:bCs/>
          <w:sz w:val="24"/>
          <w:szCs w:val="24"/>
        </w:rPr>
      </w:pPr>
      <w:r>
        <w:rPr>
          <w:sz w:val="24"/>
        </w:rPr>
        <w:t>Pristup jedinstvenom europskom broju za hitne slučajeve 112 jamči se iz elektroničkih komunikacijskih mreža koje nisu javno dostupne, ali iz kojih je moguće uputiti pozive javnim mrežama, posebno ako poduzeće odgovorno za takvu mrežu ne pruža alternativni i jednostavan pristup službi za odgovor na hitne pozive.</w:t>
      </w:r>
    </w:p>
    <w:p w14:paraId="589E741A" w14:textId="0D005FEA" w:rsidR="00AA54EE" w:rsidRPr="00665FA8" w:rsidRDefault="00AA54EE" w:rsidP="00AA54EE">
      <w:pPr>
        <w:jc w:val="both"/>
        <w:rPr>
          <w:rFonts w:cstheme="minorHAnsi"/>
          <w:bCs/>
          <w:sz w:val="24"/>
          <w:szCs w:val="24"/>
        </w:rPr>
      </w:pPr>
      <w:r>
        <w:rPr>
          <w:sz w:val="24"/>
        </w:rPr>
        <w:lastRenderedPageBreak/>
        <w:t>Uvjeti za pristup jedinstvenom europskom broju za hitne pozive 112 iz tih mreža utvrđuje se odlukom ministra gospodarstva i digitalne transformacije.</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Članak 11. Obveze operatora u vezi s komunikacijom prema hitnim službama putem jedinstvenog europskog broja za hitne pozive 112.</w:t>
      </w:r>
    </w:p>
    <w:p w14:paraId="4A542C99" w14:textId="091D9043" w:rsidR="00EF3F95" w:rsidRPr="00665FA8" w:rsidRDefault="00BD6AF1" w:rsidP="004A67D9">
      <w:pPr>
        <w:jc w:val="both"/>
        <w:rPr>
          <w:rFonts w:cstheme="minorHAnsi"/>
          <w:bCs/>
          <w:sz w:val="24"/>
          <w:szCs w:val="24"/>
        </w:rPr>
      </w:pPr>
      <w:r>
        <w:rPr>
          <w:sz w:val="24"/>
        </w:rPr>
        <w:t>1.</w:t>
      </w:r>
      <w:bookmarkStart w:id="3" w:name="_Hlk105581911"/>
      <w:r>
        <w:rPr>
          <w:sz w:val="24"/>
        </w:rPr>
        <w:t>Ako je njihovim interpersonalnim komunikacijskim uslugama utemeljenim na brojevima omogućeno upućivanje poziva na broj u nacionalnom ili međunarodnom planu numeriranja, operatori iz članka 2. stavka 1. ove Kraljevske uredbe</w:t>
      </w:r>
      <w:bookmarkEnd w:id="3"/>
      <w:r>
        <w:rPr>
          <w:sz w:val="24"/>
        </w:rPr>
        <w:t xml:space="preserve"> dužni su besplatno usmjeravati pozive na jedinstveni europski broj 112, među ostalim u odnosu na krajnje korisnike mobilnih interpersonalnih komunikacijskih usluga utemeljenih na brojevima iz druge države članice koji koriste usluge roaminga u Španjolskoj, bez obzira na to upravljaju li vezom.</w:t>
      </w:r>
    </w:p>
    <w:p w14:paraId="0C5260A6" w14:textId="4E60E532" w:rsidR="001D3755" w:rsidRPr="00665FA8" w:rsidRDefault="001D3755" w:rsidP="001D3755">
      <w:pPr>
        <w:jc w:val="both"/>
        <w:rPr>
          <w:rFonts w:cstheme="minorHAnsi"/>
          <w:bCs/>
          <w:sz w:val="24"/>
          <w:szCs w:val="24"/>
        </w:rPr>
      </w:pPr>
      <w:r>
        <w:rPr>
          <w:sz w:val="24"/>
        </w:rPr>
        <w:t>2. Operatori iz članka 2. stavka 1. ove Kraljevske uredbe dužni su izvršiti potrebne prilagodbe besplatnog preusmjeravanja poziva iz sustava eCall ugrađenog u vozilo koji se temelji na službi 112 prema centru za primanje hitnih poziva upućenih na broj 112, čime se olakšava razlikovanje između ručno generiranih poziva i automatski generiranih poziva.</w:t>
      </w:r>
    </w:p>
    <w:p w14:paraId="2F621009" w14:textId="632AF1B8" w:rsidR="00327211" w:rsidRDefault="00C23106" w:rsidP="00BD6AF1">
      <w:pPr>
        <w:jc w:val="both"/>
        <w:rPr>
          <w:rFonts w:cstheme="minorHAnsi"/>
          <w:bCs/>
          <w:sz w:val="24"/>
          <w:szCs w:val="24"/>
        </w:rPr>
      </w:pPr>
      <w:r>
        <w:rPr>
          <w:sz w:val="24"/>
        </w:rPr>
        <w:t>3. Operatori iz članka 2. stavka 1. ove Kraljevske uredbe dužni su snositi troškove prometa do centra za primanje hitnih poziva relevantnog pružatelja usluge za odgovor na hitne pozive upućene na broj 112, uključujući komunikaciju prema hitnim službama iz javnih govornica, s mobilnih uređaja bez SIM kartice ili bez aktivirane SIM kartice te iz sustava eCall ugrađenog u vozilo koji se temelji na službi 112.</w:t>
      </w:r>
    </w:p>
    <w:p w14:paraId="17E95762" w14:textId="27C9FCF0" w:rsidR="00D533A9" w:rsidRPr="00665FA8" w:rsidRDefault="00D533A9" w:rsidP="00BD6AF1">
      <w:pPr>
        <w:jc w:val="both"/>
        <w:rPr>
          <w:rFonts w:cstheme="minorHAnsi"/>
          <w:bCs/>
          <w:sz w:val="24"/>
          <w:szCs w:val="24"/>
        </w:rPr>
      </w:pPr>
      <w:r>
        <w:rPr>
          <w:sz w:val="24"/>
        </w:rPr>
        <w:t>4. Operatori iz članka 2. stavka 1. ove Kraljevske uredbe u odnosu na krajnje korisnike mobilnih interpersonalnih komunikacijskih usluga utemeljenih na brojevima iz druge države članice koji koriste usluge roaminga u Španjolskoj ne naplaćuju davatelju usluga roaminga komunikaciju prema hitnim službama putem jedinstvenog europskog broja za hitne pozive 112.</w:t>
      </w:r>
    </w:p>
    <w:p w14:paraId="1DB9FBD5" w14:textId="6589B2B8" w:rsidR="004A0EC8" w:rsidRDefault="00D533A9" w:rsidP="00D82583">
      <w:pPr>
        <w:jc w:val="both"/>
        <w:rPr>
          <w:rFonts w:cstheme="minorHAnsi"/>
          <w:bCs/>
          <w:sz w:val="24"/>
          <w:szCs w:val="24"/>
        </w:rPr>
      </w:pPr>
      <w:r>
        <w:rPr>
          <w:sz w:val="24"/>
        </w:rPr>
        <w:t xml:space="preserve">5. Operatori iz članka 2. stavka 1. ove Kraljevske uredbe olakšavaju identifikaciju linije s koje se pozivi upućuju na jedinstveni europski broj za hitne situacije 112, u skladu s tehničkim mogućnostima mreže i u skladu s propisima o prezentacijskim objektima i </w:t>
      </w:r>
      <w:r>
        <w:rPr>
          <w:sz w:val="24"/>
        </w:rPr>
        <w:lastRenderedPageBreak/>
        <w:t>ograničenju broja pozivatelja utvrđenima nacionalnim i europskim propisima. Operatori moraju pružiti identifikaciju linije s koje je poziv upućen čak i ako je krajnji korisnik, u skladu s člankom 65. stavkom 1. točkom (o) Zakona 11/2022 od 28. lipnja o općim telekomunikacijama iskoristio svoje pravo na sprječavanje prikazivanja njegove identifikacijske linije</w:t>
      </w:r>
      <w:r>
        <w:t>.</w:t>
      </w:r>
    </w:p>
    <w:p w14:paraId="43B12FFB" w14:textId="6E9A3BFF" w:rsidR="00D82583" w:rsidRDefault="00D533A9" w:rsidP="00D82583">
      <w:pPr>
        <w:jc w:val="both"/>
        <w:rPr>
          <w:rFonts w:cstheme="minorHAnsi"/>
          <w:bCs/>
          <w:sz w:val="24"/>
          <w:szCs w:val="24"/>
        </w:rPr>
      </w:pPr>
      <w:r>
        <w:rPr>
          <w:sz w:val="24"/>
        </w:rPr>
        <w:t>6. Operatori iz članka 2. stavka 1. ove Kraljevske uredbe moraju, pod uvjetima utvrđenima u članku 72. Zakona 11/2022 od 28. lipnja o općim telekomunikacijama i njegovim provedbenim propisima, dostaviti informacije o brojevima pretplatnika Nacionalnom povjerenstvu za tržišta i tržišno natjecanje kako bi potonje te podatke moglo besplatno dostaviti subjektima koji pružaju uslugu odgovora na hitne pozive upućene na broj 112 i centrima za primanje hitnih poziva upućenih na broj 112. Nadalje, operatori moraju pružiti podatke o pretplatnicima koji su iskoristili svoje pravo na temelju članka 66. stavka 3. točke (c) prethodno navedenog Zakona 11/2022 od 28. lipnja o općim telekomunikacijama da ne budu uvršteni u imenike ili da zatraže izostavljanje nekih od njihovih podataka.</w:t>
      </w:r>
    </w:p>
    <w:p w14:paraId="5F85024C" w14:textId="068D4C79" w:rsidR="004851CC" w:rsidRDefault="00D533A9" w:rsidP="00D82583">
      <w:pPr>
        <w:jc w:val="both"/>
        <w:rPr>
          <w:rFonts w:cstheme="minorHAnsi"/>
          <w:bCs/>
          <w:sz w:val="24"/>
          <w:szCs w:val="24"/>
        </w:rPr>
      </w:pPr>
      <w:r>
        <w:rPr>
          <w:sz w:val="24"/>
        </w:rPr>
        <w:t>7. Operatori iz članka 2. stavka 1. ove Kraljevske uredbe dužni su pružati informacije o lokaciji korisnika koji upućuju poziv na jedinstveni europski broj za hitne pozive 112 sukladno uvjetima utvrđenima u sljedećem članku.</w:t>
      </w:r>
    </w:p>
    <w:p w14:paraId="74736523" w14:textId="538D1DFC" w:rsidR="004851CC" w:rsidRPr="004851CC" w:rsidRDefault="00D533A9" w:rsidP="004851CC">
      <w:pPr>
        <w:jc w:val="both"/>
        <w:rPr>
          <w:rFonts w:cstheme="minorHAnsi"/>
          <w:bCs/>
          <w:sz w:val="24"/>
          <w:szCs w:val="24"/>
        </w:rPr>
      </w:pPr>
      <w:r>
        <w:rPr>
          <w:sz w:val="24"/>
        </w:rPr>
        <w:t>8. Obrada osobnih podataka iz ovog i sljedećeg članka obuhvaćena je ispunjavanjem pravne obveze jamčenja usluge odgovora na hitne pozive upućene na broj 112 uspostavljene u članku 74. Zakona 11/2022 od 28. lipnja o općim telekomunikacijama, s ciljem zaštite vitalnog interesa pozivatelja, zaštite nacionalne sigurnosti, obrane, javne sigurnosti te sprečavanja, istrage i progona kaznenih djela, sigurnosti života ljudi ili razloga od javnog interesa.</w:t>
      </w:r>
    </w:p>
    <w:p w14:paraId="37010891" w14:textId="1B9F5213" w:rsidR="004851CC" w:rsidRPr="00665FA8" w:rsidRDefault="00D533A9" w:rsidP="004851CC">
      <w:pPr>
        <w:jc w:val="both"/>
        <w:rPr>
          <w:rFonts w:cstheme="minorHAnsi"/>
          <w:bCs/>
          <w:sz w:val="24"/>
          <w:szCs w:val="24"/>
        </w:rPr>
      </w:pPr>
      <w:r>
        <w:rPr>
          <w:sz w:val="24"/>
        </w:rPr>
        <w:t>9. U svakom slučaju, odredbama ovog i sljedećeg članka ne dovode se u pitanje mjere donesene kako bi se zajamčila tajnost komunikacija, u skladu s odredbama članka 18. stavka 3. Ustava i zaštita osobnih podataka, u skladu s odredbama Uredbe (EU) 2016/679 Europskog parlamenta i Vijeća od 27. travnja 2016. o zaštiti pojedinaca u vezi s obradom osobnih podataka i o slobodnom kretanju takvih podataka te o stavljanju izvan snage Direktive 95/46/EZ i Organskog zakona 3/2018 od 5. prosinca o zaštiti osobnih podataka i jamstvu digitalnih prava, kao i njezinim provedbenim propisima.</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Članak 12. Obveza operatera da korisnicima koji upućuju poziv na jedinstveni europski broj za hitne pozive 112 pružaju informacije o lokaciji.</w:t>
      </w:r>
    </w:p>
    <w:p w14:paraId="2C9EFE22" w14:textId="65FA7A20" w:rsidR="00EC41B0" w:rsidRDefault="002C4646" w:rsidP="00F2452F">
      <w:pPr>
        <w:jc w:val="both"/>
        <w:rPr>
          <w:rFonts w:cstheme="minorHAnsi"/>
          <w:bCs/>
          <w:sz w:val="24"/>
          <w:szCs w:val="24"/>
        </w:rPr>
      </w:pPr>
      <w:r>
        <w:rPr>
          <w:sz w:val="24"/>
        </w:rPr>
        <w:t>1. Operatori iz članka 2. stavka 1. ove Kraljevske uredbe bez odlaganja pružaju informacije o lokaciji pozivatelja s mreže i s mobilnog uređaja, među ostalim u vezi s krajnjim korisnicima mobilnih interpersonalnih komunikacijskih usluga utemeljenih na brojevima iz druge države članice koji koriste usluge roaminga u Španjolskoj.</w:t>
      </w:r>
    </w:p>
    <w:p w14:paraId="4365FB14" w14:textId="0220707D" w:rsidR="00470472" w:rsidRDefault="00EC41B0" w:rsidP="00EC41B0">
      <w:pPr>
        <w:jc w:val="both"/>
        <w:rPr>
          <w:rFonts w:cstheme="minorHAnsi"/>
          <w:bCs/>
          <w:sz w:val="24"/>
          <w:szCs w:val="24"/>
        </w:rPr>
      </w:pPr>
      <w:r>
        <w:rPr>
          <w:sz w:val="24"/>
        </w:rPr>
        <w:t>U skladu s člankom 66. stavkom 2. točkom (c) Zakona 11/2022 od 28. lipnja o općim telekomunikacijama, operatori pružaju takve informacije čak i u odnosu na krajnje korisnike koji su ostvarili svoje pravo na temelju navedenog članka i nisu dali privolu za obradu svojih podataka o lokaciji.</w:t>
      </w:r>
    </w:p>
    <w:p w14:paraId="5C2A1455" w14:textId="4989846D" w:rsidR="00F2452F" w:rsidRPr="00665FA8" w:rsidRDefault="00F2452F" w:rsidP="00EC41B0">
      <w:pPr>
        <w:jc w:val="both"/>
        <w:rPr>
          <w:rFonts w:cstheme="minorHAnsi"/>
          <w:bCs/>
          <w:sz w:val="24"/>
          <w:szCs w:val="24"/>
        </w:rPr>
      </w:pPr>
      <w:r>
        <w:rPr>
          <w:sz w:val="24"/>
        </w:rPr>
        <w:t>Takve se informacije besplatno pružaju krajnjem korisniku, centru za primanje poziva komunikacija prema hitnim službama 112, centru za primanje hitnih poziva, centru za primanje i distribuciju podataka o lokaciji na temelju mobilnog uređaja i pružatelju usluga roaminga u odnosu na krajnje korisnike mobilnih interpersonalnih komunikacijskih usluga utemeljenih na brojevima iz druge države članice koji koriste usluge roaminga u Španjolskoj.</w:t>
      </w:r>
    </w:p>
    <w:p w14:paraId="335EFF9D" w14:textId="4470D2DF" w:rsidR="00D26689" w:rsidRPr="00665FA8" w:rsidRDefault="002C4646" w:rsidP="00327211">
      <w:pPr>
        <w:jc w:val="both"/>
        <w:rPr>
          <w:rFonts w:cstheme="minorHAnsi"/>
          <w:bCs/>
          <w:sz w:val="24"/>
          <w:szCs w:val="24"/>
        </w:rPr>
      </w:pPr>
      <w:r>
        <w:rPr>
          <w:sz w:val="24"/>
        </w:rPr>
        <w:t>2. Operatori iz članka 2. stavka 1. ove Kraljevske uredbe, uključujući u odnosu na krajnje korisnike mobilnih interpersonalnih komunikacijskih usluga utemeljenih na brojevima iz druge države članice koji koriste usluge roaminga u Španjolskoj, moraju pružati mrežne informacije o lokaciji najprimjerenijem centru za primanje poziva prema hitnim službama ovisno o podrijetlu poziva, uključujući za pozive upućene s uređaja bez SIM kartice ili bez aktivirane SIM kartice.</w:t>
      </w:r>
    </w:p>
    <w:p w14:paraId="7F87D888" w14:textId="34C3645D" w:rsidR="00327211" w:rsidRPr="00665FA8" w:rsidRDefault="00327211" w:rsidP="00327211">
      <w:pPr>
        <w:jc w:val="both"/>
        <w:rPr>
          <w:rFonts w:cstheme="minorHAnsi"/>
          <w:bCs/>
          <w:sz w:val="24"/>
          <w:szCs w:val="24"/>
        </w:rPr>
      </w:pPr>
      <w:r>
        <w:rPr>
          <w:sz w:val="24"/>
        </w:rPr>
        <w:t>Državni tajnik za telekomunikacije i digitalnu infrastrukturu može izdati upute o obliku i sadržaju mrežnih informacija o lokaciji.</w:t>
      </w:r>
    </w:p>
    <w:p w14:paraId="198ACBAD" w14:textId="51DA02D1" w:rsidR="00327211" w:rsidRPr="00665FA8" w:rsidRDefault="002C4646" w:rsidP="00327211">
      <w:pPr>
        <w:jc w:val="both"/>
        <w:rPr>
          <w:rFonts w:cstheme="minorHAnsi"/>
          <w:bCs/>
          <w:sz w:val="24"/>
          <w:szCs w:val="24"/>
        </w:rPr>
      </w:pPr>
      <w:r>
        <w:rPr>
          <w:sz w:val="24"/>
        </w:rPr>
        <w:t xml:space="preserve">3. Osim toga, ako je mobilna terminalna oprema kompatibilna i ako su informacije dostupne, operatori iz članka 2. stavka 1. ove Kraljevske uredbe, uključujući u odnosu na krajnje korisnike mobilnih interpersonalnih komunikacijskih usluga utemeljenih na brojevima iz druge države članice koji koriste usluge roaminga u Španjolskoj, </w:t>
      </w:r>
      <w:r>
        <w:rPr>
          <w:sz w:val="24"/>
        </w:rPr>
        <w:lastRenderedPageBreak/>
        <w:t>usmjeravaju informacije o lokaciji s mobilnog uređaja dobivene putem funkcije AML kako bi pružili najtočnije informacije o lokaciji pozivatelja.</w:t>
      </w:r>
    </w:p>
    <w:p w14:paraId="2EBF8491" w14:textId="2DFC9FD9" w:rsidR="00327211" w:rsidRPr="00665FA8" w:rsidRDefault="00327211" w:rsidP="00327211">
      <w:pPr>
        <w:jc w:val="both"/>
        <w:rPr>
          <w:rFonts w:cstheme="minorHAnsi"/>
          <w:bCs/>
          <w:sz w:val="24"/>
          <w:szCs w:val="24"/>
        </w:rPr>
      </w:pPr>
      <w:r>
        <w:rPr>
          <w:sz w:val="24"/>
        </w:rPr>
        <w:t>Centrom za primanje i distribuciju podataka o lokaciji na temelju mobilnog uređaja upravlja Ministarstvo unutarnjih poslova. Taj centar prima i distribuira informacije o lokaciji najprimjerenijem centru za primanje poziva prema hitnim službama upućenih na broj 112 ovisno o zemljopisnom položaju pozivatelja.</w:t>
      </w:r>
    </w:p>
    <w:p w14:paraId="044D7FD4" w14:textId="490091F1" w:rsidR="00327211" w:rsidRDefault="00327211" w:rsidP="00327211">
      <w:pPr>
        <w:jc w:val="both"/>
        <w:rPr>
          <w:rFonts w:cstheme="minorHAnsi"/>
          <w:bCs/>
          <w:sz w:val="24"/>
          <w:szCs w:val="24"/>
        </w:rPr>
      </w:pPr>
      <w:r>
        <w:rPr>
          <w:sz w:val="24"/>
        </w:rPr>
        <w:t>Državni tajnik za telekomunikacije i digitalnu infrastrukturu može izdavati upute o obliku i sadržaju informacija o lokaciji na temelju mobilnog uređaja.</w:t>
      </w:r>
    </w:p>
    <w:p w14:paraId="18214334" w14:textId="0E6FDD13" w:rsidR="00693F87" w:rsidRDefault="00693F87" w:rsidP="00327211">
      <w:pPr>
        <w:jc w:val="both"/>
        <w:rPr>
          <w:sz w:val="24"/>
          <w:szCs w:val="24"/>
        </w:rPr>
      </w:pPr>
      <w:r>
        <w:rPr>
          <w:sz w:val="24"/>
        </w:rPr>
        <w:t>4. U pogledu obrade osobnih podataka koji proizlaze iz informacija o lokaciji dobivenih s mobilnog uređaja pomoću funkcije AML, utvrđene su sljedeće dodatne mjere opreza:</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kako bi se poštovalo načelo ograničenja svrhe, podatci o lokaciji smiju se upotrebljavati isključivo u svrhu olakšavanja utvrđivanja lokacije pozivatelja u odnosu na određeni poziv u hitnim slučajevima;</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kako bi se poštovalo načelo smanjenja količine podataka koji se obrađuju, ne smiju se prikupljati nikakvi dodatni podatci osim onih koji su strogo povezani s lokacijom pozivatelja krajnjeg korisnika;</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nužno je poštovati obvezu povjerljivosti osoba koje pristupaju podatcima.</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t>Podatci o lokaciji brišu se što je prije moguće, a u svakom slučaju u roku od mjesec dana.</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Članak 13. Transparentnost u pogledu pristupa komunikacijama prema hitnim službama putem jedinstvenog europskog broja za hitne pozive 112 u međunarodnom roamingu.</w:t>
      </w:r>
    </w:p>
    <w:p w14:paraId="35BCA3D0" w14:textId="42F2BB8D" w:rsidR="00B361D9" w:rsidRPr="00114542" w:rsidRDefault="00114542" w:rsidP="00114542">
      <w:pPr>
        <w:jc w:val="both"/>
        <w:rPr>
          <w:rFonts w:cstheme="minorHAnsi"/>
          <w:sz w:val="24"/>
          <w:szCs w:val="24"/>
        </w:rPr>
      </w:pPr>
      <w:r>
        <w:rPr>
          <w:sz w:val="24"/>
        </w:rPr>
        <w:t>1. Operatori iz članka 2. stavka 1. ove Kraljevske uredbe, u svojstvu pružatelja usluga roaminga, jamče da su njihovi krajnji korisnici roaminga na odgovarajući način obaviješteni o načinima pristupa hitnim službama u državi članici koju posjećuju.</w:t>
      </w:r>
    </w:p>
    <w:p w14:paraId="267EBC27" w14:textId="700D464C" w:rsidR="00B361D9" w:rsidRPr="00114542" w:rsidRDefault="00114542" w:rsidP="00114542">
      <w:pPr>
        <w:jc w:val="both"/>
        <w:rPr>
          <w:rFonts w:cstheme="minorHAnsi"/>
          <w:sz w:val="24"/>
          <w:szCs w:val="24"/>
        </w:rPr>
      </w:pPr>
      <w:r>
        <w:rPr>
          <w:sz w:val="24"/>
        </w:rPr>
        <w:t xml:space="preserve">2. Pružatelj usluga roaminga automatiziranom porukom obavješćuje krajnjeg korisnika koji koristi usluge roaminga o mogućnosti besplatnog pristupa hitnim službama pozivom na jedinstveni europski broj za hitne pozive 112. U toj se poruci krajnjim korisnicima u roamingu također besplatno pruža poveznica na određeno mrežno mjesto, pristupačno </w:t>
      </w:r>
      <w:r>
        <w:rPr>
          <w:sz w:val="24"/>
        </w:rPr>
        <w:lastRenderedPageBreak/>
        <w:t>osobama s invaliditetom, koje sadržava informacije o alternativnim načinima pristupa hitnim službama putem komunikacije prema hitnim službama dostupne u državi članici koju posjećuje. Te se informacije šalju na mobilni uređaj krajnjeg korisnika u roamingu SMS-om ili, ako je to primjereno, prikladnim sredstvom prilagođenim kako bi se olakšao njihov primitak i lako razumijevanje svaki put kada krajnji korisnik u roamingu uđe u drugu državu članicu. Informacije će biti dostupne besplatno.</w:t>
      </w:r>
    </w:p>
    <w:p w14:paraId="348FAEA9" w14:textId="3D32B9D0" w:rsidR="00327211" w:rsidRPr="00665FA8" w:rsidRDefault="00810C8B" w:rsidP="00B3150A">
      <w:pPr>
        <w:jc w:val="center"/>
        <w:rPr>
          <w:rFonts w:cstheme="minorHAnsi"/>
          <w:b/>
          <w:bCs/>
          <w:sz w:val="24"/>
          <w:szCs w:val="24"/>
        </w:rPr>
      </w:pPr>
      <w:r>
        <w:rPr>
          <w:b/>
          <w:sz w:val="24"/>
        </w:rPr>
        <w:t>POGLAVLJE IV.</w:t>
      </w:r>
    </w:p>
    <w:p w14:paraId="4271AC67" w14:textId="3340E8D3" w:rsidR="00810C8B" w:rsidRPr="00665FA8" w:rsidRDefault="00810C8B" w:rsidP="00B3150A">
      <w:pPr>
        <w:jc w:val="center"/>
        <w:rPr>
          <w:rFonts w:cstheme="minorHAnsi"/>
          <w:b/>
          <w:bCs/>
          <w:sz w:val="24"/>
          <w:szCs w:val="24"/>
        </w:rPr>
      </w:pPr>
      <w:r>
        <w:rPr>
          <w:b/>
          <w:sz w:val="24"/>
        </w:rPr>
        <w:t>Pristup krajnjih korisnika s invaliditetom službi za odgovor na hitne pozive upućene na broj 112.</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Članak 14.Pristup krajnjim korisnicima s invaliditetom službi za odgovor na hitne pozive upućene na broj 112.</w:t>
      </w:r>
    </w:p>
    <w:p w14:paraId="0A547A1A" w14:textId="43457518" w:rsidR="00327211" w:rsidRPr="00665FA8" w:rsidRDefault="00EE306F" w:rsidP="00327211">
      <w:pPr>
        <w:jc w:val="both"/>
        <w:rPr>
          <w:rFonts w:cstheme="minorHAnsi"/>
          <w:bCs/>
          <w:sz w:val="24"/>
          <w:szCs w:val="24"/>
        </w:rPr>
      </w:pPr>
      <w:r>
        <w:rPr>
          <w:sz w:val="24"/>
        </w:rPr>
        <w:t>1. Pristup krajnjih korisnika s invaliditetom uslugama službama za odgovor na hitne pozive upućene na broj 112 mora biti dostupan i jednak onome koji imaju drugi krajnji korisnici, u skladu s člankom 74. stavkom 3. Zakona 11/2022 od 28. lipnja o općim telekomunikacijama i Direktivom 2019/882 Europskog parlamenta i Vijeća od 17. travnja 2019. o zahtjevima za pristupačnost proizvoda i usluga.</w:t>
      </w:r>
    </w:p>
    <w:p w14:paraId="65DCE00E" w14:textId="63B7AA44" w:rsidR="00327211" w:rsidRPr="00665FA8" w:rsidRDefault="00EE306F" w:rsidP="00FE7B47">
      <w:pPr>
        <w:jc w:val="both"/>
        <w:rPr>
          <w:rFonts w:cstheme="minorHAnsi"/>
          <w:bCs/>
          <w:sz w:val="24"/>
          <w:szCs w:val="24"/>
        </w:rPr>
      </w:pPr>
      <w:r>
        <w:rPr>
          <w:sz w:val="24"/>
        </w:rPr>
        <w:t>2. Na komunikaciju u slučaju nužde prema jedinstvenom europskom broju za hitne pozive 112 na odgovarajući se način odgovara putem centara za primanje poziva prema hitnim službama s pomoću istih sredstava komunikacije kao i za njihovo primanje, tj. upotrebom sinkronizirane glasovne i tekstualne poruke (osobito tekstualne poruke u stvarnom vremenu) ili, ako je omogućen videozapis, sinkronizirane glasovne i tekstualne poruke (osobito tekstualne poruke u stvarnom vremenu) i videozapisa kao potpunog razgovora.</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Članak 15. Pristup krajnjim korisnicima s invaliditetom iz drugih država članica službi za odgovor na hitne pozive 112.</w:t>
      </w:r>
    </w:p>
    <w:p w14:paraId="386F8FBD" w14:textId="7ECBC70D" w:rsidR="00D83518" w:rsidRPr="00665FA8" w:rsidRDefault="0065753F" w:rsidP="00327211">
      <w:pPr>
        <w:jc w:val="both"/>
        <w:rPr>
          <w:rFonts w:cstheme="minorHAnsi"/>
          <w:bCs/>
          <w:sz w:val="24"/>
          <w:szCs w:val="24"/>
        </w:rPr>
      </w:pPr>
      <w:r>
        <w:rPr>
          <w:sz w:val="24"/>
        </w:rPr>
        <w:t xml:space="preserve">Voditelj Ministarstva gospodarstva i digitalne transformacije donosi odluku kojom utvrđuje odgovarajuće mjere kako bi se osiguralo da krajnji korisnici s invaliditetom iz </w:t>
      </w:r>
      <w:r>
        <w:rPr>
          <w:sz w:val="24"/>
        </w:rPr>
        <w:lastRenderedPageBreak/>
        <w:t>druge države članice tijekom putovanja u Španjolsku mogu pristupiti hitnim službama pod istim uvjetima kao i ostali krajnji korisnici.</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Prva dodatna odredba. Komunikacija prema hitnim službama putem drugih telefonskih brojeva.</w:t>
      </w:r>
    </w:p>
    <w:p w14:paraId="17D0E0BB" w14:textId="6A54DA74" w:rsidR="00A839C2" w:rsidRDefault="002F25B0" w:rsidP="008D7285">
      <w:pPr>
        <w:jc w:val="both"/>
        <w:rPr>
          <w:rFonts w:cstheme="minorHAnsi"/>
          <w:sz w:val="24"/>
          <w:szCs w:val="24"/>
        </w:rPr>
      </w:pPr>
      <w:r>
        <w:rPr>
          <w:sz w:val="24"/>
        </w:rPr>
        <w:t>1. U skladu s odredbama članka 74. stavka 1. Općeg zakona 11/2022 od 28. lipnja o telekomunikacijama, krajnji korisnici javno dostupnih interpersonalnih komunikacijskih usluga utemeljenih na brojevima osim na broj 112 mogu uputiti pozive u slučaju nužde na sljedeće telefonske brojeve:</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Civilna garda.</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Lokalna vatrogasna služba.</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Pokrajinska vatrogasna služba.</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Regionalna policija.</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Nacionalna policija.</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Lokalna policija.</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Civilna zaštita.</w:t>
      </w:r>
    </w:p>
    <w:p w14:paraId="6CA5B403" w14:textId="1E82A940" w:rsidR="009B4CA7" w:rsidRPr="00ED3F17" w:rsidRDefault="002F25B0" w:rsidP="00881147">
      <w:pPr>
        <w:jc w:val="both"/>
        <w:rPr>
          <w:rFonts w:cstheme="minorHAnsi"/>
          <w:sz w:val="24"/>
          <w:szCs w:val="24"/>
        </w:rPr>
      </w:pPr>
      <w:r>
        <w:rPr>
          <w:sz w:val="24"/>
        </w:rPr>
        <w:t>2. Državni tajnik za telekomunikacije i digitalnu infrastrukturu može donijeti rezoluciju kojom utvrđuje druge telefonske brojeve putem kojih se može komunicirati prema hitnim službama.</w:t>
      </w:r>
    </w:p>
    <w:p w14:paraId="33ACE95D" w14:textId="363E3413" w:rsidR="00DD401C" w:rsidRDefault="009B4CA7" w:rsidP="002F25B0">
      <w:pPr>
        <w:jc w:val="both"/>
        <w:rPr>
          <w:rFonts w:cstheme="minorHAnsi"/>
          <w:sz w:val="24"/>
          <w:szCs w:val="24"/>
        </w:rPr>
      </w:pPr>
      <w:r>
        <w:rPr>
          <w:sz w:val="24"/>
        </w:rPr>
        <w:t>3. Za odgovarajuće postupanje i upravljanje komunikacijama prema hitnim službama upućenima na telefonske brojeve uređene ovom odredbom priznaju se sljedeće ovlasti, isključivo za potrebe odredaba ove Kraljevske uredbe, kako je navedeno u sljedećim člancima koji se odnose na podatke o broju pretplatnika, podatke o lokaciji pozivatelja i identifikaciji linije podrijetla.</w:t>
      </w:r>
    </w:p>
    <w:p w14:paraId="55AB48A8" w14:textId="6D3662EA" w:rsidR="004B43EE" w:rsidRPr="009B4CA7" w:rsidRDefault="00254ABF" w:rsidP="002F25B0">
      <w:pPr>
        <w:jc w:val="both"/>
        <w:rPr>
          <w:sz w:val="24"/>
          <w:szCs w:val="24"/>
        </w:rPr>
      </w:pPr>
      <w:r>
        <w:rPr>
          <w:sz w:val="24"/>
        </w:rPr>
        <w:t>4. Tijela nadležna za upravljanje komunikacijama prema hitnim službama upućenima na telefonske brojeve uređene ovom odredbom mogu, u skladu s odredbama članka 72. stavka 2. točke (c) Zakona 11/2022 od 28. lipnja o općim telekomunikacijama, imati pristup informacijama o brojevima pretplatnika isključivo u svrhu ispunjavanja svojih funkcija, pod istim uvjetima utvrđenima za službu za odgovor na hitne pozive upućene na broj 112 u članku 7. ove Kraljevske uredbe.</w:t>
      </w:r>
    </w:p>
    <w:p w14:paraId="45FD934B" w14:textId="2043A11F" w:rsidR="004B43EE" w:rsidRDefault="0014170A" w:rsidP="004B43EE">
      <w:pPr>
        <w:jc w:val="both"/>
        <w:rPr>
          <w:rFonts w:cstheme="minorHAnsi"/>
          <w:bCs/>
          <w:sz w:val="24"/>
          <w:szCs w:val="24"/>
        </w:rPr>
      </w:pPr>
      <w:r>
        <w:lastRenderedPageBreak/>
        <w:t>5.</w:t>
      </w:r>
      <w:r>
        <w:rPr>
          <w:sz w:val="24"/>
        </w:rPr>
        <w:t xml:space="preserve"> Operatori iz članka 2. stavka 1. ove Kraljevske uredbe nadležnim tijelima odgovornima za upravljanje komunikacijama u slučaju nužde upućenima na brojeve telefona uređene ovom odredbom bez odlaganja pružaju mrežne informacije u pogledu lokacije pozivatelja.</w:t>
      </w:r>
    </w:p>
    <w:p w14:paraId="12732828" w14:textId="5009A59B" w:rsidR="004B43EE" w:rsidRDefault="004B43EE" w:rsidP="004B43EE">
      <w:pPr>
        <w:jc w:val="both"/>
        <w:rPr>
          <w:rFonts w:cstheme="minorHAnsi"/>
          <w:bCs/>
          <w:sz w:val="24"/>
          <w:szCs w:val="24"/>
        </w:rPr>
      </w:pPr>
      <w:r>
        <w:rPr>
          <w:sz w:val="24"/>
        </w:rPr>
        <w:t>U skladu s člankom 66. stavkom 2. točkom (c) Zakona 11/2022 od 28. lipnja o općim telekomunikacijama, operatori pružaju takve informacije čak i u odnosu na krajnje korisnike koji su ostvarili svoje pravo na temelju navedenog članka i nisu dali privolu za obradu svojih podataka o lokaciji.</w:t>
      </w:r>
    </w:p>
    <w:p w14:paraId="7C4E150B" w14:textId="11BA36FD" w:rsidR="00F5331B" w:rsidRDefault="0014170A" w:rsidP="00F5331B">
      <w:pPr>
        <w:jc w:val="both"/>
        <w:rPr>
          <w:rFonts w:cstheme="minorHAnsi"/>
          <w:bCs/>
          <w:sz w:val="24"/>
          <w:szCs w:val="24"/>
        </w:rPr>
      </w:pPr>
      <w:r>
        <w:rPr>
          <w:sz w:val="24"/>
        </w:rPr>
        <w:t>6. Operatori iz članka 2. stavka 1. ove Kraljevske uredbe nadležnima tijelima odgovornima za upravljanje komunikacijama prema hitnim službama upućenima na brojeve telefona uređene ovom odredbom osiguravaju identifikaciju linije s koje potječu pozivi, u okviru tehničkih mogućnosti mreže i u skladu s propisima o prezentacijskim objektima i ograničenju linije pozivatelja utvrđenim nacionalnim i europskim propisima. Operatori moraju pružiti identifikaciju linije s koje je poziv upućen čak i ako je krajnji korisnik, u skladu s člankom 65. stavkom 1. točkom (o) Zakona 11/2022 od 28. lipnja o općim telekomunikacijama, iskoristio svoje pravo na sprječavanje prikazivanja njegove identifikacijske linije.</w:t>
      </w:r>
    </w:p>
    <w:p w14:paraId="0D51DF69" w14:textId="43BC92BE" w:rsidR="004544CB" w:rsidRPr="004544CB" w:rsidRDefault="0014170A" w:rsidP="004544CB">
      <w:pPr>
        <w:jc w:val="both"/>
        <w:rPr>
          <w:rFonts w:cstheme="minorHAnsi"/>
          <w:bCs/>
          <w:sz w:val="24"/>
          <w:szCs w:val="24"/>
        </w:rPr>
      </w:pPr>
      <w:r>
        <w:rPr>
          <w:sz w:val="24"/>
        </w:rPr>
        <w:t>7. Pristup telefonskim brojevima obuhvaćenima ovom odredbom jamči se iz elektroničkih komunikacijskih mreža koje nisu dostupne javnosti, ali iz kojih je moguće uputiti pozive javnim mrežama, posebno ako poduzeće odgovorno za takvu mrežu ne pruža alternativni i jednostavan pristup službi za odgovor na hitne situacije.</w:t>
      </w:r>
    </w:p>
    <w:p w14:paraId="218D3340" w14:textId="6138FF74" w:rsidR="00ED3F17" w:rsidRDefault="004544CB" w:rsidP="004544CB">
      <w:pPr>
        <w:jc w:val="both"/>
        <w:rPr>
          <w:rFonts w:cstheme="minorHAnsi"/>
          <w:bCs/>
          <w:sz w:val="24"/>
          <w:szCs w:val="24"/>
        </w:rPr>
      </w:pPr>
      <w:r>
        <w:rPr>
          <w:sz w:val="24"/>
        </w:rPr>
        <w:t>Uvjeti za pristup telefonskim brojevima uređenima ovom odredbom iz tih mreža utvrđuje se odlukom ministra gospodarstva i digitalne transformacije.</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Druga dodatna odredba. Dodatne interpersonalne komunikacijske usluge utemeljene na brojevima koje su prikladne za komunikaciju prema hitnim službama.</w:t>
      </w:r>
    </w:p>
    <w:p w14:paraId="0A68585B" w14:textId="56D2BA86" w:rsidR="00AE2097" w:rsidRDefault="00AE2097" w:rsidP="00AE2097">
      <w:pPr>
        <w:jc w:val="both"/>
        <w:rPr>
          <w:rFonts w:cstheme="minorHAnsi"/>
          <w:bCs/>
          <w:sz w:val="24"/>
          <w:szCs w:val="24"/>
        </w:rPr>
      </w:pPr>
      <w:r>
        <w:rPr>
          <w:sz w:val="24"/>
        </w:rPr>
        <w:t xml:space="preserve">Nakon javnog saslušanja i izvješća Nacionalnog povjerenstva za tržišta i tržišno natjecanje, voditelj Ministarstva gospodarstva i digitalne transformacije može donijeti odluku o tome koje bi se interpersonalne komunikacijske usluge utemeljene na brojevima uz glasovne komunikacije iz članka 2. ove Kraljevske uredbe, kao što su SMS, </w:t>
      </w:r>
      <w:r>
        <w:rPr>
          <w:sz w:val="24"/>
        </w:rPr>
        <w:lastRenderedPageBreak/>
        <w:t>poruke, videozapisi, tekstualne usluge u stvarnom vremenu, usluge cjelokupnog razgovora ili usluge razgovora, trebale uključiti u komunikacije prema hitnim službama, uzimajući u obzir najnovija dostignuća i stanje na tržištu elektroničkih komunikacija u Španjolskoj, tehničke značajke glavnih mreža i usluga koje se provode i pružaju u našoj zemlji te mogućnosti i tehničku opremu centara za primanje hitnih poziva upućenih na broj 112.</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Treća dodatna odredba. Uvođenje mobilnih uređaja koji čine funkciju naprednog lociranja pozivatelja u hitnom slučaju (AML) učinkovitom na španjolsko tržište.</w:t>
      </w:r>
    </w:p>
    <w:p w14:paraId="6D4A7C52" w14:textId="4A91E8ED" w:rsidR="00B72801" w:rsidRDefault="00B72801" w:rsidP="00B72801">
      <w:pPr>
        <w:jc w:val="both"/>
        <w:rPr>
          <w:rFonts w:cstheme="minorHAnsi"/>
          <w:bCs/>
          <w:sz w:val="24"/>
          <w:szCs w:val="24"/>
        </w:rPr>
      </w:pPr>
      <w:r>
        <w:rPr>
          <w:sz w:val="24"/>
        </w:rPr>
        <w:t>Nakon razdoblja od tri mjeseca od stupanja na snagu ove Kraljevske uredbe, prijenosni mobilni uređaji s funkcijama sličnima funkcijama računala u pogledu njihove sposobnosti obrade i pohrane podataka koji ne omogućuju primjenu funkcije naprednog lociranja pozivatelja u hitnom slučaju AML iz samog uređaja uređene ovom Kraljevskom uredbom ne smiju se uvoditi na španjolsko tržište.</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Jedina odredba o stavljanju izvan snage. Stavljanje propisa izvan snage.</w:t>
      </w:r>
    </w:p>
    <w:p w14:paraId="5C63BA96" w14:textId="77777777" w:rsidR="00A2457F" w:rsidRDefault="0099639A" w:rsidP="001924E4">
      <w:pPr>
        <w:jc w:val="both"/>
        <w:rPr>
          <w:rFonts w:cstheme="minorHAnsi"/>
          <w:bCs/>
          <w:sz w:val="24"/>
          <w:szCs w:val="24"/>
        </w:rPr>
      </w:pPr>
      <w:r>
        <w:rPr>
          <w:sz w:val="24"/>
        </w:rPr>
        <w:t>Sljedeće odredbe stavljaju se izvan snage:</w:t>
      </w:r>
    </w:p>
    <w:p w14:paraId="05D92213" w14:textId="6C51D996" w:rsidR="001924E4" w:rsidRDefault="00A2457F" w:rsidP="00A2457F">
      <w:pPr>
        <w:pStyle w:val="ListParagraph"/>
        <w:numPr>
          <w:ilvl w:val="0"/>
          <w:numId w:val="25"/>
        </w:numPr>
        <w:jc w:val="both"/>
        <w:rPr>
          <w:rFonts w:cstheme="minorHAnsi"/>
          <w:sz w:val="24"/>
          <w:szCs w:val="24"/>
        </w:rPr>
      </w:pPr>
      <w:r>
        <w:rPr>
          <w:sz w:val="24"/>
        </w:rPr>
        <w:t>Kraljevska uredba 903/1997 od 16. lipnja kojom se uređuje pristup službi za odgovor na hitne pozive putem telefonskog broja 112 putem telekomunikacijskih mreža.</w:t>
      </w:r>
    </w:p>
    <w:p w14:paraId="3628F2FD" w14:textId="77777777" w:rsidR="0054450D" w:rsidRDefault="0054450D" w:rsidP="00EB26EF">
      <w:pPr>
        <w:pStyle w:val="ListParagraph"/>
        <w:numPr>
          <w:ilvl w:val="0"/>
          <w:numId w:val="25"/>
        </w:numPr>
        <w:jc w:val="both"/>
        <w:rPr>
          <w:rFonts w:cstheme="minorHAnsi"/>
          <w:sz w:val="24"/>
          <w:szCs w:val="24"/>
        </w:rPr>
      </w:pPr>
      <w:r>
        <w:rPr>
          <w:sz w:val="24"/>
        </w:rPr>
        <w:t>Odluka od 14. listopada 1999. o uvjetima za pružanje relevantnih informacija za službu za odgovor na hitne pozive putem broja 112.</w:t>
      </w:r>
    </w:p>
    <w:p w14:paraId="404EBFA0" w14:textId="094EFC12" w:rsidR="00A2457F" w:rsidRDefault="00A2457F" w:rsidP="00EB26EF">
      <w:pPr>
        <w:pStyle w:val="ListParagraph"/>
        <w:numPr>
          <w:ilvl w:val="0"/>
          <w:numId w:val="25"/>
        </w:numPr>
        <w:jc w:val="both"/>
        <w:rPr>
          <w:rFonts w:cstheme="minorHAnsi"/>
          <w:sz w:val="24"/>
          <w:szCs w:val="24"/>
        </w:rPr>
      </w:pPr>
      <w:r>
        <w:rPr>
          <w:sz w:val="24"/>
        </w:rPr>
        <w:t>Odluka ITC/750/2010 od 17. ožujka o uvjetima za stavljanje na raspolaganje podataka o lokaciji pozivatelja usluge mobilne telefonije koji upućuje poziv službi za odgovor na hitne pozive putem brojeva 062 i 091.</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Sve ostale odredbe jednakog ili nižeg ranga koje su protivne odredbama ove Kraljevske uredbe također se stavljaju izvan snage.</w:t>
      </w:r>
    </w:p>
    <w:p w14:paraId="7C21EB7D" w14:textId="77777777" w:rsidR="00AE2097" w:rsidRDefault="00AE2097"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t>Prva završna odredba. Dodjela nadležnosti.</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Ova se Kraljevska uredba donosi u skladu s odredbama članka 149. stavka 1. točaka 21. i 29. španjolskog Ustava, kojim se državi dodjeljuje nadležnost u pitanjima telekomunikacija i javne sigurnosti.</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Druga završna odredba. Regulatorne provedbene ovlasti.</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Voditelj Ministarstva gospodarstva i digitalne transformacije, kao i voditelj Ministarstva unutarnjih poslova, u okviru svojih nadležnosti, ovlašteni su donositi odredbe potrebne za usklađivanje s odredbama ove Kraljevske uredbe.</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Treća završna odredba. Stupanje na snagu</w:t>
      </w:r>
    </w:p>
    <w:p w14:paraId="543338E4" w14:textId="297ADC2C" w:rsidR="00327211" w:rsidRPr="00665FA8" w:rsidRDefault="00327211" w:rsidP="00327211">
      <w:pPr>
        <w:jc w:val="both"/>
        <w:rPr>
          <w:rFonts w:cstheme="minorHAnsi"/>
          <w:bCs/>
          <w:sz w:val="24"/>
          <w:szCs w:val="24"/>
        </w:rPr>
      </w:pPr>
      <w:r>
        <w:rPr>
          <w:sz w:val="24"/>
        </w:rPr>
        <w:t>Ova Kraljevska uredba stupa na snagu na dan njezine objave u Službenom listu.</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A05759"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1124213"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MINISTARSTVO GOSPODARSTVA I DIGITALNE TRANSFORMACIJE</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DRŽAVNO TAJNIŠTVO ZA TELEKOMUNIKACIJSKE I DIGITALNE INFRASTRUKTURE</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GLAVNA UPRAVA ZA TELEKOMUNIKACIJSKE I AUDIOVIZUALNE KOMUNIKACIJSKE USLUGE</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5759"/>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5551</Words>
  <Characters>31643</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Dimitris Dimitriadis</cp:lastModifiedBy>
  <cp:revision>8</cp:revision>
  <cp:lastPrinted>2021-07-26T12:49:00Z</cp:lastPrinted>
  <dcterms:created xsi:type="dcterms:W3CDTF">2022-07-01T08:10:00Z</dcterms:created>
  <dcterms:modified xsi:type="dcterms:W3CDTF">2022-08-04T10:17:00Z</dcterms:modified>
</cp:coreProperties>
</file>