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D7A1C" w:rsidRPr="005B6BF3" w:rsidRDefault="00AD7A1C" w:rsidP="00AD7A1C">
      <w:pPr>
        <w:ind w:left="-634" w:right="-778"/>
        <w:jc w:val="center"/>
        <w:textAlignment w:val="baseline"/>
        <w:rPr>
          <w:rFonts w:ascii="Courier New" w:hAnsi="Courier New"/>
          <w:sz w:val="20"/>
        </w:rPr>
      </w:pPr>
      <w:r w:rsidRPr="005B6BF3">
        <w:rPr>
          <w:rFonts w:ascii="Courier New" w:hAnsi="Courier New"/>
          <w:sz w:val="20"/>
        </w:rPr>
        <w:t>1. ------IND- 2018 0169 F-- DA- ------ 20180420 --- --- PROJET</w:t>
      </w:r>
    </w:p>
    <w:p w:rsidR="00AD7A1C" w:rsidRPr="00AB687C" w:rsidRDefault="00AD7A1C"/>
    <w:tbl>
      <w:tblPr>
        <w:tblW w:w="0" w:type="auto"/>
        <w:tblInd w:w="57" w:type="dxa"/>
        <w:tblLayout w:type="fixed"/>
        <w:tblCellMar>
          <w:top w:w="57" w:type="dxa"/>
          <w:left w:w="57" w:type="dxa"/>
          <w:bottom w:w="57" w:type="dxa"/>
          <w:right w:w="57" w:type="dxa"/>
        </w:tblCellMar>
        <w:tblLook w:val="0000" w:firstRow="0" w:lastRow="0" w:firstColumn="0" w:lastColumn="0" w:noHBand="0" w:noVBand="0"/>
      </w:tblPr>
      <w:tblGrid>
        <w:gridCol w:w="1527"/>
        <w:gridCol w:w="968"/>
        <w:gridCol w:w="1487"/>
      </w:tblGrid>
      <w:tr w:rsidR="00B73D02" w:rsidRPr="00AB687C" w:rsidTr="006516B7">
        <w:trPr>
          <w:cantSplit/>
        </w:trPr>
        <w:tc>
          <w:tcPr>
            <w:tcW w:w="3982" w:type="dxa"/>
            <w:gridSpan w:val="3"/>
          </w:tcPr>
          <w:p w:rsidR="00B73D02" w:rsidRPr="00AB687C" w:rsidRDefault="00B73D02" w:rsidP="006516B7">
            <w:pPr>
              <w:pStyle w:val="SNREPUBLIQUE"/>
            </w:pPr>
            <w:r>
              <w:t>DEN FRANSKE REPUBLIK</w:t>
            </w:r>
          </w:p>
        </w:tc>
      </w:tr>
      <w:tr w:rsidR="00B73D02" w:rsidRPr="00AB687C" w:rsidTr="006516B7">
        <w:trPr>
          <w:cantSplit/>
          <w:trHeight w:val="42"/>
        </w:trPr>
        <w:tc>
          <w:tcPr>
            <w:tcW w:w="1527" w:type="dxa"/>
          </w:tcPr>
          <w:p w:rsidR="00B73D02" w:rsidRPr="00AB687C" w:rsidRDefault="00B73D02" w:rsidP="006516B7">
            <w:pPr>
              <w:rPr>
                <w:sz w:val="8"/>
              </w:rPr>
            </w:pPr>
          </w:p>
        </w:tc>
        <w:tc>
          <w:tcPr>
            <w:tcW w:w="968" w:type="dxa"/>
            <w:tcBorders>
              <w:bottom w:val="single" w:sz="4" w:space="0" w:color="auto"/>
            </w:tcBorders>
          </w:tcPr>
          <w:p w:rsidR="00B73D02" w:rsidRPr="00AB687C" w:rsidRDefault="00B73D02" w:rsidP="006516B7">
            <w:pPr>
              <w:rPr>
                <w:sz w:val="8"/>
              </w:rPr>
            </w:pPr>
          </w:p>
        </w:tc>
        <w:tc>
          <w:tcPr>
            <w:tcW w:w="1487" w:type="dxa"/>
          </w:tcPr>
          <w:p w:rsidR="00B73D02" w:rsidRPr="00AB687C" w:rsidRDefault="00B73D02" w:rsidP="006516B7">
            <w:pPr>
              <w:rPr>
                <w:sz w:val="8"/>
              </w:rPr>
            </w:pPr>
          </w:p>
        </w:tc>
      </w:tr>
      <w:tr w:rsidR="00B73D02" w:rsidRPr="00AB687C" w:rsidTr="006516B7">
        <w:trPr>
          <w:cantSplit/>
        </w:trPr>
        <w:tc>
          <w:tcPr>
            <w:tcW w:w="3982" w:type="dxa"/>
            <w:gridSpan w:val="3"/>
          </w:tcPr>
          <w:p w:rsidR="00B73D02" w:rsidRPr="00AB687C" w:rsidRDefault="00B73D02" w:rsidP="006516B7">
            <w:pPr>
              <w:pStyle w:val="SNTimbre"/>
            </w:pPr>
            <w:r>
              <w:t>Økonomi- og finansministeriet</w:t>
            </w:r>
          </w:p>
        </w:tc>
      </w:tr>
      <w:tr w:rsidR="00B73D02" w:rsidRPr="00AB687C" w:rsidTr="006516B7">
        <w:trPr>
          <w:cantSplit/>
          <w:trHeight w:val="222"/>
        </w:trPr>
        <w:tc>
          <w:tcPr>
            <w:tcW w:w="1527" w:type="dxa"/>
          </w:tcPr>
          <w:p w:rsidR="00B73D02" w:rsidRPr="00AB687C" w:rsidRDefault="00B73D02" w:rsidP="006516B7">
            <w:pPr>
              <w:rPr>
                <w:sz w:val="16"/>
              </w:rPr>
            </w:pPr>
          </w:p>
        </w:tc>
        <w:tc>
          <w:tcPr>
            <w:tcW w:w="968" w:type="dxa"/>
            <w:tcBorders>
              <w:bottom w:val="single" w:sz="4" w:space="0" w:color="auto"/>
            </w:tcBorders>
          </w:tcPr>
          <w:p w:rsidR="00B73D02" w:rsidRPr="00AB687C" w:rsidRDefault="00B73D02" w:rsidP="006516B7">
            <w:pPr>
              <w:rPr>
                <w:sz w:val="16"/>
              </w:rPr>
            </w:pPr>
          </w:p>
        </w:tc>
        <w:tc>
          <w:tcPr>
            <w:tcW w:w="1487" w:type="dxa"/>
          </w:tcPr>
          <w:p w:rsidR="00B73D02" w:rsidRPr="00AB687C" w:rsidRDefault="00B73D02" w:rsidP="006516B7">
            <w:pPr>
              <w:rPr>
                <w:sz w:val="16"/>
              </w:rPr>
            </w:pPr>
          </w:p>
        </w:tc>
      </w:tr>
      <w:tr w:rsidR="00B73D02" w:rsidRPr="00AB687C" w:rsidTr="006516B7">
        <w:trPr>
          <w:cantSplit/>
        </w:trPr>
        <w:tc>
          <w:tcPr>
            <w:tcW w:w="1527" w:type="dxa"/>
          </w:tcPr>
          <w:p w:rsidR="00B73D02" w:rsidRPr="00AB687C" w:rsidRDefault="00B73D02" w:rsidP="006516B7">
            <w:pPr>
              <w:rPr>
                <w:sz w:val="16"/>
              </w:rPr>
            </w:pPr>
          </w:p>
        </w:tc>
        <w:tc>
          <w:tcPr>
            <w:tcW w:w="968" w:type="dxa"/>
            <w:tcBorders>
              <w:top w:val="single" w:sz="4" w:space="0" w:color="auto"/>
            </w:tcBorders>
          </w:tcPr>
          <w:p w:rsidR="00B73D02" w:rsidRPr="00AB687C" w:rsidRDefault="00B73D02" w:rsidP="006516B7">
            <w:pPr>
              <w:rPr>
                <w:sz w:val="16"/>
              </w:rPr>
            </w:pPr>
          </w:p>
        </w:tc>
        <w:tc>
          <w:tcPr>
            <w:tcW w:w="1487" w:type="dxa"/>
          </w:tcPr>
          <w:p w:rsidR="00B73D02" w:rsidRPr="00AB687C" w:rsidRDefault="00B73D02" w:rsidP="006516B7">
            <w:pPr>
              <w:rPr>
                <w:sz w:val="16"/>
              </w:rPr>
            </w:pPr>
          </w:p>
        </w:tc>
      </w:tr>
    </w:tbl>
    <w:p w:rsidR="00073A3D" w:rsidRPr="00AB687C" w:rsidRDefault="00D50503" w:rsidP="00B73D02">
      <w:pPr>
        <w:pStyle w:val="SNNature"/>
        <w:jc w:val="left"/>
      </w:pPr>
      <w:r>
        <w:t>Dekret nr.             af             om fastsættelse af formålene med signalanordninger på ubemandede luftfartøjer og betingelserne for undtagelse i henhold til artikel L. 34-9-2 i lov om posttjenester og elektronisk kommunikation</w:t>
      </w:r>
    </w:p>
    <w:p w:rsidR="00073A3D" w:rsidRPr="00AB687C" w:rsidRDefault="00D50503">
      <w:pPr>
        <w:pStyle w:val="SNNORCentr"/>
      </w:pPr>
      <w:r>
        <w:t>NOR: […]</w:t>
      </w:r>
    </w:p>
    <w:p w:rsidR="00073A3D" w:rsidRPr="00AB687C" w:rsidRDefault="00D50503">
      <w:pPr>
        <w:pStyle w:val="SNAutorit"/>
        <w:spacing w:after="0"/>
        <w:jc w:val="both"/>
      </w:pPr>
      <w:r>
        <w:rPr>
          <w:i/>
        </w:rPr>
        <w:t xml:space="preserve">Berørte grupper: </w:t>
      </w:r>
      <w:r>
        <w:rPr>
          <w:b w:val="0"/>
          <w:i/>
        </w:rPr>
        <w:t>Førere af ubemandede luftfartøjer med en masse, der er større end en grænse fastsat ved forskrift - konstruktører af ubemandede luftfartøjer.</w:t>
      </w:r>
    </w:p>
    <w:p w:rsidR="00073A3D" w:rsidRPr="00AB687C" w:rsidRDefault="00D50503">
      <w:pPr>
        <w:pStyle w:val="SNAutorit"/>
        <w:spacing w:before="120" w:after="0"/>
        <w:jc w:val="both"/>
      </w:pPr>
      <w:r>
        <w:rPr>
          <w:i/>
        </w:rPr>
        <w:t xml:space="preserve">Emne: </w:t>
      </w:r>
      <w:r>
        <w:rPr>
          <w:b w:val="0"/>
          <w:i/>
        </w:rPr>
        <w:t xml:space="preserve">Denne tekst fastsætter formålene med ubemandede luftfartøjers elektroniske signalanordninger og lyssignalanordninger, som ubemandede luftfartøjer med en masse, der er større end en grænse fastsat ved forskrift, skal være udstyret med, samt betingelserne for undtagelse fra disse forpligtelser og de dertil knyttede sanktioner. </w:t>
      </w:r>
    </w:p>
    <w:p w:rsidR="00073A3D" w:rsidRPr="00AB687C" w:rsidRDefault="00D50503">
      <w:pPr>
        <w:pStyle w:val="SNAutorit"/>
        <w:spacing w:before="120" w:after="0"/>
        <w:jc w:val="both"/>
      </w:pPr>
      <w:r>
        <w:rPr>
          <w:i/>
        </w:rPr>
        <w:t>Ikrafttræden:</w:t>
      </w:r>
      <w:r>
        <w:rPr>
          <w:b w:val="0"/>
          <w:i/>
        </w:rPr>
        <w:t xml:space="preserve"> Teksten træder i kraft dagen efter datoen for dens offentliggørelse med undtagelse af bestemmelserne i artikel R. 20-25-1 og artikel R. 20-25-2 i lov om posttjenester og elektronisk kommunikation, som træder i kraft den 1. januar 2019.</w:t>
      </w:r>
    </w:p>
    <w:p w:rsidR="00073A3D" w:rsidRPr="00AB687C" w:rsidRDefault="00D50503">
      <w:pPr>
        <w:pStyle w:val="SNAutorit"/>
        <w:spacing w:before="120" w:after="0"/>
        <w:jc w:val="both"/>
      </w:pPr>
      <w:r>
        <w:rPr>
          <w:i/>
        </w:rPr>
        <w:t>Beskrivelse:</w:t>
      </w:r>
      <w:r>
        <w:rPr>
          <w:b w:val="0"/>
          <w:i/>
        </w:rPr>
        <w:t xml:space="preserve"> Artikel L. 34-9-2 i lov om posttjenester og elektronisk kommunikation, ændret ved lov nr. 2016-1428 af 24. oktober 2016 om styrkelse af sikkerheden ved brug af civile droner, foreskriver, at alle ubemandede luftfartøjer, undtagen ubemandede luftfartøjer tilhørende staten, med en masse, der er større end en grænse fastsat ved forskrift, skal være udstyret med en elektronisk eller digital signalanordning og en lyssignalanordning. Dette dekret fastsætter formålene med disse anordninger såvel som betingelserne for undtagelse fra disse forpligtelser.</w:t>
      </w:r>
    </w:p>
    <w:p w:rsidR="00073A3D" w:rsidRPr="00AB687C" w:rsidRDefault="00D50503">
      <w:pPr>
        <w:pStyle w:val="SNAutorit"/>
        <w:spacing w:before="120"/>
        <w:jc w:val="both"/>
      </w:pPr>
      <w:r>
        <w:rPr>
          <w:i/>
        </w:rPr>
        <w:t xml:space="preserve">Henvisninger: </w:t>
      </w:r>
      <w:r>
        <w:rPr>
          <w:b w:val="0"/>
          <w:i/>
        </w:rPr>
        <w:t xml:space="preserve">Dekretet vedrører anvendelsen af titel I i artikel 4 i lov nr. 2016-1428 af 24. oktober 2016 om styrkelse af sikkerheden ved brug af civile droner. Artiklerne i loven om posttjenester og elektronisk kommunikation, som dekretet ændrer, kan findes i den ændrede udgave på Legifrances websted (http://www.legifrance.gouv.fr). </w:t>
      </w:r>
    </w:p>
    <w:p w:rsidR="00073A3D" w:rsidRPr="00AB687C" w:rsidRDefault="00D50503">
      <w:pPr>
        <w:pStyle w:val="SNAutorit"/>
      </w:pPr>
      <w:r>
        <w:t>Premierministeren har,</w:t>
      </w:r>
    </w:p>
    <w:p w:rsidR="00073A3D" w:rsidRPr="00AB687C" w:rsidRDefault="00D50503">
      <w:pPr>
        <w:pStyle w:val="SNRapport"/>
      </w:pPr>
      <w:r>
        <w:t>på baggrund af en rapport fra økonomi- og finansministeren</w:t>
      </w:r>
    </w:p>
    <w:p w:rsidR="003B26B1" w:rsidRPr="00AB687C" w:rsidRDefault="00D50503" w:rsidP="007243F7">
      <w:pPr>
        <w:jc w:val="both"/>
      </w:pPr>
      <w:r>
        <w:t>under henvisning til Europa-Parlamentets og Rådets direktiv (EU) 2015/1535 af 9. september 2015 om en informationsprocedure med hensyn til tekniske forskrifter samt forskrifter for informationssamfundets tjenester (kodificeret tekst), og særlig notifikation nr. år/XXX/F</w:t>
      </w:r>
    </w:p>
    <w:p w:rsidR="007243F7" w:rsidRDefault="007243F7" w:rsidP="007243F7">
      <w:pPr>
        <w:ind w:left="426" w:hanging="426"/>
        <w:jc w:val="both"/>
      </w:pPr>
    </w:p>
    <w:p w:rsidR="00073A3D" w:rsidRPr="00AB687C" w:rsidRDefault="00D50503" w:rsidP="007243F7">
      <w:pPr>
        <w:ind w:left="426" w:hanging="426"/>
        <w:jc w:val="both"/>
      </w:pPr>
      <w:r>
        <w:t>under henvisning til lov om civil luftfart, især artikel D. 510-3</w:t>
      </w:r>
    </w:p>
    <w:p w:rsidR="00073A3D" w:rsidRPr="00AB687C" w:rsidRDefault="00073A3D" w:rsidP="007243F7">
      <w:pPr>
        <w:ind w:left="426" w:hanging="426"/>
        <w:jc w:val="both"/>
      </w:pPr>
    </w:p>
    <w:p w:rsidR="00073A3D" w:rsidRPr="00AB687C" w:rsidRDefault="00D50503" w:rsidP="007243F7">
      <w:pPr>
        <w:ind w:left="426" w:hanging="426"/>
        <w:jc w:val="both"/>
      </w:pPr>
      <w:r>
        <w:lastRenderedPageBreak/>
        <w:t>under henvisning til lov om posttjenester og elektronisk kommunikation, særlig artikel L. 34-9-2</w:t>
      </w:r>
    </w:p>
    <w:p w:rsidR="00073A3D" w:rsidRPr="00AB687C" w:rsidRDefault="00073A3D" w:rsidP="007243F7">
      <w:pPr>
        <w:ind w:left="426" w:hanging="426"/>
        <w:jc w:val="both"/>
      </w:pPr>
    </w:p>
    <w:p w:rsidR="00073A3D" w:rsidRPr="00AB687C" w:rsidRDefault="00D50503" w:rsidP="007243F7">
      <w:pPr>
        <w:ind w:left="426" w:hanging="426"/>
        <w:jc w:val="both"/>
      </w:pPr>
      <w:r>
        <w:t>under henvisning til lov om indre sikkerhed, særlig titel V i bind VIII</w:t>
      </w:r>
    </w:p>
    <w:p w:rsidR="00073A3D" w:rsidRPr="00AB687C" w:rsidRDefault="00073A3D" w:rsidP="007243F7">
      <w:pPr>
        <w:ind w:left="426" w:hanging="426"/>
        <w:jc w:val="both"/>
      </w:pPr>
    </w:p>
    <w:p w:rsidR="00073A3D" w:rsidRPr="00AB687C" w:rsidRDefault="00D50503" w:rsidP="007243F7">
      <w:pPr>
        <w:ind w:left="426" w:hanging="426"/>
        <w:jc w:val="both"/>
      </w:pPr>
      <w:r>
        <w:t>under henvisning til transportloven, særlig lovens artikel L. 6100-1 og L. 6111-1</w:t>
      </w:r>
    </w:p>
    <w:p w:rsidR="00073A3D" w:rsidRPr="00AB687C" w:rsidRDefault="00073A3D" w:rsidP="007243F7">
      <w:pPr>
        <w:jc w:val="both"/>
        <w:rPr>
          <w:sz w:val="22"/>
          <w:szCs w:val="20"/>
        </w:rPr>
      </w:pPr>
    </w:p>
    <w:p w:rsidR="00073A3D" w:rsidRPr="00AB687C" w:rsidRDefault="00D50503" w:rsidP="007243F7">
      <w:pPr>
        <w:pStyle w:val="SNVisa"/>
        <w:ind w:firstLine="0"/>
        <w:jc w:val="both"/>
      </w:pPr>
      <w:r>
        <w:t>under henvisning til udtalelse fra den franske myndighed for regulering af elektronisk kommunikation og posttjenester (Autorité de régulation des communications électroniques et des postes) af XXX</w:t>
      </w:r>
    </w:p>
    <w:p w:rsidR="00073A3D" w:rsidRPr="00AB687C" w:rsidRDefault="00073A3D">
      <w:pPr>
        <w:pStyle w:val="SNConsultation"/>
      </w:pPr>
    </w:p>
    <w:p w:rsidR="00073A3D" w:rsidRPr="00AB687C" w:rsidRDefault="00D50503">
      <w:pPr>
        <w:pStyle w:val="SNConsultation"/>
      </w:pPr>
      <w:r>
        <w:t>og efter høring af Statsrådet (Conseil d’Etat), (afdeling …),</w:t>
      </w:r>
    </w:p>
    <w:p w:rsidR="00073A3D" w:rsidRPr="00AB687C" w:rsidRDefault="00D50503">
      <w:pPr>
        <w:pStyle w:val="SNActe"/>
      </w:pPr>
      <w:r>
        <w:t>udstedt følgende dekret:</w:t>
      </w:r>
    </w:p>
    <w:p w:rsidR="00073A3D" w:rsidRPr="00AB687C" w:rsidRDefault="00D50503">
      <w:pPr>
        <w:pStyle w:val="SNActe"/>
      </w:pPr>
      <w:r>
        <w:t>Kapitel 1: Bestemmelser om formålene med signalanordninger</w:t>
      </w:r>
    </w:p>
    <w:p w:rsidR="00073A3D" w:rsidRPr="00AB687C" w:rsidRDefault="00D50503">
      <w:pPr>
        <w:pStyle w:val="SNArticle"/>
      </w:pPr>
      <w:r>
        <w:t>Artikel 1</w:t>
      </w:r>
    </w:p>
    <w:p w:rsidR="00073A3D" w:rsidRPr="00AB687C" w:rsidRDefault="00D50503">
      <w:pPr>
        <w:pStyle w:val="BodyText"/>
      </w:pPr>
      <w:r>
        <w:t>I loven om posttjenester og elektronisk kommunikation suppleres underafsnit 6 i afsnit 5, kapitel II, titel I, bind II i den forskriftsmæssige del (statsrådsdekreter (décrets en Conseil d'Etat)) med en artikel R. 20-24-2, der affattes således:</w:t>
      </w:r>
    </w:p>
    <w:p w:rsidR="00073A3D" w:rsidRPr="00AB687C" w:rsidRDefault="00073A3D">
      <w:pPr>
        <w:pStyle w:val="BodyText"/>
      </w:pPr>
    </w:p>
    <w:p w:rsidR="00073A3D" w:rsidRPr="00AB687C" w:rsidRDefault="00D50503">
      <w:pPr>
        <w:pStyle w:val="BodyText"/>
      </w:pPr>
      <w:r>
        <w:t>"</w:t>
      </w:r>
      <w:r>
        <w:rPr>
          <w:i/>
        </w:rPr>
        <w:t>Artikel R. 20-24-2.-</w:t>
      </w:r>
      <w:r>
        <w:t xml:space="preserve"> I) Formålet med den elektroniske eller digitale signalanordning, der er anført i artikel L. 34-9-2, stk. 1, er at gøre det muligt for de tjenester, der står for sikkerhed, det nationale forsvar, redningstjenesterne og toldvæsenet at identificere og lokalisere ubemandede luftfartøjer med en masse, der er større end en grænse fastsat ved dekret, når de er i luften.</w:t>
      </w:r>
    </w:p>
    <w:p w:rsidR="00073A3D" w:rsidRPr="00AB687C" w:rsidRDefault="00D50503">
      <w:pPr>
        <w:pStyle w:val="BodyText"/>
      </w:pPr>
      <w:r>
        <w:t>Med henblik herpå sender anordningen ad elektronisk vej følgende informationer:</w:t>
      </w:r>
    </w:p>
    <w:p w:rsidR="00073A3D" w:rsidRPr="00AB687C" w:rsidRDefault="00D50503">
      <w:pPr>
        <w:pStyle w:val="BodyText"/>
      </w:pPr>
      <w:r>
        <w:t>1) identifikationsnummeret på den elektroniske eller digitale signalanordning</w:t>
      </w:r>
    </w:p>
    <w:p w:rsidR="00073A3D" w:rsidRPr="00AB687C" w:rsidRDefault="00D50503">
      <w:pPr>
        <w:pStyle w:val="BodyText"/>
      </w:pPr>
      <w:r>
        <w:t xml:space="preserve">2) koordinaterne til luftfartøjets geografiske position og dets højde </w:t>
      </w:r>
    </w:p>
    <w:p w:rsidR="00073A3D" w:rsidRPr="00AB687C" w:rsidRDefault="00D50503">
      <w:pPr>
        <w:pStyle w:val="BodyText"/>
      </w:pPr>
      <w:r>
        <w:t>3) klokkeslæt og dato for denne geografiske position</w:t>
      </w:r>
    </w:p>
    <w:p w:rsidR="00073A3D" w:rsidRPr="00AB687C" w:rsidRDefault="00D50503">
      <w:pPr>
        <w:pStyle w:val="BodyText"/>
      </w:pPr>
      <w:r>
        <w:t>4) koordinaterne til den geografiske position, hvorfra fartøjet er lettet</w:t>
      </w:r>
    </w:p>
    <w:p w:rsidR="00073A3D" w:rsidRPr="00AB687C" w:rsidRDefault="00D50503">
      <w:pPr>
        <w:pStyle w:val="BodyText"/>
      </w:pPr>
      <w:r>
        <w:t>5) luftfartøjets rute og hastighed.</w:t>
      </w:r>
    </w:p>
    <w:p w:rsidR="00073A3D" w:rsidRPr="00AB687C" w:rsidRDefault="00D50503">
      <w:pPr>
        <w:pStyle w:val="BodyText"/>
      </w:pPr>
      <w:r>
        <w:t>Disse informationer kan, i givet fald og inden for rammerne af behovet for at kende dem, anvendes i strafferetlige, administrative eller efterforskningsmæssige undersøgelser og i statistiske undersøgelser foretaget af personer bemyndiget hertil.</w:t>
      </w:r>
    </w:p>
    <w:p w:rsidR="00073A3D" w:rsidRPr="00AB687C" w:rsidRDefault="00D50503">
      <w:pPr>
        <w:pStyle w:val="BodyText"/>
      </w:pPr>
      <w:r>
        <w:t>II) Formålet med lyssignalanordningen, der er anført i artikel L. 34-9-2, stk. 1, er at gøre det muligt for de tjenester, der varetager sikkerhed, det nationale forsvar, redningstjenesterne og toldvæsenet, lettere at pejle ubemandede luftfartøjer med en masse, der er større end en grænse fastsat ved dekret, og skelne dem fra andre luftfartøjer, når de er i luften.</w:t>
      </w:r>
    </w:p>
    <w:p w:rsidR="00073A3D" w:rsidRPr="00AB687C" w:rsidRDefault="00D50503">
      <w:pPr>
        <w:pStyle w:val="BodyText"/>
      </w:pPr>
      <w:r>
        <w:t>III) En bekendtgørelse fra indenrigsministeren, transportministeren og ministeren med ansvar for elektronisk kommunikation fastsætter de tekniske egenskaber for den elektroniske eller digitale signalanordning og formatet, som informationerne skal sendes i, samt de tekniske egenskaber for lyssignalanordningen. ".</w:t>
      </w:r>
    </w:p>
    <w:p w:rsidR="002E197B" w:rsidRPr="00AB687C" w:rsidRDefault="002E197B">
      <w:pPr>
        <w:pStyle w:val="BodyText"/>
      </w:pPr>
    </w:p>
    <w:p w:rsidR="00073A3D" w:rsidRPr="00AB687C" w:rsidRDefault="00D50503">
      <w:pPr>
        <w:pStyle w:val="BodyText"/>
        <w:jc w:val="center"/>
        <w:rPr>
          <w:b/>
        </w:rPr>
      </w:pPr>
      <w:r>
        <w:rPr>
          <w:b/>
        </w:rPr>
        <w:t>Kapitel II Bestemmelser om betingelser for undtagelse fra forpligtelsen til signalafgivelse</w:t>
      </w:r>
    </w:p>
    <w:p w:rsidR="00073A3D" w:rsidRPr="00AB687C" w:rsidRDefault="00073A3D">
      <w:pPr>
        <w:jc w:val="center"/>
        <w:rPr>
          <w:rFonts w:eastAsia="Calibri"/>
          <w:b/>
        </w:rPr>
      </w:pPr>
    </w:p>
    <w:p w:rsidR="00073A3D" w:rsidRPr="00AB687C" w:rsidRDefault="00D50503">
      <w:pPr>
        <w:jc w:val="center"/>
        <w:rPr>
          <w:rFonts w:eastAsia="Calibri"/>
          <w:b/>
        </w:rPr>
      </w:pPr>
      <w:r>
        <w:rPr>
          <w:b/>
        </w:rPr>
        <w:t>Artikel 2</w:t>
      </w:r>
    </w:p>
    <w:p w:rsidR="00073A3D" w:rsidRPr="00AB687C" w:rsidRDefault="00073A3D">
      <w:pPr>
        <w:pStyle w:val="BodyText"/>
        <w:jc w:val="center"/>
        <w:rPr>
          <w:b/>
        </w:rPr>
      </w:pPr>
      <w:bookmarkStart w:id="0" w:name="_GoBack"/>
      <w:bookmarkEnd w:id="0"/>
    </w:p>
    <w:p w:rsidR="00073A3D" w:rsidRPr="00AB687C" w:rsidRDefault="00D50503">
      <w:pPr>
        <w:pStyle w:val="BodyText"/>
      </w:pPr>
      <w:r>
        <w:t>I loven om posttjenester og elektronisk kommunikation suppleres underafsnit 6 i afsnit 5, kapitel II, titel I, bind II i den forskriftsmæssige del (statsrådsdekreter (décrets en Conseil d'Etat)) med en artikel R. 20-24-3, der affattes således:</w:t>
      </w:r>
    </w:p>
    <w:p w:rsidR="00073A3D" w:rsidRPr="00AB687C" w:rsidRDefault="00073A3D">
      <w:pPr>
        <w:pStyle w:val="BodyText"/>
      </w:pPr>
    </w:p>
    <w:p w:rsidR="00073A3D" w:rsidRPr="00AB687C" w:rsidRDefault="00D50503">
      <w:pPr>
        <w:pStyle w:val="BodyText"/>
      </w:pPr>
      <w:r>
        <w:t>"</w:t>
      </w:r>
      <w:r>
        <w:rPr>
          <w:i/>
        </w:rPr>
        <w:t>Artikel R. 20-24-3.-</w:t>
      </w:r>
      <w:r>
        <w:t xml:space="preserve"> I) Ubemandede luftfartøjer er undtaget fra at være udstyret med en elektronisk eller digital signalanordning:</w:t>
      </w:r>
    </w:p>
    <w:p w:rsidR="00073A3D" w:rsidRPr="00AB687C" w:rsidRDefault="00D50503">
      <w:pPr>
        <w:pStyle w:val="BodyText"/>
      </w:pPr>
      <w:r>
        <w:t xml:space="preserve">1) når de anvendes til fritidsformål, herunder i konkurrenceøjemed, og er fjernstyret inden for synsvidde af en dronefører, som er medlem af en forening, der er tilknyttet den nationalt anerkendte sammenslutning for modelflyvning nævnt i artikel D. 510-3 i lov om civil luftfart, eller af en blandet sportsklub godkendt af ministeren med ansvar for sport, der også tilbyder modelflyvning, inden for et aktivitetsområde offentliggjort via luftfartsinformation og som behørigt er identificeret som havende erhvervet ret til denne undtagelse </w:t>
      </w:r>
    </w:p>
    <w:p w:rsidR="00073A3D" w:rsidRPr="00AB687C" w:rsidRDefault="00D50503">
      <w:pPr>
        <w:pStyle w:val="BodyText"/>
        <w:spacing w:after="0"/>
      </w:pPr>
      <w:r>
        <w:t>2) når de anvendes indendørs i lukkede og overdækkede rum</w:t>
      </w:r>
    </w:p>
    <w:p w:rsidR="002E197B" w:rsidRPr="00AB687C" w:rsidRDefault="002E197B">
      <w:pPr>
        <w:pStyle w:val="BodyText"/>
        <w:spacing w:after="0"/>
      </w:pPr>
    </w:p>
    <w:p w:rsidR="00073A3D" w:rsidRPr="00AB687C" w:rsidRDefault="00BF6B0E">
      <w:pPr>
        <w:pStyle w:val="BodyText"/>
        <w:spacing w:after="0"/>
      </w:pPr>
      <w:r>
        <w:t>3) når de henhører under kategorierne af luftfartøjer anført i artikel L. 6100-1, stk. 2, i transportloven med forbehold for de bestemmelser, der finder anvendelse for militære luftfartøjer og luftfartøjer tilhørende staten og anvendt af toldvæsenet, offentlige sikkerhedstjenester og civilbeskyttelsesorganer</w:t>
      </w:r>
    </w:p>
    <w:p w:rsidR="00073A3D" w:rsidRPr="00AB687C" w:rsidRDefault="00073A3D">
      <w:pPr>
        <w:pStyle w:val="BodyText"/>
        <w:spacing w:after="0"/>
      </w:pPr>
    </w:p>
    <w:p w:rsidR="00073A3D" w:rsidRPr="00AB687C" w:rsidRDefault="00D50503">
      <w:pPr>
        <w:pStyle w:val="ListParagraph"/>
        <w:ind w:left="0"/>
        <w:jc w:val="both"/>
        <w:rPr>
          <w:color w:val="auto"/>
        </w:rPr>
      </w:pPr>
      <w:r>
        <w:rPr>
          <w:color w:val="auto"/>
        </w:rPr>
        <w:t>4) når de ikke tilhører kategorierne af luftfartøjer anført i artikel L. 6100-1, stk. 2, i transportloven, men benyttes i forbindelse med opgaver for toldvæsenet, politiet, i forbindelse med civilbeskyttelse eller med henblik på ibrugtagning af en teknik anført i titel V i bind VIII i loven om indre sikkerhed.</w:t>
      </w:r>
    </w:p>
    <w:p w:rsidR="00073A3D" w:rsidRPr="00AB687C" w:rsidRDefault="00073A3D">
      <w:pPr>
        <w:pStyle w:val="ListParagraph"/>
        <w:ind w:left="0"/>
        <w:jc w:val="both"/>
        <w:rPr>
          <w:color w:val="auto"/>
        </w:rPr>
      </w:pPr>
    </w:p>
    <w:p w:rsidR="00073A3D" w:rsidRPr="00AB687C" w:rsidRDefault="00073A3D">
      <w:pPr>
        <w:pStyle w:val="BodyText"/>
        <w:spacing w:after="0"/>
        <w:jc w:val="left"/>
      </w:pPr>
    </w:p>
    <w:p w:rsidR="00073A3D" w:rsidRPr="00AB687C" w:rsidRDefault="00D50503" w:rsidP="002E197B">
      <w:pPr>
        <w:pStyle w:val="BodyText"/>
        <w:tabs>
          <w:tab w:val="left" w:pos="0"/>
        </w:tabs>
      </w:pPr>
      <w:r>
        <w:t>II Ubemandede luftfartøjer er undtaget fra at være udstyret med en fungerende lyssignalanordning:</w:t>
      </w:r>
    </w:p>
    <w:p w:rsidR="00073A3D" w:rsidRPr="00AB687C" w:rsidRDefault="00D50503">
      <w:pPr>
        <w:pStyle w:val="BodyText"/>
      </w:pPr>
      <w:r>
        <w:t xml:space="preserve">1) når de anvendes til fritidsformål, herunder i konkurrenceøjemed, og er fjernstyret inden for synsvidde af en dronefører, som er medlem af en forening, der er tilknyttet den nationalt anerkendte sammenslutning for modelflyvning nævnt i artikel D. 510-3 i lov om civil luftfart, eller af en blandet sportsklub godkendt af ministeren med ansvar for sport, der også tilbyder modelflyvning, inden for et aktivitetsområde offentliggjort via luftfartsinformation og som behørigt er identificeret som havende erhvervet ret til denne undtagelse </w:t>
      </w:r>
    </w:p>
    <w:p w:rsidR="00073A3D" w:rsidRPr="00AB687C" w:rsidRDefault="00D50503">
      <w:pPr>
        <w:pStyle w:val="BodyText"/>
        <w:tabs>
          <w:tab w:val="left" w:pos="0"/>
        </w:tabs>
        <w:jc w:val="left"/>
      </w:pPr>
      <w:r>
        <w:t>2) når de anvendes indendørs i lukkede og overdækkede rum</w:t>
      </w:r>
    </w:p>
    <w:p w:rsidR="00073A3D" w:rsidRPr="00AB687C" w:rsidRDefault="00D50503" w:rsidP="002E197B">
      <w:pPr>
        <w:pStyle w:val="BodyText"/>
        <w:tabs>
          <w:tab w:val="left" w:pos="0"/>
        </w:tabs>
      </w:pPr>
      <w:r>
        <w:t xml:space="preserve">3) når de udfører flyvning i forsøgs-, prøvnings- eller kontroløjemed under omstændigheder, der er fastsat af ministeren med ansvar for civil luftfart </w:t>
      </w:r>
    </w:p>
    <w:p w:rsidR="00073A3D" w:rsidRPr="00AB687C" w:rsidRDefault="00BF6B0E">
      <w:pPr>
        <w:pStyle w:val="BodyText"/>
        <w:spacing w:after="0"/>
      </w:pPr>
      <w:r>
        <w:t>4) når de henhører under kategorierne af luftfartøjer anført i artikel L. 6100-1, stk. 2, i transportloven med forbehold for de bestemmelser, der finder anvendelse for militære luftfartøjer og luftfartøjer tilhørende staten og anvendt af toldvæsenet, offentlige sikkerhedstjenester og civilbeskyttelsesorganer</w:t>
      </w:r>
    </w:p>
    <w:p w:rsidR="00073A3D" w:rsidRPr="00AB687C" w:rsidRDefault="00073A3D">
      <w:pPr>
        <w:pStyle w:val="BodyText"/>
        <w:spacing w:after="0"/>
      </w:pPr>
    </w:p>
    <w:p w:rsidR="00073A3D" w:rsidRPr="00AB687C" w:rsidRDefault="00D50503">
      <w:pPr>
        <w:pStyle w:val="ListParagraph"/>
        <w:ind w:left="0"/>
        <w:jc w:val="both"/>
        <w:rPr>
          <w:color w:val="auto"/>
        </w:rPr>
      </w:pPr>
      <w:r>
        <w:rPr>
          <w:color w:val="auto"/>
        </w:rPr>
        <w:lastRenderedPageBreak/>
        <w:t>5) når de ikke tilhører kategorierne af luftfartøjer anført i artikel L. 6100-1, stk. 2, i transportloven, men benyttes i forbindelse med opgaver for toldvæsenet, politiet, i forbindelse med civilbeskyttelse eller med henblik på idriftsættelse af en teknik anført i titel V i bind VIII i loven om indre sikkerhed.".</w:t>
      </w:r>
    </w:p>
    <w:p w:rsidR="00073A3D" w:rsidRPr="00AB687C" w:rsidRDefault="00073A3D">
      <w:pPr>
        <w:pStyle w:val="BodyText"/>
        <w:tabs>
          <w:tab w:val="left" w:pos="0"/>
        </w:tabs>
        <w:jc w:val="left"/>
      </w:pPr>
    </w:p>
    <w:p w:rsidR="00073A3D" w:rsidRPr="00AB687C" w:rsidRDefault="00D50503">
      <w:pPr>
        <w:pStyle w:val="BodyText"/>
        <w:tabs>
          <w:tab w:val="left" w:pos="0"/>
        </w:tabs>
        <w:jc w:val="center"/>
        <w:rPr>
          <w:b/>
        </w:rPr>
      </w:pPr>
      <w:r>
        <w:rPr>
          <w:b/>
        </w:rPr>
        <w:t>Kapitel III Sanktioner</w:t>
      </w:r>
    </w:p>
    <w:p w:rsidR="00073A3D" w:rsidRPr="00AB687C" w:rsidRDefault="00073A3D">
      <w:pPr>
        <w:pStyle w:val="BodyText"/>
        <w:tabs>
          <w:tab w:val="left" w:pos="0"/>
        </w:tabs>
        <w:jc w:val="center"/>
        <w:rPr>
          <w:b/>
        </w:rPr>
      </w:pPr>
    </w:p>
    <w:p w:rsidR="00073A3D" w:rsidRPr="00AB687C" w:rsidRDefault="00D50503">
      <w:pPr>
        <w:jc w:val="center"/>
        <w:rPr>
          <w:rFonts w:eastAsia="Calibri"/>
          <w:b/>
        </w:rPr>
      </w:pPr>
      <w:r>
        <w:rPr>
          <w:b/>
        </w:rPr>
        <w:t>Artikel 4</w:t>
      </w:r>
    </w:p>
    <w:p w:rsidR="00073A3D" w:rsidRPr="00AB687C" w:rsidRDefault="00073A3D">
      <w:pPr>
        <w:jc w:val="center"/>
        <w:rPr>
          <w:rFonts w:eastAsia="Calibri"/>
          <w:b/>
        </w:rPr>
      </w:pPr>
    </w:p>
    <w:p w:rsidR="00073A3D" w:rsidRPr="00AB687C" w:rsidRDefault="00D50503">
      <w:pPr>
        <w:jc w:val="both"/>
        <w:rPr>
          <w:rFonts w:eastAsia="Calibri"/>
        </w:rPr>
      </w:pPr>
      <w:r>
        <w:t>I loven om posttjenester og elektronisk kommunikation indsættes i underafsnit 7 i afsnit 5, kapitel II, titel I, bind II i den forskriftsmæssige del (statsrådsdekreter (décrets en Conseil d'Etat)) en artikel R. 20-25-1 og artikel R. 20-25-2, der affattes således:</w:t>
      </w:r>
    </w:p>
    <w:p w:rsidR="00073A3D" w:rsidRPr="00AB687C" w:rsidRDefault="00073A3D">
      <w:pPr>
        <w:rPr>
          <w:rFonts w:eastAsia="Calibri"/>
        </w:rPr>
      </w:pPr>
    </w:p>
    <w:p w:rsidR="00073A3D" w:rsidRPr="00AB687C" w:rsidRDefault="00D50503">
      <w:r>
        <w:t>"</w:t>
      </w:r>
      <w:r>
        <w:rPr>
          <w:i/>
        </w:rPr>
        <w:t>Artikel R. 20-25-1.</w:t>
      </w:r>
      <w:r>
        <w:t xml:space="preserve"> Følgende straffes med bøde som fastsat for forseelser af fjerde klasse:</w:t>
      </w:r>
    </w:p>
    <w:p w:rsidR="00073A3D" w:rsidRPr="00AB687C" w:rsidRDefault="00073A3D">
      <w:pPr>
        <w:rPr>
          <w:i/>
        </w:rPr>
      </w:pPr>
    </w:p>
    <w:p w:rsidR="00073A3D" w:rsidRPr="00AB687C" w:rsidRDefault="00D50503">
      <w:pPr>
        <w:jc w:val="both"/>
      </w:pPr>
      <w:r>
        <w:t>1) I tilfælde, hvor en ejer af et ubemandet luftfartøj lader det flyve uden den elektroniske eller digitale signalanordning, der er anført i artikel L. 34-9-2, stk. 1, og i titel I i artikel R. 20-24-2, eller uden fungerende elektronisk eller digital signalanordning.</w:t>
      </w:r>
    </w:p>
    <w:p w:rsidR="00073A3D" w:rsidRPr="00AB687C" w:rsidRDefault="00073A3D"/>
    <w:p w:rsidR="00073A3D" w:rsidRPr="00AB687C" w:rsidRDefault="00D50503">
      <w:pPr>
        <w:jc w:val="both"/>
        <w:rPr>
          <w:rFonts w:eastAsia="Calibri"/>
        </w:rPr>
      </w:pPr>
      <w:r>
        <w:t>2) I tilfælde, hvor en ejer af et ubemandet luftfartøj lader det flyve uden den lyssignalanordning, der er anført i artikel L. 34-9-2, stk. 1, og i titel II i artikel R. 20-24-2, eller uden fungerende lyssignalanordning. ".</w:t>
      </w:r>
    </w:p>
    <w:p w:rsidR="00FA699A" w:rsidRPr="00AB687C" w:rsidRDefault="00FA699A">
      <w:pPr>
        <w:jc w:val="both"/>
        <w:rPr>
          <w:rFonts w:eastAsia="Calibri"/>
        </w:rPr>
      </w:pPr>
    </w:p>
    <w:p w:rsidR="00FA699A" w:rsidRPr="00AB687C" w:rsidRDefault="00FA699A" w:rsidP="00FA699A">
      <w:r>
        <w:t>"</w:t>
      </w:r>
      <w:r>
        <w:rPr>
          <w:i/>
        </w:rPr>
        <w:t>Artikel R. 20-25-2.</w:t>
      </w:r>
      <w:r>
        <w:t xml:space="preserve"> Følgende straffes med bøde som fastsat for forseelser af femte klasse:</w:t>
      </w:r>
    </w:p>
    <w:p w:rsidR="00FA699A" w:rsidRPr="00AB687C" w:rsidRDefault="00FA699A" w:rsidP="00FA699A">
      <w:pPr>
        <w:rPr>
          <w:i/>
        </w:rPr>
      </w:pPr>
    </w:p>
    <w:p w:rsidR="00FA699A" w:rsidRPr="00AB687C" w:rsidRDefault="00FA699A" w:rsidP="00FA699A">
      <w:pPr>
        <w:pStyle w:val="BodyText"/>
        <w:rPr>
          <w:rFonts w:ascii="Times New              Roman;se" w:eastAsia="Calibri" w:hAnsi="Times New              Roman;se"/>
        </w:rPr>
      </w:pPr>
      <w:r>
        <w:rPr>
          <w:rFonts w:ascii="Times New              Roman;se" w:hAnsi="Times New              Roman;se"/>
        </w:rPr>
        <w:t>Bevidst udsendelse af et elektronisk eller digitalt signal, som anført i artikel L. 34-9-2, stk. 1, der ikke svarer til en faktisk flyvning, der foregår, mens signalet udsendes fra luftfartøjet og stammer fra et ubemandet luftfartøj registreret i databasen anført i artikel XXX i transportloven. ".</w:t>
      </w:r>
    </w:p>
    <w:p w:rsidR="00073A3D" w:rsidRPr="00AB687C" w:rsidRDefault="00073A3D">
      <w:pPr>
        <w:jc w:val="center"/>
        <w:rPr>
          <w:rFonts w:eastAsia="Calibri"/>
          <w:b/>
        </w:rPr>
      </w:pPr>
    </w:p>
    <w:p w:rsidR="00073A3D" w:rsidRPr="00AB687C" w:rsidRDefault="00073A3D"/>
    <w:p w:rsidR="00073A3D" w:rsidRPr="00AB687C" w:rsidRDefault="00D50503">
      <w:pPr>
        <w:jc w:val="center"/>
        <w:rPr>
          <w:b/>
          <w:bCs/>
        </w:rPr>
      </w:pPr>
      <w:r>
        <w:rPr>
          <w:b/>
        </w:rPr>
        <w:t>Artikel 5</w:t>
      </w:r>
    </w:p>
    <w:p w:rsidR="00073A3D" w:rsidRPr="00AB687C" w:rsidRDefault="00073A3D"/>
    <w:p w:rsidR="00BE1E1D" w:rsidRPr="00AB687C" w:rsidRDefault="00D50503">
      <w:pPr>
        <w:pStyle w:val="BodyText"/>
        <w:rPr>
          <w:rFonts w:ascii="Times New              Roman;se" w:eastAsia="Calibri" w:hAnsi="Times New              Roman;se"/>
        </w:rPr>
      </w:pPr>
      <w:r>
        <w:rPr>
          <w:rFonts w:ascii="Times New              Roman;se" w:hAnsi="Times New              Roman;se"/>
        </w:rPr>
        <w:t>I artikel R.48-1, stk. 12, i strafferetsplejeloven indsættes efter ordene "i lov om civil luftfart" ordene "og i artikel R. 20-25-1 og artikel R. 20-25-2 i lov om posttjenester og elektronisk kommunikation. ".</w:t>
      </w:r>
    </w:p>
    <w:p w:rsidR="00073A3D" w:rsidRPr="00AB687C" w:rsidRDefault="00073A3D"/>
    <w:p w:rsidR="00073A3D" w:rsidRPr="00AB687C" w:rsidRDefault="00D50503">
      <w:pPr>
        <w:jc w:val="center"/>
        <w:rPr>
          <w:b/>
        </w:rPr>
      </w:pPr>
      <w:r>
        <w:rPr>
          <w:b/>
        </w:rPr>
        <w:t>Kapitel IV – Endelige bestemmelser</w:t>
      </w:r>
    </w:p>
    <w:p w:rsidR="00073A3D" w:rsidRPr="00AB687C" w:rsidRDefault="00073A3D">
      <w:pPr>
        <w:rPr>
          <w:b/>
        </w:rPr>
      </w:pPr>
    </w:p>
    <w:p w:rsidR="00073A3D" w:rsidRPr="00AB687C" w:rsidRDefault="00D50503">
      <w:pPr>
        <w:jc w:val="center"/>
        <w:rPr>
          <w:b/>
        </w:rPr>
      </w:pPr>
      <w:r>
        <w:rPr>
          <w:b/>
        </w:rPr>
        <w:t>Artikel 6</w:t>
      </w:r>
    </w:p>
    <w:p w:rsidR="00697687" w:rsidRPr="00AB687C" w:rsidRDefault="00697687">
      <w:pPr>
        <w:pStyle w:val="BodyText"/>
      </w:pPr>
    </w:p>
    <w:p w:rsidR="00073A3D" w:rsidRPr="00AB687C" w:rsidRDefault="00D50503">
      <w:pPr>
        <w:pStyle w:val="BodyText"/>
        <w:rPr>
          <w:b/>
        </w:rPr>
      </w:pPr>
      <w:r>
        <w:t>Bestemmelserne i nærværende dekret gælder i Fransk Polynesien, på Wallis og Futuna og i de franske besiddelser i det sydlige Indiske Ocean og Antarktis.</w:t>
      </w:r>
    </w:p>
    <w:p w:rsidR="00073A3D" w:rsidRPr="00AB687C" w:rsidRDefault="00073A3D">
      <w:pPr>
        <w:jc w:val="center"/>
        <w:rPr>
          <w:b/>
        </w:rPr>
      </w:pPr>
    </w:p>
    <w:p w:rsidR="00073A3D" w:rsidRPr="00AB687C" w:rsidRDefault="00D50503">
      <w:pPr>
        <w:pStyle w:val="BodyText"/>
        <w:jc w:val="center"/>
        <w:rPr>
          <w:b/>
        </w:rPr>
      </w:pPr>
      <w:r>
        <w:rPr>
          <w:b/>
        </w:rPr>
        <w:t>Artikel 7</w:t>
      </w:r>
    </w:p>
    <w:p w:rsidR="00073A3D" w:rsidRPr="0024286E" w:rsidRDefault="00D50503">
      <w:pPr>
        <w:pStyle w:val="SNAutorit"/>
        <w:spacing w:before="120" w:after="0"/>
        <w:ind w:firstLine="0"/>
        <w:jc w:val="both"/>
        <w:rPr>
          <w:b w:val="0"/>
        </w:rPr>
      </w:pPr>
      <w:r w:rsidRPr="0024286E">
        <w:rPr>
          <w:b w:val="0"/>
        </w:rPr>
        <w:t>Nærværende dekret træder i kraft dagen efter datoen for dets offentliggørelse med undtagelse af bestemmelserne i artikel R. 20-25-1 og artikel R. 20-25-2 i lov om posttjenester og elektronisk kommunikation, som træder i kraft den 1. januar 2019.</w:t>
      </w:r>
    </w:p>
    <w:p w:rsidR="00073A3D" w:rsidRPr="00AB687C" w:rsidRDefault="00D50503">
      <w:pPr>
        <w:pStyle w:val="SNArticle"/>
      </w:pPr>
      <w:r>
        <w:lastRenderedPageBreak/>
        <w:t>Artikel 8</w:t>
      </w:r>
    </w:p>
    <w:p w:rsidR="00073A3D" w:rsidRPr="00AB687C" w:rsidRDefault="00D50503">
      <w:pPr>
        <w:pStyle w:val="BodyText"/>
      </w:pPr>
      <w:r>
        <w:t xml:space="preserve">Viceministeren, indenrigsminister, viceministeren, minister for grøn og solidarisk omstilling, justitsministeren, økonomi- og finansministeren, ministeren for oversøiske departementer og områder og ministeren for grøn og solidarisk omstilling med ansvar for transport er hver især ansvarlige for gennemførelsen af nærværende dekret, som offentliggøres i </w:t>
      </w:r>
      <w:r>
        <w:rPr>
          <w:i/>
        </w:rPr>
        <w:t>Journal officiel</w:t>
      </w:r>
      <w:r>
        <w:t>, Den Franske Republiks statstidende.</w:t>
      </w:r>
    </w:p>
    <w:p w:rsidR="00073A3D" w:rsidRPr="00AB687C" w:rsidRDefault="00D50503">
      <w:pPr>
        <w:pStyle w:val="SNDate"/>
      </w:pPr>
      <w:r>
        <w:t>Udfærdiget den</w:t>
      </w:r>
    </w:p>
    <w:p w:rsidR="00073A3D" w:rsidRPr="00AB687C" w:rsidRDefault="00D50503">
      <w:pPr>
        <w:pStyle w:val="SNDate"/>
      </w:pPr>
      <w:r>
        <w:t>På premierministerens vegne:</w:t>
      </w:r>
    </w:p>
    <w:p w:rsidR="00073A3D" w:rsidRPr="00AB687C" w:rsidRDefault="00D50503">
      <w:pPr>
        <w:pStyle w:val="SNSignatureGauche"/>
      </w:pPr>
      <w:r>
        <w:t>Viceministeren, indenrigsminister</w:t>
      </w:r>
    </w:p>
    <w:p w:rsidR="00073A3D" w:rsidRPr="00AB687C" w:rsidRDefault="00D50503">
      <w:pPr>
        <w:pStyle w:val="SNSignatureprnomnomGauche"/>
        <w:rPr>
          <w:color w:val="auto"/>
        </w:rPr>
      </w:pPr>
      <w:r>
        <w:rPr>
          <w:color w:val="auto"/>
        </w:rPr>
        <w:t>Gérard COLLOMB</w:t>
      </w:r>
    </w:p>
    <w:p w:rsidR="00073A3D" w:rsidRPr="00AB687C" w:rsidRDefault="00D50503">
      <w:pPr>
        <w:pStyle w:val="SNSignatureDroite"/>
        <w:rPr>
          <w:color w:val="auto"/>
        </w:rPr>
      </w:pPr>
      <w:r>
        <w:rPr>
          <w:color w:val="auto"/>
        </w:rPr>
        <w:t>Ministeren for grøn og solidarisk omstilling,</w:t>
      </w:r>
    </w:p>
    <w:p w:rsidR="00073A3D" w:rsidRPr="00AB687C" w:rsidRDefault="00D50503">
      <w:pPr>
        <w:pStyle w:val="SNSignatureDroite"/>
        <w:rPr>
          <w:color w:val="auto"/>
        </w:rPr>
      </w:pPr>
      <w:r>
        <w:rPr>
          <w:color w:val="auto"/>
        </w:rPr>
        <w:t>Nicolas HULOT</w:t>
      </w:r>
    </w:p>
    <w:p w:rsidR="00000ECF" w:rsidRPr="00AB687C" w:rsidRDefault="00000ECF" w:rsidP="00697687">
      <w:pPr>
        <w:pStyle w:val="SNSignatureprnomnomDroite"/>
        <w:ind w:left="0"/>
        <w:jc w:val="left"/>
        <w:rPr>
          <w:color w:val="auto"/>
        </w:rPr>
      </w:pPr>
      <w:r>
        <w:rPr>
          <w:color w:val="auto"/>
        </w:rPr>
        <w:lastRenderedPageBreak/>
        <w:t>Justitsministeren</w:t>
      </w:r>
    </w:p>
    <w:p w:rsidR="00697687" w:rsidRPr="00AB687C" w:rsidRDefault="00697687" w:rsidP="00697687">
      <w:pPr>
        <w:pStyle w:val="SNSignatureprnomnomGauche"/>
        <w:tabs>
          <w:tab w:val="left" w:pos="9354"/>
        </w:tabs>
        <w:ind w:left="0"/>
        <w:rPr>
          <w:color w:val="auto"/>
        </w:rPr>
      </w:pPr>
    </w:p>
    <w:p w:rsidR="00697687" w:rsidRPr="00AB687C" w:rsidRDefault="00697687" w:rsidP="00697687">
      <w:pPr>
        <w:pStyle w:val="SNSignatureprnomnomGauche"/>
        <w:tabs>
          <w:tab w:val="left" w:pos="9354"/>
        </w:tabs>
        <w:ind w:left="0"/>
        <w:rPr>
          <w:color w:val="auto"/>
        </w:rPr>
      </w:pPr>
    </w:p>
    <w:p w:rsidR="00697687" w:rsidRPr="00AB687C" w:rsidRDefault="00697687" w:rsidP="00697687">
      <w:pPr>
        <w:pStyle w:val="SNSignatureprnomnomGauche"/>
        <w:tabs>
          <w:tab w:val="left" w:pos="9354"/>
        </w:tabs>
        <w:ind w:left="0"/>
        <w:rPr>
          <w:color w:val="auto"/>
        </w:rPr>
      </w:pPr>
    </w:p>
    <w:p w:rsidR="00D47282" w:rsidRPr="00AB687C" w:rsidRDefault="00000ECF" w:rsidP="00697687">
      <w:pPr>
        <w:pStyle w:val="SNSignatureprnomnomGauche"/>
        <w:tabs>
          <w:tab w:val="left" w:pos="9354"/>
        </w:tabs>
        <w:ind w:left="0"/>
        <w:rPr>
          <w:color w:val="auto"/>
        </w:rPr>
      </w:pPr>
      <w:r>
        <w:rPr>
          <w:color w:val="auto"/>
        </w:rPr>
        <w:t>Nicole BELLOUBET</w:t>
      </w:r>
    </w:p>
    <w:p w:rsidR="00697687" w:rsidRPr="00AB687C" w:rsidRDefault="00697687">
      <w:pPr>
        <w:pStyle w:val="SNSignatureGauche"/>
      </w:pPr>
    </w:p>
    <w:p w:rsidR="00073A3D" w:rsidRPr="00AB687C" w:rsidRDefault="00D50503">
      <w:pPr>
        <w:pStyle w:val="SNSignatureGauche"/>
      </w:pPr>
      <w:r>
        <w:t>Økonomi- og finansministeren</w:t>
      </w:r>
    </w:p>
    <w:p w:rsidR="00073A3D" w:rsidRPr="00AB687C" w:rsidRDefault="00D50503">
      <w:pPr>
        <w:pStyle w:val="SNSignatureGauche"/>
      </w:pPr>
      <w:r>
        <w:t>Bruno LEMAIRE</w:t>
      </w:r>
    </w:p>
    <w:p w:rsidR="00073A3D" w:rsidRPr="00AB687C" w:rsidRDefault="00F54C64" w:rsidP="002E197B">
      <w:pPr>
        <w:pStyle w:val="SNSignatureprnomnomGauche"/>
        <w:tabs>
          <w:tab w:val="left" w:pos="5812"/>
          <w:tab w:val="left" w:pos="6237"/>
          <w:tab w:val="left" w:pos="6379"/>
          <w:tab w:val="left" w:pos="7230"/>
          <w:tab w:val="left" w:pos="7797"/>
          <w:tab w:val="left" w:pos="8364"/>
        </w:tabs>
        <w:ind w:left="0" w:right="0"/>
        <w:jc w:val="right"/>
        <w:rPr>
          <w:color w:val="auto"/>
        </w:rPr>
      </w:pPr>
      <w:r>
        <w:rPr>
          <w:color w:val="auto"/>
        </w:rPr>
        <w:t>Ministeren for oversøiske departementer og områder</w:t>
      </w:r>
    </w:p>
    <w:p w:rsidR="00073A3D" w:rsidRPr="00AB687C" w:rsidRDefault="00073A3D">
      <w:pPr>
        <w:pStyle w:val="SNSignatureGauche"/>
        <w:tabs>
          <w:tab w:val="left" w:pos="8222"/>
        </w:tabs>
      </w:pPr>
    </w:p>
    <w:p w:rsidR="00073A3D" w:rsidRPr="00AB687C" w:rsidRDefault="00D50503" w:rsidP="002E197B">
      <w:pPr>
        <w:pStyle w:val="SNSignatureGauche"/>
        <w:tabs>
          <w:tab w:val="left" w:pos="8222"/>
        </w:tabs>
        <w:ind w:left="0" w:right="0"/>
        <w:jc w:val="right"/>
      </w:pPr>
      <w:r>
        <w:t>Annick GIRARDIN</w:t>
      </w:r>
    </w:p>
    <w:p w:rsidR="00073A3D" w:rsidRPr="00AB687C" w:rsidRDefault="00D50503">
      <w:pPr>
        <w:pStyle w:val="SNSignatureGauche"/>
      </w:pPr>
      <w:r>
        <w:t>Minister under viceministeren, minister for grøn og solidarisk omstilling med ansvar for transport</w:t>
      </w:r>
    </w:p>
    <w:p w:rsidR="00073A3D" w:rsidRPr="00AB687C" w:rsidRDefault="00D50503">
      <w:pPr>
        <w:pStyle w:val="SNSignatureGauche"/>
      </w:pPr>
      <w:r>
        <w:lastRenderedPageBreak/>
        <w:t>Elisabeth BORNE</w:t>
      </w:r>
    </w:p>
    <w:sectPr w:rsidR="00073A3D" w:rsidRPr="00AB687C" w:rsidSect="0014705D">
      <w:pgSz w:w="11906" w:h="16838"/>
      <w:pgMar w:top="1134" w:right="1418" w:bottom="1418" w:left="1134"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9DB" w:rsidRDefault="004929DB" w:rsidP="00660ECB">
      <w:r>
        <w:separator/>
      </w:r>
    </w:p>
  </w:endnote>
  <w:endnote w:type="continuationSeparator" w:id="0">
    <w:p w:rsidR="004929DB" w:rsidRDefault="004929DB" w:rsidP="00660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sig w:usb0="00000000" w:usb1="500078FF" w:usb2="00000021" w:usb3="00000000" w:csb0="000001B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Liberation Sans">
    <w:charset w:val="00"/>
    <w:family w:val="swiss"/>
    <w:pitch w:val="variable"/>
    <w:sig w:usb0="E0000AFF" w:usb1="500078FF" w:usb2="00000021" w:usb3="00000000" w:csb0="000001BF" w:csb1="00000000"/>
  </w:font>
  <w:font w:name="WenQuanYi Micro Hei">
    <w:altName w:val="Times New Roman"/>
    <w:panose1 w:val="00000000000000000000"/>
    <w:charset w:val="00"/>
    <w:family w:val="roman"/>
    <w:notTrueType/>
    <w:pitch w:val="default"/>
  </w:font>
  <w:font w:name="Lucida Sans">
    <w:altName w:val="Lucida Sans Unicode"/>
    <w:panose1 w:val="020B0602030504020204"/>
    <w:charset w:val="00"/>
    <w:family w:val="swiss"/>
    <w:pitch w:val="variable"/>
    <w:sig w:usb0="00000003" w:usb1="00000000" w:usb2="00000000" w:usb3="00000000" w:csb0="00000001" w:csb1="00000000"/>
  </w:font>
  <w:font w:name="微软雅黑">
    <w:altName w:val="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Times New              Roman;se">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9DB" w:rsidRDefault="004929DB" w:rsidP="00660ECB">
      <w:r>
        <w:separator/>
      </w:r>
    </w:p>
  </w:footnote>
  <w:footnote w:type="continuationSeparator" w:id="0">
    <w:p w:rsidR="004929DB" w:rsidRDefault="004929DB" w:rsidP="00660E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CB47FD"/>
    <w:multiLevelType w:val="multilevel"/>
    <w:tmpl w:val="CF72BE8C"/>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A3D"/>
    <w:rsid w:val="00000ECF"/>
    <w:rsid w:val="000448F5"/>
    <w:rsid w:val="00073A3D"/>
    <w:rsid w:val="0014705D"/>
    <w:rsid w:val="0024286E"/>
    <w:rsid w:val="002E197B"/>
    <w:rsid w:val="00311055"/>
    <w:rsid w:val="003723F5"/>
    <w:rsid w:val="00397D5C"/>
    <w:rsid w:val="003B26B1"/>
    <w:rsid w:val="003D3349"/>
    <w:rsid w:val="003D5A5C"/>
    <w:rsid w:val="003F769D"/>
    <w:rsid w:val="004929DB"/>
    <w:rsid w:val="004D1C2C"/>
    <w:rsid w:val="005527AE"/>
    <w:rsid w:val="005B52DC"/>
    <w:rsid w:val="005B6BF3"/>
    <w:rsid w:val="005F3DB6"/>
    <w:rsid w:val="00660ECB"/>
    <w:rsid w:val="006732B4"/>
    <w:rsid w:val="00697687"/>
    <w:rsid w:val="007243F7"/>
    <w:rsid w:val="0082741D"/>
    <w:rsid w:val="008E4588"/>
    <w:rsid w:val="009A32C8"/>
    <w:rsid w:val="009A4C69"/>
    <w:rsid w:val="00AB687C"/>
    <w:rsid w:val="00AD7A1C"/>
    <w:rsid w:val="00B73D02"/>
    <w:rsid w:val="00BE1E1D"/>
    <w:rsid w:val="00BF6B0E"/>
    <w:rsid w:val="00D47282"/>
    <w:rsid w:val="00D50503"/>
    <w:rsid w:val="00F54C64"/>
    <w:rsid w:val="00FA699A"/>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0091A1-2551-4387-B50D-0FFD85107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Fallback" w:hAnsi="Liberation Serif" w:cs="FreeSans"/>
        <w:szCs w:val="24"/>
        <w:lang w:val="da-DK" w:eastAsia="da-DK" w:bidi="da-DK"/>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imes New Roman" w:eastAsia="Times New Roman" w:hAnsi="Times New Roman" w:cs="Times New Roman"/>
      <w:sz w:val="24"/>
    </w:rPr>
  </w:style>
  <w:style w:type="paragraph" w:styleId="Heading1">
    <w:name w:val="heading 1"/>
    <w:basedOn w:val="Normal"/>
    <w:next w:val="Normal"/>
    <w:qFormat/>
    <w:pPr>
      <w:keepNext/>
      <w:numPr>
        <w:numId w:val="1"/>
      </w:numPr>
      <w:spacing w:before="240"/>
      <w:jc w:val="center"/>
      <w:outlineLvl w:val="0"/>
    </w:pPr>
    <w:rPr>
      <w:rFonts w:cs="Arial"/>
      <w:bCs/>
      <w:caps/>
    </w:rPr>
  </w:style>
  <w:style w:type="paragraph" w:styleId="Heading2">
    <w:name w:val="heading 2"/>
    <w:basedOn w:val="Normal"/>
    <w:next w:val="Normal"/>
    <w:qFormat/>
    <w:pPr>
      <w:keepNext/>
      <w:numPr>
        <w:ilvl w:val="1"/>
        <w:numId w:val="1"/>
      </w:numPr>
      <w:spacing w:before="240"/>
      <w:jc w:val="center"/>
      <w:outlineLvl w:val="1"/>
    </w:pPr>
    <w:rPr>
      <w:bCs/>
      <w:iCs/>
      <w:smallCaps/>
    </w:rPr>
  </w:style>
  <w:style w:type="paragraph" w:styleId="Heading3">
    <w:name w:val="heading 3"/>
    <w:basedOn w:val="Normal"/>
    <w:next w:val="Normal"/>
    <w:qFormat/>
    <w:pPr>
      <w:keepNext/>
      <w:numPr>
        <w:ilvl w:val="2"/>
        <w:numId w:val="1"/>
      </w:numPr>
      <w:spacing w:before="120"/>
      <w:jc w:val="center"/>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3z0">
    <w:name w:val="WW8Num3z0"/>
    <w:qFormat/>
  </w:style>
  <w:style w:type="character" w:customStyle="1" w:styleId="WW8Num4z0">
    <w:name w:val="WW8Num4z0"/>
    <w:qFormat/>
  </w:style>
  <w:style w:type="character" w:customStyle="1" w:styleId="WW8Num5z0">
    <w:name w:val="WW8Num5z0"/>
    <w:qFormat/>
    <w:rPr>
      <w:rFonts w:ascii="Symbol" w:hAnsi="Symbol" w:cs="Symbol"/>
    </w:rPr>
  </w:style>
  <w:style w:type="character" w:customStyle="1" w:styleId="WW8Num6z0">
    <w:name w:val="WW8Num6z0"/>
    <w:qFormat/>
    <w:rPr>
      <w:rFonts w:ascii="Symbol" w:hAnsi="Symbol" w:cs="Symbol"/>
    </w:rPr>
  </w:style>
  <w:style w:type="character" w:customStyle="1" w:styleId="WW8Num7z0">
    <w:name w:val="WW8Num7z0"/>
    <w:qFormat/>
    <w:rPr>
      <w:rFonts w:ascii="Symbol" w:hAnsi="Symbol" w:cs="Symbol"/>
    </w:rPr>
  </w:style>
  <w:style w:type="character" w:customStyle="1" w:styleId="WW8Num8z0">
    <w:name w:val="WW8Num8z0"/>
    <w:qFormat/>
    <w:rPr>
      <w:rFonts w:ascii="Symbol" w:hAnsi="Symbol" w:cs="Symbol"/>
    </w:rPr>
  </w:style>
  <w:style w:type="character" w:customStyle="1" w:styleId="WW8Num9z0">
    <w:name w:val="WW8Num9z0"/>
    <w:qFormat/>
  </w:style>
  <w:style w:type="character" w:customStyle="1" w:styleId="WW8Num10z0">
    <w:name w:val="WW8Num10z0"/>
    <w:qFormat/>
    <w:rPr>
      <w:rFonts w:ascii="Symbol" w:hAnsi="Symbol" w:cs="Symbol"/>
    </w:rPr>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Policepardfaut1">
    <w:name w:val="Police par défaut1"/>
    <w:qFormat/>
  </w:style>
  <w:style w:type="character" w:customStyle="1" w:styleId="SNTimbreCar">
    <w:name w:val="SNTimbre Car"/>
    <w:qFormat/>
    <w:rPr>
      <w:rFonts w:eastAsia="Lucida Sans Unicode"/>
      <w:sz w:val="24"/>
      <w:szCs w:val="24"/>
      <w:lang w:val="da-DK" w:bidi="da-DK"/>
    </w:rPr>
  </w:style>
  <w:style w:type="character" w:customStyle="1" w:styleId="SNDateCar">
    <w:name w:val="SNDate Car"/>
    <w:qFormat/>
    <w:rPr>
      <w:sz w:val="24"/>
      <w:szCs w:val="24"/>
      <w:lang w:val="da-DK" w:bidi="da-DK"/>
    </w:rPr>
  </w:style>
  <w:style w:type="character" w:customStyle="1" w:styleId="SNArticleCar">
    <w:name w:val="SNArticle Car"/>
    <w:qFormat/>
    <w:rPr>
      <w:b/>
      <w:sz w:val="24"/>
      <w:szCs w:val="24"/>
      <w:lang w:val="da-DK" w:bidi="da-DK"/>
    </w:rPr>
  </w:style>
  <w:style w:type="character" w:customStyle="1" w:styleId="SNenProjet">
    <w:name w:val="SNenProjet"/>
    <w:basedOn w:val="Policepardfaut1"/>
    <w:qFormat/>
  </w:style>
  <w:style w:type="character" w:customStyle="1" w:styleId="Marquedecommentaire1">
    <w:name w:val="Marque de commentaire1"/>
    <w:qFormat/>
    <w:rPr>
      <w:sz w:val="16"/>
      <w:szCs w:val="16"/>
    </w:rPr>
  </w:style>
  <w:style w:type="character" w:customStyle="1" w:styleId="CommentaireCar">
    <w:name w:val="Commentaire Car"/>
    <w:basedOn w:val="Policepardfaut1"/>
    <w:qFormat/>
  </w:style>
  <w:style w:type="character" w:customStyle="1" w:styleId="ObjetducommentaireCar">
    <w:name w:val="Objet du commentaire Car"/>
    <w:qFormat/>
    <w:rPr>
      <w:b/>
      <w:bCs/>
    </w:rPr>
  </w:style>
  <w:style w:type="character" w:customStyle="1" w:styleId="TextebrutCar">
    <w:name w:val="Texte brut Car"/>
    <w:qFormat/>
    <w:rPr>
      <w:rFonts w:ascii="Calibri" w:eastAsia="Calibri" w:hAnsi="Calibri" w:cs="Calibri"/>
      <w:color w:val="000000"/>
      <w:sz w:val="22"/>
      <w:szCs w:val="22"/>
    </w:rPr>
  </w:style>
  <w:style w:type="character" w:styleId="CommentReference">
    <w:name w:val="annotation reference"/>
    <w:qFormat/>
    <w:rPr>
      <w:sz w:val="16"/>
      <w:szCs w:val="16"/>
    </w:rPr>
  </w:style>
  <w:style w:type="character" w:customStyle="1" w:styleId="CommentaireCar1">
    <w:name w:val="Commentaire Car1"/>
    <w:qFormat/>
    <w:rPr>
      <w:lang w:eastAsia="da-DK"/>
    </w:rPr>
  </w:style>
  <w:style w:type="paragraph" w:styleId="Title">
    <w:name w:val="Title"/>
    <w:basedOn w:val="Normal"/>
    <w:next w:val="BodyText"/>
    <w:qFormat/>
    <w:pPr>
      <w:keepNext/>
      <w:spacing w:before="240" w:after="120"/>
    </w:pPr>
    <w:rPr>
      <w:rFonts w:ascii="Liberation Sans" w:eastAsia="WenQuanYi Micro Hei" w:hAnsi="Liberation Sans" w:cs="FreeSans"/>
      <w:sz w:val="28"/>
      <w:szCs w:val="28"/>
    </w:rPr>
  </w:style>
  <w:style w:type="paragraph" w:styleId="BodyText">
    <w:name w:val="Body Text"/>
    <w:basedOn w:val="Normal"/>
    <w:pPr>
      <w:spacing w:after="120"/>
      <w:jc w:val="both"/>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Titre1">
    <w:name w:val="Titre1"/>
    <w:basedOn w:val="Normal"/>
    <w:next w:val="BodyText"/>
    <w:qFormat/>
    <w:pPr>
      <w:keepNext/>
      <w:spacing w:before="240" w:after="120"/>
    </w:pPr>
    <w:rPr>
      <w:rFonts w:ascii="Liberation Sans" w:eastAsia="微软雅黑" w:hAnsi="Liberation Sans" w:cs="Lucida Sans"/>
      <w:sz w:val="28"/>
      <w:szCs w:val="28"/>
    </w:rPr>
  </w:style>
  <w:style w:type="paragraph" w:customStyle="1" w:styleId="SNREPUBLIQUE">
    <w:name w:val="SNREPUBLIQUE"/>
    <w:basedOn w:val="Normal"/>
    <w:qFormat/>
    <w:pPr>
      <w:jc w:val="center"/>
    </w:pPr>
    <w:rPr>
      <w:b/>
      <w:bCs/>
      <w:szCs w:val="20"/>
    </w:rPr>
  </w:style>
  <w:style w:type="paragraph" w:customStyle="1" w:styleId="puce1">
    <w:name w:val="puce1"/>
    <w:basedOn w:val="Normal"/>
    <w:qFormat/>
    <w:pPr>
      <w:widowControl w:val="0"/>
      <w:tabs>
        <w:tab w:val="left" w:pos="1429"/>
      </w:tabs>
      <w:spacing w:before="240"/>
      <w:ind w:left="1429" w:hanging="360"/>
    </w:pPr>
    <w:rPr>
      <w:rFonts w:eastAsia="Lucida Sans Unicode"/>
    </w:rPr>
  </w:style>
  <w:style w:type="paragraph" w:customStyle="1" w:styleId="puce2">
    <w:name w:val="puce2"/>
    <w:basedOn w:val="Normal"/>
    <w:qFormat/>
    <w:pPr>
      <w:widowControl w:val="0"/>
      <w:tabs>
        <w:tab w:val="left" w:pos="2149"/>
      </w:tabs>
      <w:spacing w:before="240"/>
      <w:ind w:left="2149" w:hanging="360"/>
    </w:pPr>
    <w:rPr>
      <w:rFonts w:eastAsia="Lucida Sans Unicode"/>
    </w:rPr>
  </w:style>
  <w:style w:type="paragraph" w:customStyle="1" w:styleId="puce3">
    <w:name w:val="puce3"/>
    <w:basedOn w:val="Normal"/>
    <w:qFormat/>
    <w:pPr>
      <w:widowControl w:val="0"/>
      <w:tabs>
        <w:tab w:val="left" w:pos="2869"/>
      </w:tabs>
      <w:spacing w:before="240"/>
      <w:ind w:left="2869" w:hanging="360"/>
    </w:pPr>
    <w:rPr>
      <w:rFonts w:eastAsia="Lucida Sans Unicode"/>
    </w:rPr>
  </w:style>
  <w:style w:type="paragraph" w:customStyle="1" w:styleId="num1">
    <w:name w:val="num1"/>
    <w:basedOn w:val="Normal"/>
    <w:qFormat/>
    <w:pPr>
      <w:widowControl w:val="0"/>
      <w:tabs>
        <w:tab w:val="left" w:pos="1429"/>
      </w:tabs>
      <w:spacing w:before="240"/>
      <w:ind w:left="1429" w:hanging="360"/>
    </w:pPr>
    <w:rPr>
      <w:rFonts w:eastAsia="Lucida Sans Unicode"/>
    </w:rPr>
  </w:style>
  <w:style w:type="paragraph" w:customStyle="1" w:styleId="num2">
    <w:name w:val="num2"/>
    <w:basedOn w:val="Normal"/>
    <w:qFormat/>
    <w:pPr>
      <w:widowControl w:val="0"/>
      <w:tabs>
        <w:tab w:val="left" w:pos="2149"/>
      </w:tabs>
      <w:spacing w:before="240"/>
      <w:ind w:left="2149" w:hanging="360"/>
    </w:pPr>
    <w:rPr>
      <w:rFonts w:eastAsia="Lucida Sans Unicode"/>
    </w:rPr>
  </w:style>
  <w:style w:type="paragraph" w:customStyle="1" w:styleId="num3">
    <w:name w:val="num3"/>
    <w:basedOn w:val="Normal"/>
    <w:qFormat/>
    <w:pPr>
      <w:widowControl w:val="0"/>
      <w:tabs>
        <w:tab w:val="left" w:pos="2869"/>
      </w:tabs>
      <w:spacing w:before="240"/>
      <w:ind w:left="2869" w:hanging="180"/>
    </w:pPr>
    <w:rPr>
      <w:rFonts w:eastAsia="Lucida Sans Unicode"/>
    </w:rPr>
  </w:style>
  <w:style w:type="paragraph" w:customStyle="1" w:styleId="SNConsultation">
    <w:name w:val="SNConsultation"/>
    <w:basedOn w:val="Normal"/>
    <w:qFormat/>
    <w:pPr>
      <w:widowControl w:val="0"/>
      <w:spacing w:before="120" w:after="120"/>
      <w:ind w:firstLine="709"/>
      <w:jc w:val="both"/>
    </w:pPr>
    <w:rPr>
      <w:rFonts w:eastAsia="Lucida Sans Unicode"/>
    </w:rPr>
  </w:style>
  <w:style w:type="paragraph" w:customStyle="1" w:styleId="SNNature">
    <w:name w:val="SNNature"/>
    <w:basedOn w:val="Normal"/>
    <w:next w:val="SNtitre"/>
    <w:qFormat/>
    <w:pPr>
      <w:widowControl w:val="0"/>
      <w:suppressLineNumbers/>
      <w:spacing w:before="720" w:after="120"/>
      <w:jc w:val="center"/>
    </w:pPr>
    <w:rPr>
      <w:rFonts w:eastAsia="Lucida Sans Unicode"/>
      <w:b/>
      <w:bCs/>
    </w:rPr>
  </w:style>
  <w:style w:type="paragraph" w:customStyle="1" w:styleId="SNtitre">
    <w:name w:val="SNtitre"/>
    <w:basedOn w:val="Normal"/>
    <w:next w:val="SNNORCentr"/>
    <w:qFormat/>
    <w:pPr>
      <w:widowControl w:val="0"/>
      <w:suppressLineNumbers/>
      <w:spacing w:after="360"/>
      <w:jc w:val="center"/>
    </w:pPr>
    <w:rPr>
      <w:rFonts w:eastAsia="Lucida Sans Unicode"/>
      <w:b/>
    </w:rPr>
  </w:style>
  <w:style w:type="paragraph" w:customStyle="1" w:styleId="SNNORCentr">
    <w:name w:val="SNNOR+Centré"/>
    <w:next w:val="SNAutorit"/>
    <w:qFormat/>
    <w:pPr>
      <w:suppressAutoHyphens/>
      <w:jc w:val="center"/>
    </w:pPr>
    <w:rPr>
      <w:rFonts w:ascii="Times New Roman" w:eastAsia="Times New Roman" w:hAnsi="Times New Roman" w:cs="Times New Roman"/>
      <w:bCs/>
      <w:sz w:val="24"/>
      <w:szCs w:val="20"/>
    </w:rPr>
  </w:style>
  <w:style w:type="paragraph" w:customStyle="1" w:styleId="SNAutorit">
    <w:name w:val="SNAutorité"/>
    <w:basedOn w:val="Normal"/>
    <w:qFormat/>
    <w:pPr>
      <w:spacing w:before="720" w:after="240"/>
      <w:ind w:firstLine="720"/>
    </w:pPr>
    <w:rPr>
      <w:b/>
    </w:rPr>
  </w:style>
  <w:style w:type="paragraph" w:customStyle="1" w:styleId="SNSignatureDroite">
    <w:name w:val="SNSignatureDroite"/>
    <w:basedOn w:val="Normal"/>
    <w:next w:val="SNSignatureprnomnomDroite"/>
    <w:qFormat/>
    <w:pPr>
      <w:spacing w:before="120" w:after="1680"/>
      <w:ind w:left="5040"/>
      <w:jc w:val="right"/>
    </w:pPr>
    <w:rPr>
      <w:color w:val="000000"/>
    </w:rPr>
  </w:style>
  <w:style w:type="paragraph" w:customStyle="1" w:styleId="SNSignatureprnomnomDroite">
    <w:name w:val="SNSignature prénom+nom Droite"/>
    <w:basedOn w:val="SNSignatureDroite"/>
    <w:next w:val="SNSignatureGauche"/>
    <w:qFormat/>
    <w:pPr>
      <w:spacing w:after="120"/>
      <w:ind w:left="5041"/>
    </w:pPr>
  </w:style>
  <w:style w:type="paragraph" w:customStyle="1" w:styleId="SNSignatureGauche">
    <w:name w:val="SNSignatureGauche"/>
    <w:basedOn w:val="Normal"/>
    <w:next w:val="SNSignatureprnomnomGauche"/>
    <w:qFormat/>
    <w:pPr>
      <w:spacing w:before="120" w:after="1680"/>
      <w:ind w:left="720" w:right="4494"/>
    </w:pPr>
  </w:style>
  <w:style w:type="paragraph" w:customStyle="1" w:styleId="SNSignatureprnomnomGauche">
    <w:name w:val="SNSignature prénom+nom Gauche"/>
    <w:basedOn w:val="SNSignatureGauche"/>
    <w:next w:val="SNSignatureDroite"/>
    <w:qFormat/>
    <w:pPr>
      <w:spacing w:after="120"/>
    </w:pPr>
    <w:rPr>
      <w:color w:val="000000"/>
    </w:rPr>
  </w:style>
  <w:style w:type="paragraph" w:customStyle="1" w:styleId="SNTimbre">
    <w:name w:val="SNTimbre"/>
    <w:basedOn w:val="Normal"/>
    <w:qFormat/>
    <w:pPr>
      <w:widowControl w:val="0"/>
      <w:snapToGrid w:val="0"/>
      <w:spacing w:before="120"/>
      <w:jc w:val="center"/>
    </w:pPr>
    <w:rPr>
      <w:rFonts w:eastAsia="Lucida Sans Unicode"/>
    </w:rPr>
  </w:style>
  <w:style w:type="paragraph" w:customStyle="1" w:styleId="SNRapport">
    <w:name w:val="SNRapport"/>
    <w:basedOn w:val="Normal"/>
    <w:qFormat/>
    <w:pPr>
      <w:spacing w:before="240" w:after="120"/>
      <w:ind w:firstLine="720"/>
    </w:pPr>
  </w:style>
  <w:style w:type="paragraph" w:customStyle="1" w:styleId="SNVisa">
    <w:name w:val="SNVisa"/>
    <w:basedOn w:val="Normal"/>
    <w:qFormat/>
    <w:pPr>
      <w:spacing w:before="120" w:after="120"/>
      <w:ind w:firstLine="720"/>
    </w:pPr>
  </w:style>
  <w:style w:type="paragraph" w:customStyle="1" w:styleId="SNDate">
    <w:name w:val="SNDate"/>
    <w:basedOn w:val="Normal"/>
    <w:next w:val="SNContreseing"/>
    <w:qFormat/>
    <w:pPr>
      <w:spacing w:before="480" w:after="2760"/>
      <w:ind w:firstLine="720"/>
    </w:pPr>
  </w:style>
  <w:style w:type="paragraph" w:customStyle="1" w:styleId="SNContreseing">
    <w:name w:val="SNContreseing"/>
    <w:basedOn w:val="Normal"/>
    <w:next w:val="SNSignatureGauche"/>
    <w:qFormat/>
    <w:pPr>
      <w:spacing w:before="480"/>
      <w:ind w:firstLine="720"/>
    </w:pPr>
  </w:style>
  <w:style w:type="paragraph" w:customStyle="1" w:styleId="SNActe">
    <w:name w:val="SNActe"/>
    <w:basedOn w:val="Normal"/>
    <w:qFormat/>
    <w:pPr>
      <w:spacing w:before="480" w:after="360"/>
      <w:jc w:val="center"/>
    </w:pPr>
    <w:rPr>
      <w:b/>
    </w:rPr>
  </w:style>
  <w:style w:type="paragraph" w:customStyle="1" w:styleId="SNArticle">
    <w:name w:val="SNArticle"/>
    <w:basedOn w:val="Normal"/>
    <w:next w:val="BodyText"/>
    <w:qFormat/>
    <w:pPr>
      <w:spacing w:before="240" w:after="240"/>
      <w:jc w:val="center"/>
    </w:pPr>
    <w:rPr>
      <w:b/>
    </w:rPr>
  </w:style>
  <w:style w:type="paragraph" w:customStyle="1" w:styleId="SNConsidrant">
    <w:name w:val="SNConsidérant"/>
    <w:basedOn w:val="Normal"/>
    <w:qFormat/>
    <w:pPr>
      <w:ind w:firstLine="720"/>
    </w:pPr>
  </w:style>
  <w:style w:type="paragraph" w:customStyle="1" w:styleId="SNConsultationCE">
    <w:name w:val="SNConsultationCE"/>
    <w:basedOn w:val="SNConsultation"/>
    <w:qFormat/>
  </w:style>
  <w:style w:type="paragraph" w:customStyle="1" w:styleId="SNConsultationCM">
    <w:name w:val="SNConsultationCM"/>
    <w:basedOn w:val="SNConsultation"/>
    <w:qFormat/>
  </w:style>
  <w:style w:type="paragraph" w:customStyle="1" w:styleId="SNDirection">
    <w:name w:val="SNDirection"/>
    <w:basedOn w:val="Normal"/>
    <w:qFormat/>
    <w:pPr>
      <w:spacing w:before="720"/>
      <w:jc w:val="center"/>
    </w:pPr>
    <w:rPr>
      <w:b/>
    </w:rPr>
  </w:style>
  <w:style w:type="paragraph" w:customStyle="1" w:styleId="SNListePrincipale">
    <w:name w:val="SNListePrincipale"/>
    <w:basedOn w:val="Normal"/>
    <w:qFormat/>
  </w:style>
  <w:style w:type="paragraph" w:customStyle="1" w:styleId="SNIntitul">
    <w:name w:val="SNIntitulé"/>
    <w:basedOn w:val="Normal"/>
    <w:qFormat/>
    <w:pPr>
      <w:jc w:val="center"/>
    </w:pPr>
  </w:style>
  <w:style w:type="paragraph" w:customStyle="1" w:styleId="SNTitreRapport">
    <w:name w:val="SNTitreRapport"/>
    <w:basedOn w:val="SNActe"/>
    <w:qFormat/>
  </w:style>
  <w:style w:type="paragraph" w:customStyle="1" w:styleId="SNExcution">
    <w:name w:val="SNExécution"/>
    <w:basedOn w:val="Normal"/>
    <w:qFormat/>
  </w:style>
  <w:style w:type="paragraph" w:customStyle="1" w:styleId="SNAdoption">
    <w:name w:val="SNAdoption"/>
    <w:basedOn w:val="Normal"/>
    <w:qFormat/>
  </w:style>
  <w:style w:type="paragraph" w:customStyle="1" w:styleId="SNLibell">
    <w:name w:val="SNLibellé"/>
    <w:basedOn w:val="Normal"/>
    <w:qFormat/>
  </w:style>
  <w:style w:type="paragraph" w:styleId="BalloonText">
    <w:name w:val="Balloon Text"/>
    <w:basedOn w:val="Normal"/>
    <w:qFormat/>
    <w:rPr>
      <w:rFonts w:ascii="Tahoma" w:hAnsi="Tahoma" w:cs="Tahoma"/>
      <w:sz w:val="16"/>
      <w:szCs w:val="16"/>
    </w:rPr>
  </w:style>
  <w:style w:type="paragraph" w:customStyle="1" w:styleId="Titre1objet">
    <w:name w:val="Titre 1 objet"/>
    <w:basedOn w:val="Heading1"/>
    <w:qFormat/>
    <w:pPr>
      <w:numPr>
        <w:numId w:val="0"/>
      </w:numPr>
      <w:spacing w:before="0" w:after="120"/>
    </w:pPr>
    <w:rPr>
      <w:b/>
    </w:rPr>
  </w:style>
  <w:style w:type="paragraph" w:customStyle="1" w:styleId="Titre2objet">
    <w:name w:val="Titre 2 objet"/>
    <w:basedOn w:val="Heading2"/>
    <w:next w:val="Normal"/>
    <w:qFormat/>
    <w:pPr>
      <w:numPr>
        <w:ilvl w:val="0"/>
        <w:numId w:val="0"/>
      </w:numPr>
      <w:spacing w:before="0" w:after="120"/>
    </w:pPr>
    <w:rPr>
      <w:b/>
    </w:rPr>
  </w:style>
  <w:style w:type="paragraph" w:customStyle="1" w:styleId="titre3objet">
    <w:name w:val="titre 3 objet"/>
    <w:basedOn w:val="Heading3"/>
    <w:next w:val="Normal"/>
    <w:qFormat/>
    <w:pPr>
      <w:numPr>
        <w:ilvl w:val="0"/>
        <w:numId w:val="0"/>
      </w:numPr>
      <w:spacing w:before="0" w:after="120"/>
    </w:pPr>
    <w:rPr>
      <w:b/>
    </w:rPr>
  </w:style>
  <w:style w:type="paragraph" w:customStyle="1" w:styleId="Commentaire1">
    <w:name w:val="Commentaire1"/>
    <w:basedOn w:val="Normal"/>
    <w:qFormat/>
    <w:rPr>
      <w:sz w:val="20"/>
      <w:szCs w:val="20"/>
    </w:rPr>
  </w:style>
  <w:style w:type="paragraph" w:styleId="CommentSubject">
    <w:name w:val="annotation subject"/>
    <w:basedOn w:val="Commentaire1"/>
    <w:next w:val="Commentaire1"/>
    <w:qFormat/>
    <w:rPr>
      <w:b/>
      <w:bCs/>
    </w:rPr>
  </w:style>
  <w:style w:type="paragraph" w:customStyle="1" w:styleId="Textebrut1">
    <w:name w:val="Texte brut1"/>
    <w:basedOn w:val="Normal"/>
    <w:qFormat/>
    <w:rPr>
      <w:rFonts w:ascii="Calibri" w:eastAsia="Calibri" w:hAnsi="Calibri" w:cs="Calibri"/>
      <w:color w:val="000000"/>
      <w:sz w:val="22"/>
      <w:szCs w:val="22"/>
    </w:r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styleId="CommentText">
    <w:name w:val="annotation text"/>
    <w:basedOn w:val="Normal"/>
    <w:qFormat/>
    <w:rPr>
      <w:sz w:val="20"/>
      <w:szCs w:val="20"/>
    </w:rPr>
  </w:style>
  <w:style w:type="paragraph" w:styleId="ListParagraph">
    <w:name w:val="List Paragraph"/>
    <w:basedOn w:val="Normal"/>
    <w:qFormat/>
    <w:pPr>
      <w:suppressAutoHyphens w:val="0"/>
      <w:ind w:left="720"/>
    </w:pPr>
    <w:rPr>
      <w:rFonts w:eastAsia="Calibri"/>
      <w:color w:val="000000"/>
    </w:rPr>
  </w:style>
  <w:style w:type="numbering" w:customStyle="1" w:styleId="WW8Num1">
    <w:name w:val="WW8Num1"/>
    <w:qFormat/>
  </w:style>
  <w:style w:type="paragraph" w:styleId="Header">
    <w:name w:val="header"/>
    <w:basedOn w:val="Normal"/>
    <w:link w:val="HeaderChar"/>
    <w:uiPriority w:val="99"/>
    <w:unhideWhenUsed/>
    <w:rsid w:val="00660ECB"/>
    <w:pPr>
      <w:tabs>
        <w:tab w:val="center" w:pos="4320"/>
        <w:tab w:val="right" w:pos="8640"/>
      </w:tabs>
    </w:pPr>
  </w:style>
  <w:style w:type="character" w:customStyle="1" w:styleId="HeaderChar">
    <w:name w:val="Header Char"/>
    <w:basedOn w:val="DefaultParagraphFont"/>
    <w:link w:val="Header"/>
    <w:uiPriority w:val="99"/>
    <w:rsid w:val="00660ECB"/>
    <w:rPr>
      <w:rFonts w:ascii="Times New Roman" w:eastAsia="Times New Roman" w:hAnsi="Times New Roman" w:cs="Times New Roman"/>
      <w:sz w:val="24"/>
      <w:lang w:bidi="da-DK"/>
    </w:rPr>
  </w:style>
  <w:style w:type="paragraph" w:styleId="Footer">
    <w:name w:val="footer"/>
    <w:basedOn w:val="Normal"/>
    <w:link w:val="FooterChar"/>
    <w:uiPriority w:val="99"/>
    <w:unhideWhenUsed/>
    <w:rsid w:val="00660ECB"/>
    <w:pPr>
      <w:tabs>
        <w:tab w:val="center" w:pos="4320"/>
        <w:tab w:val="right" w:pos="8640"/>
      </w:tabs>
    </w:pPr>
  </w:style>
  <w:style w:type="character" w:customStyle="1" w:styleId="FooterChar">
    <w:name w:val="Footer Char"/>
    <w:basedOn w:val="DefaultParagraphFont"/>
    <w:link w:val="Footer"/>
    <w:uiPriority w:val="99"/>
    <w:rsid w:val="00660ECB"/>
    <w:rPr>
      <w:rFonts w:ascii="Times New Roman" w:eastAsia="Times New Roman" w:hAnsi="Times New Roman" w:cs="Times New Roman"/>
      <w:sz w:val="24"/>
      <w:lang w:bidi="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1638</Words>
  <Characters>9338</Characters>
  <Application>Microsoft Office Word</Application>
  <DocSecurity>0</DocSecurity>
  <Lines>77</Lines>
  <Paragraphs>21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REPUBLIQUE FRANCAISE</vt:lpstr>
      <vt:lpstr>REPUBLIQUE FRANCAISE</vt:lpstr>
    </vt:vector>
  </TitlesOfParts>
  <Company>MINEFI</Company>
  <LinksUpToDate>false</LinksUpToDate>
  <CharactersWithSpaces>10955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REPUBLIQUE FRANCAISE</dc:title>
  <dc:creator>SPM</dc:creator>
  <cp:lastModifiedBy>Ke, Tingting</cp:lastModifiedBy>
  <cp:revision>6</cp:revision>
  <cp:lastPrinted>2018-03-29T14:13:00Z</cp:lastPrinted>
  <dcterms:created xsi:type="dcterms:W3CDTF">2018-04-16T09:11:00Z</dcterms:created>
  <dcterms:modified xsi:type="dcterms:W3CDTF">2018-04-20T12:36:00Z</dcterms:modified>
  <dc:language>fr-FR</dc:language>
</cp:coreProperties>
</file>