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7A1C" w:rsidRPr="00B655D7" w:rsidRDefault="00AD7A1C" w:rsidP="00AD7A1C">
      <w:pPr>
        <w:ind w:left="-634" w:right="-778"/>
        <w:jc w:val="center"/>
        <w:textAlignment w:val="baseline"/>
        <w:rPr>
          <w:rFonts w:ascii="Courier New" w:hAnsi="Courier New"/>
          <w:sz w:val="20"/>
        </w:rPr>
      </w:pPr>
      <w:r>
        <w:rPr>
          <w:rFonts w:ascii="Courier New" w:hAnsi="Courier New"/>
          <w:sz w:val="20"/>
        </w:rPr>
        <w:t>1. ------IND- 2018 0169 F-- EL- ------ 20180420 --- --- PROJET</w:t>
      </w:r>
    </w:p>
    <w:p w:rsidR="00AD7A1C" w:rsidRDefault="00AD7A1C"/>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B73D02" w:rsidRPr="00AD50AC" w:rsidTr="006516B7">
        <w:trPr>
          <w:cantSplit/>
        </w:trPr>
        <w:tc>
          <w:tcPr>
            <w:tcW w:w="3982" w:type="dxa"/>
            <w:gridSpan w:val="3"/>
          </w:tcPr>
          <w:p w:rsidR="00B73D02" w:rsidRPr="00AD50AC" w:rsidRDefault="00B73D02" w:rsidP="006516B7">
            <w:pPr>
              <w:pStyle w:val="SNREPUBLIQUE"/>
            </w:pPr>
            <w:r>
              <w:t>ΓΑΛΛΙΚΗ ΔΗΜΟΚΡΑΤΙΑ</w:t>
            </w:r>
          </w:p>
        </w:tc>
      </w:tr>
      <w:tr w:rsidR="00B73D02" w:rsidTr="006516B7">
        <w:trPr>
          <w:cantSplit/>
          <w:trHeight w:val="42"/>
        </w:trPr>
        <w:tc>
          <w:tcPr>
            <w:tcW w:w="1527" w:type="dxa"/>
          </w:tcPr>
          <w:p w:rsidR="00B73D02" w:rsidRPr="00FA79AC" w:rsidRDefault="00B73D02" w:rsidP="006516B7">
            <w:pPr>
              <w:rPr>
                <w:sz w:val="8"/>
              </w:rPr>
            </w:pPr>
          </w:p>
        </w:tc>
        <w:tc>
          <w:tcPr>
            <w:tcW w:w="968" w:type="dxa"/>
            <w:tcBorders>
              <w:bottom w:val="single" w:sz="4" w:space="0" w:color="auto"/>
            </w:tcBorders>
          </w:tcPr>
          <w:p w:rsidR="00B73D02" w:rsidRPr="00FA79AC" w:rsidRDefault="00B73D02" w:rsidP="006516B7">
            <w:pPr>
              <w:rPr>
                <w:sz w:val="8"/>
              </w:rPr>
            </w:pPr>
          </w:p>
        </w:tc>
        <w:tc>
          <w:tcPr>
            <w:tcW w:w="1487" w:type="dxa"/>
          </w:tcPr>
          <w:p w:rsidR="00B73D02" w:rsidRPr="00FA79AC" w:rsidRDefault="00B73D02" w:rsidP="006516B7">
            <w:pPr>
              <w:rPr>
                <w:sz w:val="8"/>
              </w:rPr>
            </w:pPr>
          </w:p>
        </w:tc>
      </w:tr>
      <w:tr w:rsidR="00B73D02" w:rsidRPr="00AD50AC" w:rsidTr="006516B7">
        <w:trPr>
          <w:cantSplit/>
        </w:trPr>
        <w:tc>
          <w:tcPr>
            <w:tcW w:w="3982" w:type="dxa"/>
            <w:gridSpan w:val="3"/>
          </w:tcPr>
          <w:p w:rsidR="00B73D02" w:rsidRPr="00AD50AC" w:rsidRDefault="00B73D02" w:rsidP="006516B7">
            <w:pPr>
              <w:pStyle w:val="SNTimbre"/>
            </w:pPr>
            <w:r>
              <w:t>Υπουργείο Οικονομίας και Οικονομικών</w:t>
            </w:r>
          </w:p>
        </w:tc>
      </w:tr>
      <w:tr w:rsidR="00B73D02" w:rsidTr="006516B7">
        <w:trPr>
          <w:cantSplit/>
          <w:trHeight w:val="222"/>
        </w:trPr>
        <w:tc>
          <w:tcPr>
            <w:tcW w:w="1527" w:type="dxa"/>
          </w:tcPr>
          <w:p w:rsidR="00B73D02" w:rsidRPr="00FA79AC" w:rsidRDefault="00B73D02" w:rsidP="006516B7">
            <w:pPr>
              <w:rPr>
                <w:sz w:val="16"/>
              </w:rPr>
            </w:pPr>
          </w:p>
        </w:tc>
        <w:tc>
          <w:tcPr>
            <w:tcW w:w="968" w:type="dxa"/>
            <w:tcBorders>
              <w:bottom w:val="single" w:sz="4" w:space="0" w:color="auto"/>
            </w:tcBorders>
          </w:tcPr>
          <w:p w:rsidR="00B73D02" w:rsidRPr="00FA79AC" w:rsidRDefault="00B73D02" w:rsidP="006516B7">
            <w:pPr>
              <w:rPr>
                <w:sz w:val="16"/>
              </w:rPr>
            </w:pPr>
          </w:p>
        </w:tc>
        <w:tc>
          <w:tcPr>
            <w:tcW w:w="1487" w:type="dxa"/>
          </w:tcPr>
          <w:p w:rsidR="00B73D02" w:rsidRPr="00FA79AC" w:rsidRDefault="00B73D02" w:rsidP="006516B7">
            <w:pPr>
              <w:rPr>
                <w:sz w:val="16"/>
              </w:rPr>
            </w:pPr>
          </w:p>
        </w:tc>
      </w:tr>
      <w:tr w:rsidR="00B73D02" w:rsidRPr="00AD50AC" w:rsidTr="006516B7">
        <w:trPr>
          <w:cantSplit/>
        </w:trPr>
        <w:tc>
          <w:tcPr>
            <w:tcW w:w="1527" w:type="dxa"/>
          </w:tcPr>
          <w:p w:rsidR="00B73D02" w:rsidRPr="00FA79AC" w:rsidRDefault="00B73D02" w:rsidP="006516B7">
            <w:pPr>
              <w:rPr>
                <w:sz w:val="16"/>
              </w:rPr>
            </w:pPr>
          </w:p>
        </w:tc>
        <w:tc>
          <w:tcPr>
            <w:tcW w:w="968" w:type="dxa"/>
            <w:tcBorders>
              <w:top w:val="single" w:sz="4" w:space="0" w:color="auto"/>
            </w:tcBorders>
          </w:tcPr>
          <w:p w:rsidR="00B73D02" w:rsidRPr="00FA79AC" w:rsidRDefault="00B73D02" w:rsidP="006516B7">
            <w:pPr>
              <w:rPr>
                <w:sz w:val="16"/>
              </w:rPr>
            </w:pPr>
          </w:p>
        </w:tc>
        <w:tc>
          <w:tcPr>
            <w:tcW w:w="1487" w:type="dxa"/>
          </w:tcPr>
          <w:p w:rsidR="00B73D02" w:rsidRPr="00FA79AC" w:rsidRDefault="00B73D02" w:rsidP="006516B7">
            <w:pPr>
              <w:rPr>
                <w:sz w:val="16"/>
              </w:rPr>
            </w:pPr>
          </w:p>
        </w:tc>
      </w:tr>
    </w:tbl>
    <w:p w:rsidR="00073A3D" w:rsidRPr="002E197B" w:rsidRDefault="00D50503" w:rsidP="00B73D02">
      <w:pPr>
        <w:pStyle w:val="SNNature"/>
        <w:jc w:val="left"/>
      </w:pPr>
      <w:r>
        <w:t>Διάταγμα αριθ.               που ρυθμίζει τους στόχους των διατάξεων προειδοποίησης μη επανδρωμένων αεροσκαφών και τις προϋποθέσεις απαλλαγής που προβλέπονται στο άρθρο L. 34-9-2 του κώδικα ταχυδρομείων και ηλεκτρονικών επικοινωνιών</w:t>
      </w:r>
    </w:p>
    <w:p w:rsidR="00073A3D" w:rsidRPr="002E197B" w:rsidRDefault="00D50503">
      <w:pPr>
        <w:pStyle w:val="SNNORCentr"/>
      </w:pPr>
      <w:r>
        <w:t>ΑΡΙΘ. ΑΝΑΦ.: […]</w:t>
      </w:r>
    </w:p>
    <w:p w:rsidR="00073A3D" w:rsidRPr="002E197B" w:rsidRDefault="00D50503">
      <w:pPr>
        <w:pStyle w:val="SNAutorit"/>
        <w:spacing w:after="0"/>
        <w:jc w:val="both"/>
      </w:pPr>
      <w:r>
        <w:rPr>
          <w:i/>
        </w:rPr>
        <w:t xml:space="preserve">Ενδιαφερόμενα μέρη: </w:t>
      </w:r>
      <w:r>
        <w:rPr>
          <w:b w:val="0"/>
          <w:i/>
        </w:rPr>
        <w:t>τηλεχειριστές μη επανδρωμένων αεροσκαφών με μάζα μεγαλύτερη από ένα όριο που καθορίζεται με κανονιστική διάταξη-κατασκευαστές μη επανδρωμένων αεροσκαφών</w:t>
      </w:r>
    </w:p>
    <w:p w:rsidR="00073A3D" w:rsidRPr="002E197B" w:rsidRDefault="00D50503">
      <w:pPr>
        <w:pStyle w:val="SNAutorit"/>
        <w:spacing w:before="120" w:after="0"/>
        <w:jc w:val="both"/>
      </w:pPr>
      <w:r>
        <w:rPr>
          <w:i/>
        </w:rPr>
        <w:t xml:space="preserve">Αντικείμενο: </w:t>
      </w:r>
      <w:r>
        <w:rPr>
          <w:b w:val="0"/>
          <w:i/>
        </w:rPr>
        <w:t xml:space="preserve">το παρόν κείμενο καθορίζει τους στόχους των διατάξεων ηλεκτρονικής και φωτεινής προειδοποίησης που πρέπει να διαθέτουν τα μη επανδρωμένα αεροσκάφη με μάζα μεγαλύτερη από ένα όριο που καθορίζεται με κανονιστική διάταξη, καθώς και τους όρους απαλλαγής από τις εν λόγω υποχρεώσεις και τις σχετικές κυρώσεις. </w:t>
      </w:r>
    </w:p>
    <w:p w:rsidR="00073A3D" w:rsidRPr="002E197B" w:rsidRDefault="00D50503">
      <w:pPr>
        <w:pStyle w:val="SNAutorit"/>
        <w:spacing w:before="120" w:after="0"/>
        <w:jc w:val="both"/>
      </w:pPr>
      <w:r>
        <w:rPr>
          <w:i/>
        </w:rPr>
        <w:t>Έναρξη ισχύος:</w:t>
      </w:r>
      <w:r>
        <w:rPr>
          <w:b w:val="0"/>
          <w:i/>
        </w:rPr>
        <w:t xml:space="preserve"> Το κείμενο τίθεται σε ισχύ την επόμενη ημέρα από τη δημοσίευσή του, με εξαίρεση τις διατάξεις του άρθρου R. 20-25-1 και του άρθρου R. 20-25-2 του κώδικα ταχυδρομείων και ηλεκτρονικών επικοινωνιών που τίθενται σε ισχύ την 1η Ιανουαρίου 2019.</w:t>
      </w:r>
    </w:p>
    <w:p w:rsidR="00073A3D" w:rsidRPr="002E197B" w:rsidRDefault="00D50503">
      <w:pPr>
        <w:pStyle w:val="SNAutorit"/>
        <w:spacing w:before="120" w:after="0"/>
        <w:jc w:val="both"/>
      </w:pPr>
      <w:r>
        <w:rPr>
          <w:i/>
        </w:rPr>
        <w:t>Σημείωση:</w:t>
      </w:r>
      <w:r>
        <w:rPr>
          <w:b w:val="0"/>
          <w:i/>
        </w:rPr>
        <w:t xml:space="preserve"> Κατ’ εφαρμογή του άρθρου L. 34-9-2 του κώδικα ταχυδρομείων και ηλεκτρονικών μεταφορών, το οποίο τροποποιήθηκε με τον νόμο αριθ. 2016-1428 της 24ης Οκτωβρίου 2016 σχετικά με την ενίσχυση της ασφάλειας χρήσης μη επανδρωμένων πολιτικών αεροσκαφών, τα μη επανδρωμένα αεροσκάφη, εκτός από τα κρατικά αεροσκάφη, η μάζα των οποίων είναι μεγαλύτερη από ένα όριο που καθορίζεται με κανονιστική διάταξη, πρέπει να διαθέτουν μια διάταξη ηλεκτρονικής ή ψηφιακής προειδοποίησης και μια διάταξη φωτεινής προειδοποίησης. Το παρόν διάταγμα καθορίζει τους στόχους που έχουν οριστεί για αυτές τις διατάξεις καθώς τους όρους απαλλαγής από τις εν λόγω υποχρεώσεις.</w:t>
      </w:r>
    </w:p>
    <w:p w:rsidR="00073A3D" w:rsidRPr="002E197B" w:rsidRDefault="00D50503">
      <w:pPr>
        <w:pStyle w:val="SNAutorit"/>
        <w:spacing w:before="120"/>
        <w:jc w:val="both"/>
      </w:pPr>
      <w:r>
        <w:rPr>
          <w:i/>
        </w:rPr>
        <w:t xml:space="preserve">Παραπομπές: </w:t>
      </w:r>
      <w:r>
        <w:rPr>
          <w:b w:val="0"/>
          <w:i/>
        </w:rPr>
        <w:t xml:space="preserve">το διάταγμα θεσπίζεται για την εφαρμογή της παραγράφου Ι του άρθρου 4 του νόμου αριθ. 2016-1428 της 24ης Οκτωβρίου 2016 σχετικά με την ενίσχυση της ασφάλειας χρήσης μη επανδρωμένων πολιτικών αεροσκαφών. Τα άρθρα του κώδικα ταχυδρομείων και ηλεκτρονικών επικοινωνιών που τροποποιεί διατίθενται, όπως διατυπώθηκαν κατόπιν της παρούσας τροποποίησης, στην ιστοσελίδα του Légifrance (http://www.legifrance.gouv.fr). </w:t>
      </w:r>
    </w:p>
    <w:p w:rsidR="00073A3D" w:rsidRPr="002E197B" w:rsidRDefault="00D50503">
      <w:pPr>
        <w:pStyle w:val="SNAutorit"/>
      </w:pPr>
      <w:r>
        <w:t>Ο πρωθυπουργός,</w:t>
      </w:r>
    </w:p>
    <w:p w:rsidR="00073A3D" w:rsidRPr="002E197B" w:rsidRDefault="00D50503">
      <w:pPr>
        <w:pStyle w:val="SNRapport"/>
      </w:pPr>
      <w:r>
        <w:t>Βάσει της έκθεσης του υπουργού Εθνικής Οικονομίας και Οικονομικών,</w:t>
      </w:r>
    </w:p>
    <w:p w:rsidR="003B26B1" w:rsidRPr="002E197B" w:rsidRDefault="00D50503" w:rsidP="00422E3C">
      <w:pPr>
        <w:jc w:val="both"/>
      </w:pPr>
      <w:r>
        <w:t xml:space="preserve">Έχοντας υπόψη την οδηγία (ΕΕ) 2015/1535 του Ευρωπαϊκού Κοινοβουλίου και του Συμβουλίου, της 9ης Σεπτεμβρίου 2015, για την καθιέρωση μιας διαδικασίας πληροφόρησης </w:t>
      </w:r>
      <w:r>
        <w:lastRenderedPageBreak/>
        <w:t>στον τομέα των τεχνικών προδιαγραφών και των κανόνων σχετικά με τις υπηρεσίες της κοινωνίας των πληροφοριών (κωδικοποιημένο κείμενο), και ιδίως την κοινοποίηση αριθ. έτος/XXX/F·</w:t>
      </w:r>
    </w:p>
    <w:p w:rsidR="00422E3C" w:rsidRDefault="00422E3C" w:rsidP="00422E3C">
      <w:pPr>
        <w:ind w:left="426" w:hanging="426"/>
        <w:jc w:val="both"/>
      </w:pPr>
    </w:p>
    <w:p w:rsidR="00073A3D" w:rsidRPr="002E197B" w:rsidRDefault="00D50503" w:rsidP="00422E3C">
      <w:pPr>
        <w:ind w:left="426" w:hanging="426"/>
        <w:jc w:val="both"/>
      </w:pPr>
      <w:r>
        <w:t>Έχοντας υπόψη τον κώδικα πολιτικής αεροπορίας, ιδίως το άρθρο του D. 510-3·</w:t>
      </w:r>
    </w:p>
    <w:p w:rsidR="00422E3C" w:rsidRDefault="00422E3C" w:rsidP="00422E3C">
      <w:pPr>
        <w:jc w:val="both"/>
      </w:pPr>
    </w:p>
    <w:p w:rsidR="00073A3D" w:rsidRPr="002E197B" w:rsidRDefault="00D50503" w:rsidP="00422E3C">
      <w:pPr>
        <w:jc w:val="both"/>
      </w:pPr>
      <w:r>
        <w:t>Έχοντας υπόψη τον κώδικα ταχυδρομείων και ηλεκτρονικών επικοινωνιών, ιδίως το άρθρο του L. 34-9-2·</w:t>
      </w:r>
    </w:p>
    <w:p w:rsidR="00073A3D" w:rsidRPr="002E197B" w:rsidRDefault="00073A3D" w:rsidP="00422E3C">
      <w:pPr>
        <w:ind w:left="426" w:hanging="426"/>
        <w:jc w:val="both"/>
      </w:pPr>
    </w:p>
    <w:p w:rsidR="00073A3D" w:rsidRPr="002E197B" w:rsidRDefault="00D50503" w:rsidP="00422E3C">
      <w:pPr>
        <w:ind w:left="426" w:hanging="426"/>
        <w:jc w:val="both"/>
      </w:pPr>
      <w:r>
        <w:t>Έχοντας υπόψη τον κώδικα εσωτερικής ασφάλειας, ιδίως τον τίτλο V του τόμου VIII·</w:t>
      </w:r>
    </w:p>
    <w:p w:rsidR="00073A3D" w:rsidRPr="002E197B" w:rsidRDefault="00073A3D" w:rsidP="00422E3C">
      <w:pPr>
        <w:ind w:left="426" w:hanging="426"/>
        <w:jc w:val="both"/>
      </w:pPr>
    </w:p>
    <w:p w:rsidR="00073A3D" w:rsidRPr="002E197B" w:rsidRDefault="00D50503" w:rsidP="00422E3C">
      <w:pPr>
        <w:ind w:left="426" w:hanging="426"/>
        <w:jc w:val="both"/>
      </w:pPr>
      <w:r>
        <w:t>Έχοντας υπόψη τον κώδικα μεταφορών, και ιδίως τα άρθρα L. 6100-1 και L. 6111-1·</w:t>
      </w:r>
    </w:p>
    <w:p w:rsidR="00073A3D" w:rsidRPr="002E197B" w:rsidRDefault="00073A3D" w:rsidP="00422E3C">
      <w:pPr>
        <w:jc w:val="both"/>
        <w:rPr>
          <w:sz w:val="22"/>
          <w:szCs w:val="20"/>
        </w:rPr>
      </w:pPr>
    </w:p>
    <w:p w:rsidR="00073A3D" w:rsidRPr="002E197B" w:rsidRDefault="00D50503" w:rsidP="00422E3C">
      <w:pPr>
        <w:pStyle w:val="SNVisa"/>
        <w:ind w:firstLine="0"/>
        <w:jc w:val="both"/>
      </w:pPr>
      <w:r>
        <w:t>Έχοντας υπόψη τη γνωμοδότηση της αρχής ρύθμισης των ηλεκτρονικών επικοινωνιών και ταχυδρομείων της XXX·</w:t>
      </w:r>
    </w:p>
    <w:p w:rsidR="00073A3D" w:rsidRPr="002E197B" w:rsidRDefault="00073A3D">
      <w:pPr>
        <w:pStyle w:val="SNConsultation"/>
      </w:pPr>
    </w:p>
    <w:p w:rsidR="00073A3D" w:rsidRPr="002E197B" w:rsidRDefault="00D50503">
      <w:pPr>
        <w:pStyle w:val="SNConsultation"/>
      </w:pPr>
      <w:r>
        <w:t>Κατόπιν γνωμοδότησης του Συμβουλίου Επικρατείας (τμήμα ...),</w:t>
      </w:r>
    </w:p>
    <w:p w:rsidR="00073A3D" w:rsidRPr="002E197B" w:rsidRDefault="00D50503">
      <w:pPr>
        <w:pStyle w:val="SNActe"/>
      </w:pPr>
      <w:r>
        <w:t>Αποφασίζει:</w:t>
      </w:r>
    </w:p>
    <w:p w:rsidR="00073A3D" w:rsidRPr="002E197B" w:rsidRDefault="00D50503">
      <w:pPr>
        <w:pStyle w:val="SNActe"/>
      </w:pPr>
      <w:r>
        <w:t>Κεφάλαιο Ι: Διατάξεις που αφορούν τους στόχους των διατάξεων προειδοποίησης</w:t>
      </w:r>
    </w:p>
    <w:p w:rsidR="00073A3D" w:rsidRPr="002E197B" w:rsidRDefault="00D50503">
      <w:pPr>
        <w:pStyle w:val="SNArticle"/>
      </w:pPr>
      <w:r>
        <w:t>Άρθρο 1</w:t>
      </w:r>
    </w:p>
    <w:p w:rsidR="00073A3D" w:rsidRPr="002E197B" w:rsidRDefault="00D50503">
      <w:pPr>
        <w:pStyle w:val="BodyText"/>
      </w:pPr>
      <w:r>
        <w:t>Το υποτμήμα 6, τμήμα 5, κεφάλαιο II, τίτλος I, βιβλίο II, του κανονιστικού μέρους (διατάγματα του Συμβουλίου της Επικρατείας) του κώδικα ταχυδρομείων και ηλεκτρονικών επικοινωνιών συμπληρώνεται με το άρθρο R. 20-24-2, το οποίο διατυπώνεται ως εξής:</w:t>
      </w:r>
    </w:p>
    <w:p w:rsidR="00073A3D" w:rsidRPr="002E197B" w:rsidRDefault="00073A3D">
      <w:pPr>
        <w:pStyle w:val="BodyText"/>
      </w:pPr>
    </w:p>
    <w:p w:rsidR="00073A3D" w:rsidRPr="002E197B" w:rsidRDefault="00D50503">
      <w:pPr>
        <w:pStyle w:val="BodyText"/>
      </w:pPr>
      <w:r>
        <w:t>«Άρθρο</w:t>
      </w:r>
      <w:r>
        <w:rPr>
          <w:i/>
        </w:rPr>
        <w:t xml:space="preserve"> R. 20-24-2.-</w:t>
      </w:r>
      <w:r>
        <w:t xml:space="preserve"> I- Η διάταξη ηλεκτρονικής ή ψηφιακής προειδοποίησης που αναφέρεται στο πρώτο εδάφιο του άρθρου L. 34-9-2 έχει ως στόχο να παρέχεται η δυνατότητα στις υπηρεσίες που συμβάλλουν στην ασφάλεια, στην εθνική άμυνα, στις αρχές αντιμετώπισης εκτάκτων αναγκών και στις τελωνειακές αρχές να αναγνωρίζουν και να εντοπίζουν, κατά την πτήση, τα μη επανδρωμένα αεροσκάφη η μάζα των οποίων είναι μεγαλύτερη από ένα όριο που ορίζεται με διάταγμα.</w:t>
      </w:r>
    </w:p>
    <w:p w:rsidR="00073A3D" w:rsidRPr="002E197B" w:rsidRDefault="00D50503">
      <w:pPr>
        <w:pStyle w:val="BodyText"/>
      </w:pPr>
      <w:r>
        <w:t>«Για τον σκοπό αυτό, η διάταξη διαβιβάζει με ηλεκτρονικά μέσα τις ακόλουθες πληροφορίες:</w:t>
      </w:r>
    </w:p>
    <w:p w:rsidR="00073A3D" w:rsidRPr="002E197B" w:rsidRDefault="00D50503">
      <w:pPr>
        <w:pStyle w:val="BodyText"/>
      </w:pPr>
      <w:r>
        <w:t>«1° τον αριθμό αναγνώρισης της διάταξης ηλεκτρονικής ή ψηφιακής προειδοποίησης·</w:t>
      </w:r>
    </w:p>
    <w:p w:rsidR="00073A3D" w:rsidRPr="002E197B" w:rsidRDefault="00D50503">
      <w:pPr>
        <w:pStyle w:val="BodyText"/>
      </w:pPr>
      <w:r>
        <w:t xml:space="preserve">«2° τις συντεταγμένες γεωγραφικής θέσης του αεροσκάφους και του υψομέτρου του· </w:t>
      </w:r>
    </w:p>
    <w:p w:rsidR="00073A3D" w:rsidRPr="002E197B" w:rsidRDefault="00D50503">
      <w:pPr>
        <w:pStyle w:val="BodyText"/>
      </w:pPr>
      <w:r>
        <w:t>«3° την ώρα και την ημερομηνία της εν λόγω γεωγραφικής θέσης·</w:t>
      </w:r>
    </w:p>
    <w:p w:rsidR="00073A3D" w:rsidRPr="002E197B" w:rsidRDefault="00D50503">
      <w:pPr>
        <w:pStyle w:val="BodyText"/>
      </w:pPr>
      <w:r>
        <w:t>«4° τις συντεταγμένες γεωγραφικής θέσης του σημείου απογείωσης του αεροσκάφους·</w:t>
      </w:r>
    </w:p>
    <w:p w:rsidR="00073A3D" w:rsidRPr="002E197B" w:rsidRDefault="00D50503">
      <w:pPr>
        <w:pStyle w:val="BodyText"/>
      </w:pPr>
      <w:r>
        <w:t>«5° την πορεία και την ταχύτητα του αεροσκάφους.</w:t>
      </w:r>
    </w:p>
    <w:p w:rsidR="00073A3D" w:rsidRPr="002E197B" w:rsidRDefault="00D50503">
      <w:pPr>
        <w:pStyle w:val="BodyText"/>
      </w:pPr>
      <w:r>
        <w:t>«Οι εν λόγω πληροφορίες μπορούν, κατά περίπτωση και εντός των ορίων της ανάγκης για γνώση, να χρησιμοποιούνται για τους σκοπούς διεξαγωγής δικαστικών και διοικητικών ερευνών, συλλογής πληροφοριών και για στατιστικούς σκοπούς από τα πρόσωπα που έχουν εξουσιοδοτηθεί για τον σκοπό αυτό.</w:t>
      </w:r>
    </w:p>
    <w:p w:rsidR="00073A3D" w:rsidRPr="002E197B" w:rsidRDefault="00D50503">
      <w:pPr>
        <w:pStyle w:val="BodyText"/>
      </w:pPr>
      <w:r>
        <w:lastRenderedPageBreak/>
        <w:t>«II- Η διάταξη φωτεινής προειδοποίησης που αναφέρεται στο πρώτο εδάφιο του άρθρου L. 34-9-2 έχει ως στόχο να παρέχεται η δυνατότητα στις υπηρεσίες που συμβάλλουν στην ασφάλεια, στην εθνική άμυνα, στις αρχές αντιμετώπισης εκτάκτων αναγκών και στις τελωνειακές αρχές, να εντοπίζουν ευκολότερα, κατά την πτήση, τα μη επανδρωμένα αεροσκάφη η μάζα των οποίων είναι μεγαλύτερη από ένα όριο που καθορίζεται με διάταγμα, και να τα διακρίνουν από τα λοιπά αεροσκάφη.</w:t>
      </w:r>
    </w:p>
    <w:p w:rsidR="00073A3D" w:rsidRPr="002E197B" w:rsidRDefault="00D50503">
      <w:pPr>
        <w:pStyle w:val="BodyText"/>
      </w:pPr>
      <w:r>
        <w:t>«III- Μια απόφαση του υπουργού Εσωτερικών, του αρμόδιου για τις μεταφορές υπουργού και του αρμόδιου με τις ηλεκτρονικές επικοινωνίες υπουργού καθορίζει τα τεχνικά χαρακτηριστικά της διάταξης ηλεκτρονικής ή ψηφιακής προειδοποίησης και το μορφότυπο των διαβιβαζομένων πληροφοριών, καθώς και τα τεχνικά χαρακτηριστικά της διάταξης φωτεινής προειδοποίησης. »</w:t>
      </w:r>
    </w:p>
    <w:p w:rsidR="002E197B" w:rsidRPr="002E197B" w:rsidRDefault="002E197B">
      <w:pPr>
        <w:pStyle w:val="BodyText"/>
      </w:pPr>
    </w:p>
    <w:p w:rsidR="00073A3D" w:rsidRPr="002E197B" w:rsidRDefault="00D50503">
      <w:pPr>
        <w:pStyle w:val="BodyText"/>
        <w:jc w:val="center"/>
        <w:rPr>
          <w:b/>
        </w:rPr>
      </w:pPr>
      <w:r>
        <w:rPr>
          <w:b/>
        </w:rPr>
        <w:t>Κεφάλαιο ΙΙ: Διατάξεις που αφορούν τους όρους απαλλαγής και την υποχρέωση προειδοποίησης</w:t>
      </w:r>
    </w:p>
    <w:p w:rsidR="00073A3D" w:rsidRPr="002E197B" w:rsidRDefault="00073A3D">
      <w:pPr>
        <w:jc w:val="center"/>
        <w:rPr>
          <w:rFonts w:eastAsia="Calibri"/>
          <w:b/>
        </w:rPr>
      </w:pPr>
    </w:p>
    <w:p w:rsidR="00073A3D" w:rsidRPr="002E197B" w:rsidRDefault="00D50503">
      <w:pPr>
        <w:jc w:val="center"/>
        <w:rPr>
          <w:rFonts w:eastAsia="Calibri"/>
          <w:b/>
        </w:rPr>
      </w:pPr>
      <w:r>
        <w:rPr>
          <w:b/>
        </w:rPr>
        <w:t>Άρθρο 2</w:t>
      </w:r>
    </w:p>
    <w:p w:rsidR="00073A3D" w:rsidRPr="002E197B" w:rsidRDefault="00073A3D">
      <w:pPr>
        <w:pStyle w:val="BodyText"/>
        <w:jc w:val="center"/>
        <w:rPr>
          <w:b/>
        </w:rPr>
      </w:pPr>
    </w:p>
    <w:p w:rsidR="00073A3D" w:rsidRPr="002E197B" w:rsidRDefault="00D50503">
      <w:pPr>
        <w:pStyle w:val="BodyText"/>
      </w:pPr>
      <w:r>
        <w:t>Το υποτμήμα 6, τμήμα 5, κεφάλαιο II, τίτλος I, βιβλίο II, του κανονιστικού μέρους (διατάγματα του Συμβουλίου της Επικρατείας) του κώδικα ταχυδρομείων και ηλεκτρονικών επικοινωνιών συμπληρώνεται με το άρθρο R. 20-24-3, το οποίο διατυπώνεται ως εξής:</w:t>
      </w:r>
    </w:p>
    <w:p w:rsidR="00073A3D" w:rsidRPr="002E197B" w:rsidRDefault="00073A3D">
      <w:pPr>
        <w:pStyle w:val="BodyText"/>
      </w:pPr>
    </w:p>
    <w:p w:rsidR="00073A3D" w:rsidRPr="002E197B" w:rsidRDefault="00D50503">
      <w:pPr>
        <w:pStyle w:val="BodyText"/>
      </w:pPr>
      <w:r>
        <w:t>«Άρθρο</w:t>
      </w:r>
      <w:r>
        <w:rPr>
          <w:i/>
        </w:rPr>
        <w:t>. R. 20-24-3.-</w:t>
      </w:r>
      <w:r>
        <w:t xml:space="preserve"> I- Τα μη επανδρωμένα αεροσκάφη απαλλάσσονται από την υποχρέωση εξοπλισμού με διάταξη ηλεκτρονικής ή ψηφιακής προειδοποίησης:</w:t>
      </w:r>
    </w:p>
    <w:p w:rsidR="00073A3D" w:rsidRPr="002E197B" w:rsidRDefault="00422E3C">
      <w:pPr>
        <w:pStyle w:val="BodyText"/>
      </w:pPr>
      <w:r>
        <w:t>«1</w:t>
      </w:r>
      <w:r w:rsidR="00D50503">
        <w:t xml:space="preserve"> Όταν χρησιμοποιούνται για λόγους αναψυχής, συμπεριλαμβανομένων των αγώνων, και τηλεκατευθύνονται από τηλεχειριστή μέλος μιας αναγνωρισμένης σε εθνικό επίπεδο ομοσπονδίας αερομοντελισμού που αναφέρεται στο άρθρο D. 510-3 του κώδικα πολιτικής αεροπορίας, ή από ομοσπονδία πολλαπλών αθλημάτων η οποία έχει διαπιστευτεί από τον αρμόδιο για τα αθλήματα υπουργό και προσφέρει την πρακτική του αερομοντελισμού, για τον εντοπισμό μιας δραστηριότητας που δημοσιεύεται μέσω των αεροναυτικών πληροφοριών η οποία έχει δεόντως οριστεί ως υπαγόμενη στην εν λόγω εξαίρεση· </w:t>
      </w:r>
    </w:p>
    <w:p w:rsidR="00073A3D" w:rsidRPr="002E197B" w:rsidRDefault="00D50503">
      <w:pPr>
        <w:pStyle w:val="BodyText"/>
        <w:spacing w:after="0"/>
      </w:pPr>
      <w:r>
        <w:t>«2° Όταν χρησιμοποιούνται στο εσωτερικό κλειστών και καλυμμένων χώρων·</w:t>
      </w:r>
    </w:p>
    <w:p w:rsidR="002E197B" w:rsidRPr="002E197B" w:rsidRDefault="002E197B">
      <w:pPr>
        <w:pStyle w:val="BodyText"/>
        <w:spacing w:after="0"/>
      </w:pPr>
    </w:p>
    <w:p w:rsidR="00073A3D" w:rsidRPr="002E197B" w:rsidRDefault="00BF6B0E">
      <w:pPr>
        <w:pStyle w:val="BodyText"/>
        <w:spacing w:after="0"/>
      </w:pPr>
      <w:r>
        <w:t>«3° Όταν ανήκουν στις κατηγορίες αεροσκαφών που αναφέρονται στο δεύτερο εδάφιο του άρθρου L. 6100-1 του κώδικα μεταφορών με την επιφύλαξη των διατάξεων που ισχύουν για τα στρατιωτικά αεροσκάφη και για κρατικά αεροσκάφη, και χρησιμοποιούνται από τις τελωνειακές υπηρεσίες, τις υπηρεσίες δημόσιας ασφάλειας και πολιτικής προστασίας·</w:t>
      </w:r>
    </w:p>
    <w:p w:rsidR="00073A3D" w:rsidRPr="002E197B" w:rsidRDefault="00073A3D">
      <w:pPr>
        <w:pStyle w:val="BodyText"/>
        <w:spacing w:after="0"/>
      </w:pPr>
    </w:p>
    <w:p w:rsidR="00073A3D" w:rsidRPr="002E197B" w:rsidRDefault="00D50503">
      <w:pPr>
        <w:pStyle w:val="ListParagraph"/>
        <w:ind w:left="0"/>
        <w:jc w:val="both"/>
        <w:rPr>
          <w:color w:val="auto"/>
        </w:rPr>
      </w:pPr>
      <w:r>
        <w:rPr>
          <w:color w:val="auto"/>
        </w:rPr>
        <w:t>«4° Όταν δεν ανήκουν στις κατηγορίες αεροσκαφών που αναφέρονται στο δεύτερο εδάφιο του άρθρου L. 6100-1 του κώδικα μεταφορών, αλλά χρησιμοποιούνται στο πλαίσιο αποστολών των τελωνειακών αρχών, της αστυνομίας, της πολιτικής προστασίας ή της εφαρμογής μιας τεχνικής που αναφέρεται στον τίτλο V, βιβλίο VIII του κώδικα εσωτερικής ασφάλειας».</w:t>
      </w:r>
    </w:p>
    <w:p w:rsidR="00073A3D" w:rsidRPr="002E197B" w:rsidRDefault="00073A3D">
      <w:pPr>
        <w:pStyle w:val="ListParagraph"/>
        <w:ind w:left="0"/>
        <w:jc w:val="both"/>
        <w:rPr>
          <w:color w:val="auto"/>
        </w:rPr>
      </w:pPr>
    </w:p>
    <w:p w:rsidR="00073A3D" w:rsidRPr="002E197B" w:rsidRDefault="00073A3D">
      <w:pPr>
        <w:pStyle w:val="BodyText"/>
        <w:spacing w:after="0"/>
        <w:jc w:val="left"/>
      </w:pPr>
    </w:p>
    <w:p w:rsidR="00073A3D" w:rsidRPr="002E197B" w:rsidRDefault="00D50503" w:rsidP="002E197B">
      <w:pPr>
        <w:pStyle w:val="BodyText"/>
        <w:tabs>
          <w:tab w:val="left" w:pos="0"/>
        </w:tabs>
      </w:pPr>
      <w:r>
        <w:t>«II- Τα μη επανδρωμένα αεροσκάφη απαλλάσσονται από την υποχρέωση εξοπλισμού με διάταξη φωτεινής προειδοποίησης σε λειτουργική κατάσταση:</w:t>
      </w:r>
    </w:p>
    <w:p w:rsidR="00073A3D" w:rsidRPr="002E197B" w:rsidRDefault="00422E3C">
      <w:pPr>
        <w:pStyle w:val="BodyText"/>
      </w:pPr>
      <w:r>
        <w:t>«1</w:t>
      </w:r>
      <w:r w:rsidR="00D50503">
        <w:t xml:space="preserve"> Όταν χρησιμοποιούνται για λόγους αναψυχής, συμπεριλαμβανομένων των αγώνων, και τηλεκατευθύνονται από τηλεχειριστή μέλος μιας αναγνωρισμένης σε εθνικό επίπεδο ομοσπονδίας αερομοντελισμού που αναφέρεται στο άρθρο D. 510-3 του κώδικα πολιτικής </w:t>
      </w:r>
      <w:r w:rsidR="00D50503">
        <w:lastRenderedPageBreak/>
        <w:t xml:space="preserve">αεροπορίας, ή από ομοσπονδία πολλαπλών αθλημάτων η οποία έχει διαπιστευτεί από τον αρμόδιο για τα αθλήματα υπουργό και προσφέρει την πρακτική του αερομοντελισμού, για τον εντοπισμό μιας δραστηριότητας που δημοσιεύεται μέσω των αεροναυτικών πληροφοριών η οποία έχει δεόντως οριστεί ως υπαγόμενη στην εν λόγω εξαίρεση· </w:t>
      </w:r>
    </w:p>
    <w:p w:rsidR="00073A3D" w:rsidRPr="002E197B" w:rsidRDefault="00D50503">
      <w:pPr>
        <w:pStyle w:val="BodyText"/>
        <w:tabs>
          <w:tab w:val="left" w:pos="0"/>
        </w:tabs>
        <w:jc w:val="left"/>
      </w:pPr>
      <w:r>
        <w:t>«2° Όταν χρησιμοποιούνται στο εσωτερικό κλειστών και καλυμμένων χώρων·</w:t>
      </w:r>
    </w:p>
    <w:p w:rsidR="00073A3D" w:rsidRPr="002E197B" w:rsidRDefault="00D50503" w:rsidP="002E197B">
      <w:pPr>
        <w:pStyle w:val="BodyText"/>
        <w:tabs>
          <w:tab w:val="left" w:pos="0"/>
        </w:tabs>
      </w:pPr>
      <w:r>
        <w:t xml:space="preserve">«3° Όταν εκτελούν πειραματικές πτήσεις, δοκιμαστικές πτήσεις, για σκοπούς δοκιμής ή ελέγχου σύμφωνα με τους όρους που καθορίζονται από τον αρμόδιο για την πολιτική αεροπορία υπουργό· </w:t>
      </w:r>
    </w:p>
    <w:p w:rsidR="00073A3D" w:rsidRPr="002E197B" w:rsidRDefault="00BF6B0E">
      <w:pPr>
        <w:pStyle w:val="BodyText"/>
        <w:spacing w:after="0"/>
      </w:pPr>
      <w:r>
        <w:t>«4° Όταν ανήκουν στις κατηγορίες αεροσκαφών που αναφέρονται στο δεύτερο εδάφιο του άρθρου L. 6100-1 του κώδικα μεταφορών με την επιφύλαξη των διατάξεων που ισχύουν για τα στρατιωτικά αεροσκάφη και τα κρατικά αεροσκάφη, και χρησιμοποιούνται από τις τελωνειακές υπηρεσίες, τις υπηρεσίες δημόσιας ασφάλειας και πολιτικής προστασίας·</w:t>
      </w:r>
    </w:p>
    <w:p w:rsidR="00073A3D" w:rsidRPr="002E197B" w:rsidRDefault="00073A3D">
      <w:pPr>
        <w:pStyle w:val="BodyText"/>
        <w:spacing w:after="0"/>
      </w:pPr>
    </w:p>
    <w:p w:rsidR="00073A3D" w:rsidRPr="002E197B" w:rsidRDefault="00D50503">
      <w:pPr>
        <w:pStyle w:val="ListParagraph"/>
        <w:ind w:left="0"/>
        <w:jc w:val="both"/>
        <w:rPr>
          <w:color w:val="auto"/>
        </w:rPr>
      </w:pPr>
      <w:r>
        <w:rPr>
          <w:color w:val="auto"/>
        </w:rPr>
        <w:t>«5° Όταν δεν ανήκουν στις κατηγορίες αεροσκαφών που αναφέρονται στο δεύτερο εδάφιο του άρθρου L. 6100-1 του κώδικα μεταφορών, αλλά χρησιμοποιούνται στο πλαίσιο αποστολών των τελωνειακών αρχών, της αστυνομίας, της πολιτικής προστασίας ή της εφαρμογής μιας τεχνικής που αναφέρεται στον τίτλο V, βιβλίο VIII του κώδικα εσωτερικής ασφάλειας».</w:t>
      </w:r>
    </w:p>
    <w:p w:rsidR="00073A3D" w:rsidRPr="002E197B" w:rsidRDefault="00073A3D">
      <w:pPr>
        <w:pStyle w:val="BodyText"/>
        <w:tabs>
          <w:tab w:val="left" w:pos="0"/>
        </w:tabs>
        <w:jc w:val="left"/>
      </w:pPr>
    </w:p>
    <w:p w:rsidR="00073A3D" w:rsidRPr="002E197B" w:rsidRDefault="00D50503">
      <w:pPr>
        <w:pStyle w:val="BodyText"/>
        <w:tabs>
          <w:tab w:val="left" w:pos="0"/>
        </w:tabs>
        <w:jc w:val="center"/>
        <w:rPr>
          <w:b/>
        </w:rPr>
      </w:pPr>
      <w:r>
        <w:rPr>
          <w:b/>
        </w:rPr>
        <w:t>Κεφάλαιο ΙΙΙ: Κυρώσεις</w:t>
      </w:r>
    </w:p>
    <w:p w:rsidR="00073A3D" w:rsidRPr="002E197B" w:rsidRDefault="00073A3D">
      <w:pPr>
        <w:pStyle w:val="BodyText"/>
        <w:tabs>
          <w:tab w:val="left" w:pos="0"/>
        </w:tabs>
        <w:jc w:val="center"/>
        <w:rPr>
          <w:b/>
        </w:rPr>
      </w:pPr>
    </w:p>
    <w:p w:rsidR="00073A3D" w:rsidRPr="002E197B" w:rsidRDefault="00D50503">
      <w:pPr>
        <w:jc w:val="center"/>
        <w:rPr>
          <w:rFonts w:eastAsia="Calibri"/>
          <w:b/>
        </w:rPr>
      </w:pPr>
      <w:r>
        <w:rPr>
          <w:b/>
        </w:rPr>
        <w:t>Άρθρο 4</w:t>
      </w:r>
    </w:p>
    <w:p w:rsidR="00073A3D" w:rsidRPr="002E197B" w:rsidRDefault="00073A3D">
      <w:pPr>
        <w:jc w:val="center"/>
        <w:rPr>
          <w:rFonts w:eastAsia="Calibri"/>
          <w:b/>
        </w:rPr>
      </w:pPr>
    </w:p>
    <w:p w:rsidR="00073A3D" w:rsidRPr="002E197B" w:rsidRDefault="00D50503">
      <w:pPr>
        <w:jc w:val="both"/>
        <w:rPr>
          <w:rFonts w:eastAsia="Calibri"/>
        </w:rPr>
      </w:pPr>
      <w:r>
        <w:t>Στο υποτμήμα 7, τμήμα 5, κεφάλαιο II, τίτλος I, βιβλίο II, του δεύτερου μέρους (διατάγματα του Συμβουλίου της Επικρατείας) του κώδικα ταχυδρομείων και ηλεκτρονικών επικοινωνιών εισάγεται το άρθρο R. 20-25-1 και άρθρο R. 20-25-2 τα οποία διατυπώνονται ως εξής:</w:t>
      </w:r>
    </w:p>
    <w:p w:rsidR="00073A3D" w:rsidRPr="002E197B" w:rsidRDefault="00073A3D">
      <w:pPr>
        <w:rPr>
          <w:rFonts w:eastAsia="Calibri"/>
        </w:rPr>
      </w:pPr>
    </w:p>
    <w:p w:rsidR="00073A3D" w:rsidRPr="002E197B" w:rsidRDefault="00D50503">
      <w:r>
        <w:t>«Άρθρο</w:t>
      </w:r>
      <w:r>
        <w:rPr>
          <w:i/>
        </w:rPr>
        <w:t xml:space="preserve"> R. 20-25-1.-</w:t>
      </w:r>
      <w:r>
        <w:t xml:space="preserve"> Τιμωρείται με τη χρηματική ποινή που προβλέπεται για τις παραβάσεις της τέταρτης κατηγορίας:</w:t>
      </w:r>
    </w:p>
    <w:p w:rsidR="00073A3D" w:rsidRPr="002E197B" w:rsidRDefault="00073A3D">
      <w:pPr>
        <w:rPr>
          <w:i/>
        </w:rPr>
      </w:pPr>
    </w:p>
    <w:p w:rsidR="00073A3D" w:rsidRPr="002E197B" w:rsidRDefault="00D50503">
      <w:pPr>
        <w:jc w:val="both"/>
      </w:pPr>
      <w:r>
        <w:t>«1° η πραγματοποίηση πτήσης μη επανδρωμένου αεροσκάφους από τον ιδιοκτήτη του χωρίς αυτό να διαθέτει τη διάταξη ηλεκτρονικής ή ψηφιακής προειδοποίησης που αναφέρεται στο πρώτο εδάφιο του άρθρου L. 34-9-2 και στην παράγραφο I του άρθρου R. 20-24- 2, ή χωρίς να έχει τεθεί η διάταξη ηλεκτρονικής ή ψηφιακής προειδοποίησης σε λειτουργική κατάσταση·</w:t>
      </w:r>
    </w:p>
    <w:p w:rsidR="00073A3D" w:rsidRPr="002E197B" w:rsidRDefault="00073A3D"/>
    <w:p w:rsidR="00073A3D" w:rsidRPr="002E197B" w:rsidRDefault="00D50503">
      <w:pPr>
        <w:jc w:val="both"/>
        <w:rPr>
          <w:rFonts w:eastAsia="Calibri"/>
        </w:rPr>
      </w:pPr>
      <w:r>
        <w:t>« 2° η πραγματοποίηση πτήσης μη επανδρωμένου αεροσκάφους από τον ιδιοκτήτη του χωρίς αυτό να διαθέτει τη διάταξη φωτεινής προειδοποίησης, που αναφέρεται στο πρώτο εδάφιο του άρθρου L. 34-9-2 και στην παράγραφο II του άρθρου R. 20-24-2, ή χωρίς να έχει τεθεί η διάταξη ηλεκτρονικής ή ψηφιακής προειδοποίησης σε λειτουργική κατάσταση. »</w:t>
      </w:r>
    </w:p>
    <w:p w:rsidR="00FA699A" w:rsidRPr="002E197B" w:rsidRDefault="00FA699A">
      <w:pPr>
        <w:jc w:val="both"/>
        <w:rPr>
          <w:rFonts w:eastAsia="Calibri"/>
        </w:rPr>
      </w:pPr>
    </w:p>
    <w:p w:rsidR="00FA699A" w:rsidRPr="002E197B" w:rsidRDefault="00FA699A" w:rsidP="00FA699A">
      <w:r>
        <w:t xml:space="preserve">«Άρθρο </w:t>
      </w:r>
      <w:r>
        <w:rPr>
          <w:i/>
        </w:rPr>
        <w:t>R. 20-25-2.-</w:t>
      </w:r>
      <w:r>
        <w:t xml:space="preserve"> Τιμωρείται με τη χρηματική ποινή που προβλέπεται για τις παραβάσεις της πέμπτης κατηγορίας:</w:t>
      </w:r>
    </w:p>
    <w:p w:rsidR="00FA699A" w:rsidRPr="002E197B" w:rsidRDefault="00FA699A" w:rsidP="00FA699A">
      <w:pPr>
        <w:rPr>
          <w:i/>
        </w:rPr>
      </w:pPr>
    </w:p>
    <w:p w:rsidR="00FA699A" w:rsidRPr="00311055" w:rsidRDefault="00FA699A" w:rsidP="00FA699A">
      <w:pPr>
        <w:pStyle w:val="BodyText"/>
        <w:rPr>
          <w:rFonts w:ascii="Times New              Roman;se" w:eastAsia="Calibri" w:hAnsi="Times New              Roman;se"/>
        </w:rPr>
      </w:pPr>
      <w:r>
        <w:rPr>
          <w:rFonts w:ascii="Times New              Roman;se" w:hAnsi="Times New              Roman;se"/>
        </w:rPr>
        <w:t>«Η εκ προθέσεως αποστολή ηλεκτρονικής ή ψηφιακής προειδοποίησης, που αναφέρεται στο πρώτο εδάφιο του άρθρου L. 34-9-2, η οποία δεν αντιστοιχεί σε μια πραγματική πτήση, που να βρίσκεται σε εξέλιξη κατά τη στιγμή της εκπομπής αυτής και η οποία προέρχεται από μη επανδρωμένο αεροσκάφος που έχει καταχωριστεί στη βάση που αναφέρεται στο άρθρο ΧΧΧ του κώδικα μεταφορών. »</w:t>
      </w:r>
    </w:p>
    <w:p w:rsidR="00073A3D" w:rsidRPr="002E197B" w:rsidRDefault="00073A3D">
      <w:pPr>
        <w:jc w:val="center"/>
        <w:rPr>
          <w:rFonts w:eastAsia="Calibri"/>
          <w:b/>
        </w:rPr>
      </w:pPr>
    </w:p>
    <w:p w:rsidR="00073A3D" w:rsidRPr="002E197B" w:rsidRDefault="00073A3D"/>
    <w:p w:rsidR="00073A3D" w:rsidRPr="002E197B" w:rsidRDefault="00D50503">
      <w:pPr>
        <w:jc w:val="center"/>
        <w:rPr>
          <w:b/>
          <w:bCs/>
        </w:rPr>
      </w:pPr>
      <w:r>
        <w:rPr>
          <w:b/>
        </w:rPr>
        <w:t>Άρθρο 5</w:t>
      </w:r>
    </w:p>
    <w:p w:rsidR="00073A3D" w:rsidRPr="002E197B" w:rsidRDefault="00073A3D"/>
    <w:p w:rsidR="00BE1E1D" w:rsidRPr="00311055" w:rsidRDefault="00D50503">
      <w:pPr>
        <w:pStyle w:val="BodyText"/>
        <w:rPr>
          <w:rFonts w:ascii="Times New              Roman;se" w:eastAsia="Calibri" w:hAnsi="Times New              Roman;se"/>
        </w:rPr>
      </w:pPr>
      <w:r>
        <w:rPr>
          <w:rFonts w:ascii="Times New              Roman;se" w:hAnsi="Times New              Roman;se"/>
        </w:rPr>
        <w:t>Στο εδάφιο 12 του άρθρου R.48-1 του κώδικα ποινικής δικονομίας, μετά από τις λέξεις «του κώδικα ποινικής δικονομίας», εισάγονται οι λέξεις «και τα άρθρα R. 20-25-1 και R. 20-25-2 του κώδικα ταχυδρομείων και ηλεκτρονικών επικοινωνιών. ».</w:t>
      </w:r>
    </w:p>
    <w:p w:rsidR="00073A3D" w:rsidRPr="002E197B" w:rsidRDefault="00073A3D"/>
    <w:p w:rsidR="00073A3D" w:rsidRPr="002E197B" w:rsidRDefault="00D50503">
      <w:pPr>
        <w:jc w:val="center"/>
        <w:rPr>
          <w:b/>
        </w:rPr>
      </w:pPr>
      <w:r>
        <w:rPr>
          <w:b/>
        </w:rPr>
        <w:t>Κεφάλαιο IV: τελικές διατάξεις</w:t>
      </w:r>
    </w:p>
    <w:p w:rsidR="00073A3D" w:rsidRPr="002E197B" w:rsidRDefault="00073A3D">
      <w:pPr>
        <w:rPr>
          <w:b/>
        </w:rPr>
      </w:pPr>
    </w:p>
    <w:p w:rsidR="00073A3D" w:rsidRPr="002E197B" w:rsidRDefault="00D50503">
      <w:pPr>
        <w:jc w:val="center"/>
        <w:rPr>
          <w:b/>
        </w:rPr>
      </w:pPr>
      <w:r>
        <w:rPr>
          <w:b/>
        </w:rPr>
        <w:t>Άρθρο 6</w:t>
      </w:r>
    </w:p>
    <w:p w:rsidR="00697687" w:rsidRPr="002E197B" w:rsidRDefault="00697687">
      <w:pPr>
        <w:pStyle w:val="BodyText"/>
      </w:pPr>
    </w:p>
    <w:p w:rsidR="00073A3D" w:rsidRPr="002E197B" w:rsidRDefault="00D50503">
      <w:pPr>
        <w:pStyle w:val="BodyText"/>
        <w:rPr>
          <w:b/>
        </w:rPr>
      </w:pPr>
      <w:r>
        <w:t>Οι διατάξεις του παρόντος διατάγματος εφαρμόζονται στη Γαλλική Πολυνησία, στις νήσους Ουάλις και Φουτούνα και στις Γαλλικές περιοχές του νοτίου ημισφαιρίου και της Ανταρκτικής.</w:t>
      </w:r>
    </w:p>
    <w:p w:rsidR="00073A3D" w:rsidRPr="002E197B" w:rsidRDefault="00073A3D">
      <w:pPr>
        <w:jc w:val="center"/>
        <w:rPr>
          <w:b/>
        </w:rPr>
      </w:pPr>
    </w:p>
    <w:p w:rsidR="00073A3D" w:rsidRPr="002E197B" w:rsidRDefault="00D50503">
      <w:pPr>
        <w:pStyle w:val="BodyText"/>
        <w:jc w:val="center"/>
        <w:rPr>
          <w:b/>
        </w:rPr>
      </w:pPr>
      <w:r>
        <w:rPr>
          <w:b/>
        </w:rPr>
        <w:t>Άρθρο 7</w:t>
      </w:r>
    </w:p>
    <w:p w:rsidR="00073A3D" w:rsidRPr="002E197B" w:rsidRDefault="00D50503">
      <w:pPr>
        <w:pStyle w:val="SNAutorit"/>
        <w:spacing w:before="120" w:after="0"/>
        <w:ind w:firstLine="0"/>
        <w:jc w:val="both"/>
      </w:pPr>
      <w:r>
        <w:rPr>
          <w:rFonts w:ascii="Times New              Roman;se" w:hAnsi="Times New              Roman;se"/>
          <w:b w:val="0"/>
        </w:rPr>
        <w:t>Το παρόν διάταγμα τίθεται σε ισχύ την επόμενη ημέρα από τη δημοσίευσή του, με εξαίρεση τις διατάξεις των άρθρων R. 20-25-1 και R. 20-25-2 του κώδικα ταχυδρομείων και ηλεκτρονικών επικοινωνιών που τίθενται σε ισχύ την 1η Ιανουαρίου 2019.</w:t>
      </w:r>
    </w:p>
    <w:p w:rsidR="00073A3D" w:rsidRPr="002E197B" w:rsidRDefault="00D50503">
      <w:pPr>
        <w:pStyle w:val="SNArticle"/>
      </w:pPr>
      <w:r>
        <w:t>Άρθρο 8</w:t>
      </w:r>
    </w:p>
    <w:p w:rsidR="00073A3D" w:rsidRPr="002E197B" w:rsidRDefault="00D50503">
      <w:pPr>
        <w:pStyle w:val="BodyText"/>
      </w:pPr>
      <w:r>
        <w:t xml:space="preserve">Ο υπουργός Επικρατείας, υπουργός Εσωτερικών, ο υπουργός Επικρατείας, υπουργός Οικολογικής και Αλληλέγγυας Μετάβασης, η Σφραγιδοφύλακας, υπουργός Δικαιοσύνης, ο υπουργός Οικονομίας και Οικονομικών, ο υπουργός Υπερπόντιων Διαμερισμάτων και Εδαφών και η υπουργός παρά τω υπουργώ Επικρατείας, υπουργός Οικολογικής και Αλληλέγγυας Μετάβασης, η οποία είναι αρμόδια για τις μεταφορές είναι επιφορτισμένοι, ο καθένας στον τομέα της αρμοδιότητάς του, με την εκτέλεση του παρόντος διατάγματος, που θα δημοσιευθεί στην </w:t>
      </w:r>
      <w:r>
        <w:rPr>
          <w:i/>
        </w:rPr>
        <w:t>Επίσημη Εφημερίδα</w:t>
      </w:r>
      <w:r>
        <w:t xml:space="preserve"> της Γαλλικής Δημοκρατίας.</w:t>
      </w:r>
      <w:bookmarkStart w:id="0" w:name="_GoBack"/>
      <w:bookmarkEnd w:id="0"/>
    </w:p>
    <w:p w:rsidR="00073A3D" w:rsidRPr="002E197B" w:rsidRDefault="00D50503">
      <w:pPr>
        <w:pStyle w:val="SNDate"/>
      </w:pPr>
      <w:r>
        <w:t>Συντάχθηκε την .</w:t>
      </w:r>
    </w:p>
    <w:p w:rsidR="00073A3D" w:rsidRPr="002E197B" w:rsidRDefault="00D50503">
      <w:pPr>
        <w:pStyle w:val="SNDate"/>
      </w:pPr>
      <w:r>
        <w:t>Για τον Πρωθυπουργό:</w:t>
      </w:r>
    </w:p>
    <w:p w:rsidR="00073A3D" w:rsidRPr="002E197B" w:rsidRDefault="00D50503">
      <w:pPr>
        <w:pStyle w:val="SNSignatureGauche"/>
      </w:pPr>
      <w:r>
        <w:lastRenderedPageBreak/>
        <w:t>Ο υπουργός Επικρατείας, υπουργός Εσωτερικών,</w:t>
      </w:r>
    </w:p>
    <w:p w:rsidR="00073A3D" w:rsidRPr="002E197B" w:rsidRDefault="00D50503">
      <w:pPr>
        <w:pStyle w:val="SNSignatureprnomnomGauche"/>
        <w:rPr>
          <w:color w:val="auto"/>
        </w:rPr>
      </w:pPr>
      <w:r>
        <w:rPr>
          <w:color w:val="auto"/>
        </w:rPr>
        <w:t>Gérard COLLOMB</w:t>
      </w:r>
    </w:p>
    <w:p w:rsidR="00073A3D" w:rsidRPr="002E197B" w:rsidRDefault="00D50503">
      <w:pPr>
        <w:pStyle w:val="SNSignatureDroite"/>
        <w:rPr>
          <w:color w:val="auto"/>
        </w:rPr>
      </w:pPr>
      <w:r>
        <w:rPr>
          <w:color w:val="auto"/>
        </w:rPr>
        <w:t>Ο υπουργός Επικρατείας, υπουργός Οικολογικής και Αλληλέγγυας Μετάβασης,</w:t>
      </w:r>
    </w:p>
    <w:p w:rsidR="00073A3D" w:rsidRPr="002E197B" w:rsidRDefault="00D50503">
      <w:pPr>
        <w:pStyle w:val="SNSignatureDroite"/>
        <w:rPr>
          <w:color w:val="auto"/>
        </w:rPr>
      </w:pPr>
      <w:r>
        <w:rPr>
          <w:color w:val="auto"/>
        </w:rPr>
        <w:t>Nicolas HULOT</w:t>
      </w:r>
    </w:p>
    <w:p w:rsidR="00000ECF" w:rsidRPr="002E197B" w:rsidRDefault="00000ECF" w:rsidP="00697687">
      <w:pPr>
        <w:pStyle w:val="SNSignatureprnomnomDroite"/>
        <w:ind w:left="0"/>
        <w:jc w:val="left"/>
        <w:rPr>
          <w:color w:val="auto"/>
        </w:rPr>
      </w:pPr>
      <w:r>
        <w:rPr>
          <w:color w:val="auto"/>
        </w:rPr>
        <w:t>Η Σφραγιδοφύλακας, υπουργός Δικαιοσύνης</w:t>
      </w:r>
    </w:p>
    <w:p w:rsidR="00697687" w:rsidRPr="002E197B" w:rsidRDefault="00697687" w:rsidP="00697687">
      <w:pPr>
        <w:pStyle w:val="SNSignatureprnomnomGauche"/>
        <w:tabs>
          <w:tab w:val="left" w:pos="9354"/>
        </w:tabs>
        <w:ind w:left="0"/>
        <w:rPr>
          <w:color w:val="auto"/>
        </w:rPr>
      </w:pPr>
    </w:p>
    <w:p w:rsidR="00697687" w:rsidRPr="002E197B" w:rsidRDefault="00697687" w:rsidP="00697687">
      <w:pPr>
        <w:pStyle w:val="SNSignatureprnomnomGauche"/>
        <w:tabs>
          <w:tab w:val="left" w:pos="9354"/>
        </w:tabs>
        <w:ind w:left="0"/>
        <w:rPr>
          <w:color w:val="auto"/>
        </w:rPr>
      </w:pPr>
    </w:p>
    <w:p w:rsidR="00697687" w:rsidRPr="002E197B" w:rsidRDefault="00697687" w:rsidP="00697687">
      <w:pPr>
        <w:pStyle w:val="SNSignatureprnomnomGauche"/>
        <w:tabs>
          <w:tab w:val="left" w:pos="9354"/>
        </w:tabs>
        <w:ind w:left="0"/>
        <w:rPr>
          <w:color w:val="auto"/>
        </w:rPr>
      </w:pPr>
    </w:p>
    <w:p w:rsidR="00D47282" w:rsidRPr="002E197B" w:rsidRDefault="00000ECF" w:rsidP="00697687">
      <w:pPr>
        <w:pStyle w:val="SNSignatureprnomnomGauche"/>
        <w:tabs>
          <w:tab w:val="left" w:pos="9354"/>
        </w:tabs>
        <w:ind w:left="0"/>
        <w:rPr>
          <w:color w:val="auto"/>
        </w:rPr>
      </w:pPr>
      <w:r>
        <w:rPr>
          <w:color w:val="auto"/>
        </w:rPr>
        <w:t>Nicole BELLOUBET</w:t>
      </w:r>
    </w:p>
    <w:p w:rsidR="00697687" w:rsidRPr="002E197B" w:rsidRDefault="00697687">
      <w:pPr>
        <w:pStyle w:val="SNSignatureGauche"/>
      </w:pPr>
    </w:p>
    <w:p w:rsidR="00073A3D" w:rsidRPr="002E197B" w:rsidRDefault="00D50503">
      <w:pPr>
        <w:pStyle w:val="SNSignatureGauche"/>
      </w:pPr>
      <w:r>
        <w:t>Ο υπουργός Οικονομίας και Οικονομικών,</w:t>
      </w:r>
    </w:p>
    <w:p w:rsidR="00073A3D" w:rsidRPr="002E197B" w:rsidRDefault="00D50503">
      <w:pPr>
        <w:pStyle w:val="SNSignatureGauche"/>
      </w:pPr>
      <w:r>
        <w:t>Bruno LEMAIRE</w:t>
      </w:r>
    </w:p>
    <w:p w:rsidR="00073A3D" w:rsidRPr="002E197B" w:rsidRDefault="00F54C64" w:rsidP="002E197B">
      <w:pPr>
        <w:pStyle w:val="SNSignatureprnomnomGauche"/>
        <w:tabs>
          <w:tab w:val="left" w:pos="5812"/>
          <w:tab w:val="left" w:pos="6237"/>
          <w:tab w:val="left" w:pos="6379"/>
          <w:tab w:val="left" w:pos="7230"/>
          <w:tab w:val="left" w:pos="7797"/>
          <w:tab w:val="left" w:pos="8364"/>
        </w:tabs>
        <w:ind w:left="0" w:right="0"/>
        <w:jc w:val="right"/>
        <w:rPr>
          <w:color w:val="auto"/>
        </w:rPr>
      </w:pPr>
      <w:r>
        <w:rPr>
          <w:color w:val="auto"/>
        </w:rPr>
        <w:lastRenderedPageBreak/>
        <w:t>Η υπουργός Υπερπόντιων Διαμερισμάτων και Εδαφών,</w:t>
      </w:r>
    </w:p>
    <w:p w:rsidR="00073A3D" w:rsidRPr="002E197B" w:rsidRDefault="00073A3D">
      <w:pPr>
        <w:pStyle w:val="SNSignatureGauche"/>
        <w:tabs>
          <w:tab w:val="left" w:pos="8222"/>
        </w:tabs>
      </w:pPr>
    </w:p>
    <w:p w:rsidR="00073A3D" w:rsidRPr="002E197B" w:rsidRDefault="00D50503" w:rsidP="002E197B">
      <w:pPr>
        <w:pStyle w:val="SNSignatureGauche"/>
        <w:tabs>
          <w:tab w:val="left" w:pos="8222"/>
        </w:tabs>
        <w:ind w:left="0" w:right="0"/>
        <w:jc w:val="right"/>
      </w:pPr>
      <w:r>
        <w:t>Annick GIRARDIN</w:t>
      </w:r>
    </w:p>
    <w:p w:rsidR="00073A3D" w:rsidRPr="002E197B" w:rsidRDefault="00D50503">
      <w:pPr>
        <w:pStyle w:val="SNSignatureGauche"/>
      </w:pPr>
      <w:r>
        <w:t>Η υπουργός παρά τω υπουργώ Επικρατείας, υπουργός Οικολογικής και Αλληλέγγυας Μετάβασης, η οποία είναι αρμόδια για τις μεταφορές</w:t>
      </w:r>
    </w:p>
    <w:p w:rsidR="00073A3D" w:rsidRPr="002E197B" w:rsidRDefault="00D50503">
      <w:pPr>
        <w:pStyle w:val="SNSignatureGauche"/>
      </w:pPr>
      <w:r>
        <w:t>Elisabeth BORNE</w:t>
      </w:r>
    </w:p>
    <w:sectPr w:rsidR="00073A3D" w:rsidRPr="002E197B" w:rsidSect="0014705D">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B47" w:rsidRDefault="00353B47" w:rsidP="00660ECB">
      <w:r>
        <w:separator/>
      </w:r>
    </w:p>
  </w:endnote>
  <w:endnote w:type="continuationSeparator" w:id="0">
    <w:p w:rsidR="00353B47" w:rsidRDefault="00353B47" w:rsidP="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Liberation Sans">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s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B47" w:rsidRDefault="00353B47" w:rsidP="00660ECB">
      <w:r>
        <w:separator/>
      </w:r>
    </w:p>
  </w:footnote>
  <w:footnote w:type="continuationSeparator" w:id="0">
    <w:p w:rsidR="00353B47" w:rsidRDefault="00353B47" w:rsidP="00660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B47FD"/>
    <w:multiLevelType w:val="multilevel"/>
    <w:tmpl w:val="CF72BE8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3D"/>
    <w:rsid w:val="00000ECF"/>
    <w:rsid w:val="000448F5"/>
    <w:rsid w:val="00073A3D"/>
    <w:rsid w:val="0014705D"/>
    <w:rsid w:val="002E197B"/>
    <w:rsid w:val="00311055"/>
    <w:rsid w:val="00353B47"/>
    <w:rsid w:val="003723F5"/>
    <w:rsid w:val="00397D5C"/>
    <w:rsid w:val="003B26B1"/>
    <w:rsid w:val="003D3349"/>
    <w:rsid w:val="003D5A5C"/>
    <w:rsid w:val="003F769D"/>
    <w:rsid w:val="00422E3C"/>
    <w:rsid w:val="004D1C2C"/>
    <w:rsid w:val="005527AE"/>
    <w:rsid w:val="005F3DB6"/>
    <w:rsid w:val="00660ECB"/>
    <w:rsid w:val="006732B4"/>
    <w:rsid w:val="00697687"/>
    <w:rsid w:val="0082741D"/>
    <w:rsid w:val="008E4588"/>
    <w:rsid w:val="009A32C8"/>
    <w:rsid w:val="009A4C69"/>
    <w:rsid w:val="00AD7A1C"/>
    <w:rsid w:val="00B73D02"/>
    <w:rsid w:val="00BE1E1D"/>
    <w:rsid w:val="00BF6B0E"/>
    <w:rsid w:val="00D47282"/>
    <w:rsid w:val="00D50503"/>
    <w:rsid w:val="00F54C64"/>
    <w:rsid w:val="00FA699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5B853D-18B4-4C1E-9F3C-52D03DC4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el-GR" w:eastAsia="el-GR" w:bidi="el-G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rPr>
  </w:style>
  <w:style w:type="paragraph" w:styleId="Heading1">
    <w:name w:val="heading 1"/>
    <w:basedOn w:val="Normal"/>
    <w:next w:val="Normal"/>
    <w:qFormat/>
    <w:pPr>
      <w:keepNext/>
      <w:numPr>
        <w:numId w:val="1"/>
      </w:numPr>
      <w:spacing w:before="240"/>
      <w:jc w:val="center"/>
      <w:outlineLvl w:val="0"/>
    </w:pPr>
    <w:rPr>
      <w:rFonts w:cs="Arial"/>
      <w:bCs/>
      <w:caps/>
    </w:rPr>
  </w:style>
  <w:style w:type="paragraph" w:styleId="Heading2">
    <w:name w:val="heading 2"/>
    <w:basedOn w:val="Normal"/>
    <w:next w:val="Normal"/>
    <w:qFormat/>
    <w:pPr>
      <w:keepNext/>
      <w:numPr>
        <w:ilvl w:val="1"/>
        <w:numId w:val="1"/>
      </w:numPr>
      <w:spacing w:before="240"/>
      <w:jc w:val="center"/>
      <w:outlineLvl w:val="1"/>
    </w:pPr>
    <w:rPr>
      <w:bCs/>
      <w:iCs/>
      <w:smallCaps/>
    </w:rPr>
  </w:style>
  <w:style w:type="paragraph" w:styleId="Heading3">
    <w:name w:val="heading 3"/>
    <w:basedOn w:val="Normal"/>
    <w:next w:val="Normal"/>
    <w:qFormat/>
    <w:pPr>
      <w:keepNext/>
      <w:numPr>
        <w:ilvl w:val="2"/>
        <w:numId w:val="1"/>
      </w:numPr>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el-GR" w:bidi="el-GR"/>
    </w:rPr>
  </w:style>
  <w:style w:type="character" w:customStyle="1" w:styleId="SNDateCar">
    <w:name w:val="SNDate Car"/>
    <w:qFormat/>
    <w:rPr>
      <w:sz w:val="24"/>
      <w:szCs w:val="24"/>
      <w:lang w:val="el-GR" w:bidi="el-GR"/>
    </w:rPr>
  </w:style>
  <w:style w:type="character" w:customStyle="1" w:styleId="SNArticleCar">
    <w:name w:val="SNArticle Car"/>
    <w:qFormat/>
    <w:rPr>
      <w:b/>
      <w:sz w:val="24"/>
      <w:szCs w:val="24"/>
      <w:lang w:val="el-GR" w:bidi="el-GR"/>
    </w:rPr>
  </w:style>
  <w:style w:type="character" w:customStyle="1" w:styleId="SNenProjet">
    <w:name w:val="SNenProjet"/>
    <w:basedOn w:val="Policepardfaut1"/>
    <w:qFormat/>
  </w:style>
  <w:style w:type="character" w:customStyle="1" w:styleId="Marquedecommentaire1">
    <w:name w:val="Marque de commentaire1"/>
    <w:qFormat/>
    <w:rPr>
      <w:sz w:val="16"/>
      <w:szCs w:val="16"/>
    </w:rPr>
  </w:style>
  <w:style w:type="character" w:customStyle="1" w:styleId="CommentaireCar">
    <w:name w:val="Commentaire Car"/>
    <w:basedOn w:val="Policepardfaut1"/>
    <w:qFormat/>
  </w:style>
  <w:style w:type="character" w:customStyle="1" w:styleId="ObjetducommentaireCar">
    <w:name w:val="Objet du commentaire Car"/>
    <w:qFormat/>
    <w:rPr>
      <w:b/>
      <w:bCs/>
    </w:rPr>
  </w:style>
  <w:style w:type="character" w:customStyle="1" w:styleId="TextebrutCar">
    <w:name w:val="Texte brut Car"/>
    <w:qFormat/>
    <w:rPr>
      <w:rFonts w:ascii="Calibri" w:eastAsia="Calibri" w:hAnsi="Calibri" w:cs="Calibri"/>
      <w:color w:val="000000"/>
      <w:sz w:val="22"/>
      <w:szCs w:val="22"/>
    </w:rPr>
  </w:style>
  <w:style w:type="character" w:styleId="CommentReference">
    <w:name w:val="annotation reference"/>
    <w:qFormat/>
    <w:rPr>
      <w:sz w:val="16"/>
      <w:szCs w:val="16"/>
    </w:rPr>
  </w:style>
  <w:style w:type="character" w:customStyle="1" w:styleId="CommentaireCar1">
    <w:name w:val="Commentaire Car1"/>
    <w:qFormat/>
    <w:rPr>
      <w:lang w:eastAsia="el-GR"/>
    </w:rPr>
  </w:style>
  <w:style w:type="paragraph" w:styleId="Title">
    <w:name w:val="Title"/>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20"/>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Titre1">
    <w:name w:val="Titre1"/>
    <w:basedOn w:val="Normal"/>
    <w:next w:val="BodyText"/>
    <w:qFormat/>
    <w:pPr>
      <w:keepNext/>
      <w:spacing w:before="240" w:after="120"/>
    </w:pPr>
    <w:rPr>
      <w:rFonts w:ascii="Liberation Sans" w:eastAsia="微软雅黑" w:hAnsi="Liberation Sans" w:cs="Lucida Sans"/>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504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BodyText"/>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rPr>
  </w:style>
  <w:style w:type="paragraph" w:customStyle="1" w:styleId="Titre2objet">
    <w:name w:val="Titre 2 objet"/>
    <w:basedOn w:val="Heading2"/>
    <w:next w:val="Normal"/>
    <w:qFormat/>
    <w:pPr>
      <w:numPr>
        <w:ilvl w:val="0"/>
        <w:numId w:val="0"/>
      </w:numPr>
      <w:spacing w:before="0" w:after="120"/>
    </w:pPr>
    <w:rPr>
      <w:b/>
    </w:rPr>
  </w:style>
  <w:style w:type="paragraph" w:customStyle="1" w:styleId="titre3objet">
    <w:name w:val="titre 3 objet"/>
    <w:basedOn w:val="Heading3"/>
    <w:next w:val="Normal"/>
    <w:qFormat/>
    <w:pPr>
      <w:numPr>
        <w:ilvl w:val="0"/>
        <w:numId w:val="0"/>
      </w:numPr>
      <w:spacing w:before="0" w:after="120"/>
    </w:pPr>
    <w:rPr>
      <w:b/>
    </w:r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Textebrut1">
    <w:name w:val="Texte brut1"/>
    <w:basedOn w:val="Normal"/>
    <w:qFormat/>
    <w:rPr>
      <w:rFonts w:ascii="Calibri" w:eastAsia="Calibri" w:hAnsi="Calibri" w:cs="Calibri"/>
      <w:color w:val="000000"/>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qFormat/>
    <w:rPr>
      <w:sz w:val="20"/>
      <w:szCs w:val="20"/>
    </w:rPr>
  </w:style>
  <w:style w:type="paragraph" w:styleId="ListParagraph">
    <w:name w:val="List Paragraph"/>
    <w:basedOn w:val="Normal"/>
    <w:qFormat/>
    <w:pPr>
      <w:suppressAutoHyphens w:val="0"/>
      <w:ind w:left="720"/>
    </w:pPr>
    <w:rPr>
      <w:rFonts w:eastAsia="Calibri"/>
      <w:color w:val="000000"/>
    </w:rPr>
  </w:style>
  <w:style w:type="numbering" w:customStyle="1" w:styleId="WW8Num1">
    <w:name w:val="WW8Num1"/>
    <w:qFormat/>
  </w:style>
  <w:style w:type="paragraph" w:styleId="Header">
    <w:name w:val="header"/>
    <w:basedOn w:val="Normal"/>
    <w:link w:val="HeaderChar"/>
    <w:uiPriority w:val="99"/>
    <w:unhideWhenUsed/>
    <w:rsid w:val="00660ECB"/>
    <w:pPr>
      <w:tabs>
        <w:tab w:val="center" w:pos="4320"/>
        <w:tab w:val="right" w:pos="8640"/>
      </w:tabs>
    </w:pPr>
  </w:style>
  <w:style w:type="character" w:customStyle="1" w:styleId="HeaderChar">
    <w:name w:val="Header Char"/>
    <w:basedOn w:val="DefaultParagraphFont"/>
    <w:link w:val="Header"/>
    <w:uiPriority w:val="99"/>
    <w:rsid w:val="00660ECB"/>
    <w:rPr>
      <w:rFonts w:ascii="Times New Roman" w:eastAsia="Times New Roman" w:hAnsi="Times New Roman" w:cs="Times New Roman"/>
      <w:sz w:val="24"/>
      <w:lang w:bidi="el-GR"/>
    </w:rPr>
  </w:style>
  <w:style w:type="paragraph" w:styleId="Footer">
    <w:name w:val="footer"/>
    <w:basedOn w:val="Normal"/>
    <w:link w:val="FooterChar"/>
    <w:uiPriority w:val="99"/>
    <w:unhideWhenUsed/>
    <w:rsid w:val="00660ECB"/>
    <w:pPr>
      <w:tabs>
        <w:tab w:val="center" w:pos="4320"/>
        <w:tab w:val="right" w:pos="8640"/>
      </w:tabs>
    </w:pPr>
  </w:style>
  <w:style w:type="character" w:customStyle="1" w:styleId="FooterChar">
    <w:name w:val="Footer Char"/>
    <w:basedOn w:val="DefaultParagraphFont"/>
    <w:link w:val="Footer"/>
    <w:uiPriority w:val="99"/>
    <w:rsid w:val="00660ECB"/>
    <w:rPr>
      <w:rFonts w:ascii="Times New Roman" w:eastAsia="Times New Roman" w:hAnsi="Times New Roman" w:cs="Times New Roman"/>
      <w:sz w:val="24"/>
      <w:lang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1829</Words>
  <Characters>10427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MINEFI</Company>
  <LinksUpToDate>false</LinksUpToDate>
  <CharactersWithSpaces>12232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Ke, Tingting</cp:lastModifiedBy>
  <cp:revision>6</cp:revision>
  <cp:lastPrinted>2018-03-29T14:13:00Z</cp:lastPrinted>
  <dcterms:created xsi:type="dcterms:W3CDTF">2018-03-28T11:38:00Z</dcterms:created>
  <dcterms:modified xsi:type="dcterms:W3CDTF">2018-04-20T11:40:00Z</dcterms:modified>
  <dc:language>fr-FR</dc:language>
</cp:coreProperties>
</file>