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227" w:rsidRDefault="00982227" w:rsidP="00D3158A">
      <w:pPr>
        <w:autoSpaceDE w:val="0"/>
        <w:autoSpaceDN w:val="0"/>
        <w:adjustRightInd w:val="0"/>
        <w:spacing w:after="0" w:line="240" w:lineRule="auto"/>
        <w:jc w:val="right"/>
        <w:rPr>
          <w:rFonts w:ascii="Arial" w:hAnsi="Arial" w:cs="Arial"/>
          <w:sz w:val="24"/>
          <w:szCs w:val="24"/>
        </w:rPr>
      </w:pPr>
      <w:r>
        <w:rPr>
          <w:rFonts w:ascii="Courier New" w:hAnsi="Courier New"/>
          <w:sz w:val="20"/>
        </w:rPr>
        <w:t>1. --</w:t>
      </w:r>
      <w:r w:rsidR="00D3158A">
        <w:rPr>
          <w:rFonts w:ascii="Courier New" w:hAnsi="Courier New"/>
          <w:sz w:val="20"/>
        </w:rPr>
        <w:t>-</w:t>
      </w:r>
      <w:r>
        <w:rPr>
          <w:rFonts w:ascii="Courier New" w:hAnsi="Courier New"/>
          <w:sz w:val="20"/>
        </w:rPr>
        <w:t xml:space="preserve">---IND- 2019 0282 F-- CS- ------ </w:t>
      </w:r>
      <w:r>
        <w:rPr>
          <w:rFonts w:ascii="Segoe UI" w:hAnsi="Segoe UI"/>
          <w:color w:val="000000"/>
          <w:sz w:val="20"/>
        </w:rPr>
        <w:t>20200831</w:t>
      </w:r>
      <w:r>
        <w:rPr>
          <w:rFonts w:ascii="Calibri" w:hAnsi="Calibri"/>
          <w:sz w:val="20"/>
        </w:rPr>
        <w:t xml:space="preserve"> </w:t>
      </w:r>
      <w:r>
        <w:rPr>
          <w:rFonts w:ascii="Courier New" w:hAnsi="Courier New"/>
          <w:sz w:val="20"/>
        </w:rPr>
        <w:t>--- --- FINAL</w:t>
      </w:r>
    </w:p>
    <w:p w:rsidR="00361F21" w:rsidRPr="00542B05" w:rsidRDefault="007C0D57" w:rsidP="00D3158A">
      <w:pPr>
        <w:autoSpaceDE w:val="0"/>
        <w:autoSpaceDN w:val="0"/>
        <w:adjustRightInd w:val="0"/>
        <w:spacing w:after="0" w:line="240" w:lineRule="auto"/>
        <w:jc w:val="right"/>
        <w:rPr>
          <w:rFonts w:ascii="Arial" w:hAnsi="Arial" w:cs="Arial"/>
          <w:sz w:val="24"/>
          <w:szCs w:val="24"/>
        </w:rPr>
      </w:pPr>
      <w:r>
        <w:rPr>
          <w:rFonts w:ascii="Arial" w:hAnsi="Arial"/>
          <w:sz w:val="24"/>
        </w:rPr>
        <w:t>10. dubna 2020</w:t>
      </w:r>
    </w:p>
    <w:p w:rsidR="00D73FDB" w:rsidRPr="00542B05" w:rsidRDefault="00D73FDB" w:rsidP="00D3158A">
      <w:pPr>
        <w:autoSpaceDE w:val="0"/>
        <w:autoSpaceDN w:val="0"/>
        <w:adjustRightInd w:val="0"/>
        <w:spacing w:after="0" w:line="240" w:lineRule="auto"/>
        <w:rPr>
          <w:rFonts w:ascii="Arial" w:hAnsi="Arial" w:cs="Arial"/>
          <w:sz w:val="24"/>
          <w:szCs w:val="24"/>
        </w:rPr>
      </w:pPr>
    </w:p>
    <w:p w:rsidR="00D73FDB" w:rsidRPr="00542B05" w:rsidRDefault="00D73FDB" w:rsidP="00D3158A">
      <w:pPr>
        <w:autoSpaceDE w:val="0"/>
        <w:autoSpaceDN w:val="0"/>
        <w:adjustRightInd w:val="0"/>
        <w:spacing w:after="0" w:line="240" w:lineRule="auto"/>
        <w:rPr>
          <w:rFonts w:ascii="Arial" w:hAnsi="Arial" w:cs="Arial"/>
          <w:sz w:val="24"/>
          <w:szCs w:val="24"/>
        </w:rPr>
      </w:pPr>
    </w:p>
    <w:p w:rsidR="00361F21" w:rsidRPr="00542B05" w:rsidRDefault="007C0D57" w:rsidP="00D3158A">
      <w:pPr>
        <w:autoSpaceDE w:val="0"/>
        <w:autoSpaceDN w:val="0"/>
        <w:adjustRightInd w:val="0"/>
        <w:spacing w:after="0" w:line="240" w:lineRule="auto"/>
        <w:jc w:val="center"/>
        <w:rPr>
          <w:rFonts w:ascii="Arial" w:hAnsi="Arial" w:cs="Arial"/>
          <w:sz w:val="24"/>
          <w:szCs w:val="24"/>
        </w:rPr>
      </w:pPr>
      <w:r>
        <w:rPr>
          <w:rFonts w:ascii="Arial" w:hAnsi="Arial"/>
          <w:sz w:val="24"/>
        </w:rPr>
        <w:t>Úřední věstník Francouzské republiky č. 0088 ze dne 10. dubna 2020</w:t>
      </w:r>
    </w:p>
    <w:p w:rsidR="00D73FDB" w:rsidRPr="00542B05" w:rsidRDefault="00D73FDB" w:rsidP="00D3158A">
      <w:pPr>
        <w:autoSpaceDE w:val="0"/>
        <w:autoSpaceDN w:val="0"/>
        <w:adjustRightInd w:val="0"/>
        <w:spacing w:after="0" w:line="240" w:lineRule="auto"/>
        <w:rPr>
          <w:rFonts w:ascii="Arial" w:hAnsi="Arial" w:cs="Arial"/>
          <w:sz w:val="24"/>
          <w:szCs w:val="24"/>
        </w:rPr>
      </w:pPr>
    </w:p>
    <w:p w:rsidR="00361F21" w:rsidRPr="00542B05" w:rsidRDefault="007C0D57" w:rsidP="00D3158A">
      <w:pPr>
        <w:autoSpaceDE w:val="0"/>
        <w:autoSpaceDN w:val="0"/>
        <w:adjustRightInd w:val="0"/>
        <w:spacing w:after="0" w:line="240" w:lineRule="auto"/>
        <w:jc w:val="center"/>
        <w:rPr>
          <w:rFonts w:ascii="Arial" w:hAnsi="Arial" w:cs="Arial"/>
          <w:sz w:val="24"/>
          <w:szCs w:val="24"/>
        </w:rPr>
      </w:pPr>
      <w:r>
        <w:rPr>
          <w:rFonts w:ascii="Arial" w:hAnsi="Arial"/>
          <w:sz w:val="24"/>
        </w:rPr>
        <w:t>Text č. 14</w:t>
      </w:r>
    </w:p>
    <w:p w:rsidR="00D73FDB" w:rsidRPr="00542B05" w:rsidRDefault="00D73FDB" w:rsidP="00D3158A">
      <w:pPr>
        <w:autoSpaceDE w:val="0"/>
        <w:autoSpaceDN w:val="0"/>
        <w:adjustRightInd w:val="0"/>
        <w:spacing w:after="0" w:line="240" w:lineRule="auto"/>
        <w:rPr>
          <w:rFonts w:ascii="Arial" w:hAnsi="Arial" w:cs="Arial"/>
          <w:sz w:val="24"/>
          <w:szCs w:val="24"/>
        </w:rPr>
      </w:pPr>
    </w:p>
    <w:p w:rsidR="00D73FDB" w:rsidRPr="00542B05" w:rsidRDefault="00D73FDB" w:rsidP="00D3158A">
      <w:pPr>
        <w:autoSpaceDE w:val="0"/>
        <w:autoSpaceDN w:val="0"/>
        <w:adjustRightInd w:val="0"/>
        <w:spacing w:after="0" w:line="240" w:lineRule="auto"/>
        <w:rPr>
          <w:rFonts w:ascii="Arial" w:hAnsi="Arial" w:cs="Arial"/>
          <w:sz w:val="24"/>
          <w:szCs w:val="24"/>
        </w:rPr>
      </w:pPr>
    </w:p>
    <w:p w:rsidR="00361F21" w:rsidRPr="00542B05" w:rsidRDefault="007C0D57" w:rsidP="00D3158A">
      <w:pPr>
        <w:autoSpaceDE w:val="0"/>
        <w:autoSpaceDN w:val="0"/>
        <w:adjustRightInd w:val="0"/>
        <w:spacing w:after="0" w:line="240" w:lineRule="auto"/>
        <w:jc w:val="center"/>
        <w:rPr>
          <w:rFonts w:ascii="Arial" w:hAnsi="Arial" w:cs="Arial"/>
          <w:sz w:val="24"/>
          <w:szCs w:val="24"/>
        </w:rPr>
      </w:pPr>
      <w:r>
        <w:rPr>
          <w:rFonts w:ascii="Arial" w:hAnsi="Arial"/>
          <w:b/>
          <w:sz w:val="24"/>
        </w:rPr>
        <w:t>Vyhláška ze dne 6. dubna 2020 o podmínkách povolení přípravku na ochranu rostlin k „amatérskému“ použití</w:t>
      </w:r>
    </w:p>
    <w:p w:rsidR="00D73FDB" w:rsidRPr="00542B05" w:rsidRDefault="00D73FDB" w:rsidP="00D3158A">
      <w:pPr>
        <w:autoSpaceDE w:val="0"/>
        <w:autoSpaceDN w:val="0"/>
        <w:adjustRightInd w:val="0"/>
        <w:spacing w:after="0" w:line="240" w:lineRule="auto"/>
        <w:rPr>
          <w:rFonts w:ascii="Arial" w:hAnsi="Arial" w:cs="Arial"/>
          <w:sz w:val="24"/>
          <w:szCs w:val="24"/>
        </w:rPr>
      </w:pPr>
    </w:p>
    <w:p w:rsidR="00361F21" w:rsidRPr="00542B05" w:rsidRDefault="007C0D57" w:rsidP="00D3158A">
      <w:pPr>
        <w:autoSpaceDE w:val="0"/>
        <w:autoSpaceDN w:val="0"/>
        <w:adjustRightInd w:val="0"/>
        <w:spacing w:after="0" w:line="240" w:lineRule="auto"/>
        <w:jc w:val="center"/>
        <w:rPr>
          <w:rFonts w:ascii="Arial" w:hAnsi="Arial" w:cs="Arial"/>
          <w:sz w:val="24"/>
          <w:szCs w:val="24"/>
        </w:rPr>
      </w:pPr>
      <w:r>
        <w:rPr>
          <w:rFonts w:ascii="Arial" w:hAnsi="Arial"/>
          <w:sz w:val="24"/>
        </w:rPr>
        <w:t>NOR: AGRG1932122A</w:t>
      </w:r>
    </w:p>
    <w:p w:rsidR="00D73FDB" w:rsidRPr="00542B05" w:rsidRDefault="00D73FDB" w:rsidP="00D3158A">
      <w:pPr>
        <w:autoSpaceDE w:val="0"/>
        <w:autoSpaceDN w:val="0"/>
        <w:adjustRightInd w:val="0"/>
        <w:spacing w:after="0" w:line="240" w:lineRule="auto"/>
        <w:rPr>
          <w:rFonts w:ascii="Arial" w:hAnsi="Arial" w:cs="Arial"/>
          <w:sz w:val="24"/>
          <w:szCs w:val="24"/>
        </w:rPr>
      </w:pPr>
    </w:p>
    <w:p w:rsidR="00D73FDB" w:rsidRPr="00542B05" w:rsidRDefault="00D73FDB" w:rsidP="00D3158A">
      <w:pPr>
        <w:autoSpaceDE w:val="0"/>
        <w:autoSpaceDN w:val="0"/>
        <w:adjustRightInd w:val="0"/>
        <w:spacing w:after="0" w:line="240" w:lineRule="auto"/>
        <w:rPr>
          <w:rFonts w:ascii="Arial" w:hAnsi="Arial" w:cs="Arial"/>
          <w:sz w:val="24"/>
          <w:szCs w:val="24"/>
        </w:rPr>
      </w:pPr>
    </w:p>
    <w:p w:rsidR="00361F21" w:rsidRPr="00542B05" w:rsidRDefault="007C0D57" w:rsidP="00D3158A">
      <w:pPr>
        <w:autoSpaceDE w:val="0"/>
        <w:autoSpaceDN w:val="0"/>
        <w:adjustRightInd w:val="0"/>
        <w:spacing w:after="0" w:line="240" w:lineRule="auto"/>
        <w:jc w:val="center"/>
        <w:rPr>
          <w:rFonts w:ascii="Arial" w:hAnsi="Arial" w:cs="Arial"/>
          <w:sz w:val="24"/>
          <w:szCs w:val="24"/>
        </w:rPr>
      </w:pPr>
      <w:r>
        <w:rPr>
          <w:rFonts w:ascii="Arial" w:hAnsi="Arial"/>
          <w:sz w:val="20"/>
        </w:rPr>
        <w:t>ELI:https://www.legifrance.gouv.fr/eli/arrete/2020/4/6/AGRG1932122A/jo/texte</w:t>
      </w:r>
    </w:p>
    <w:p w:rsidR="00D73FDB" w:rsidRPr="00542B05" w:rsidRDefault="00D73FDB" w:rsidP="00D3158A">
      <w:pPr>
        <w:autoSpaceDE w:val="0"/>
        <w:autoSpaceDN w:val="0"/>
        <w:adjustRightInd w:val="0"/>
        <w:spacing w:after="0" w:line="240" w:lineRule="auto"/>
        <w:rPr>
          <w:rFonts w:ascii="Arial" w:hAnsi="Arial" w:cs="Arial"/>
          <w:sz w:val="24"/>
          <w:szCs w:val="24"/>
        </w:rPr>
      </w:pPr>
    </w:p>
    <w:p w:rsidR="00D73FDB" w:rsidRPr="00542B05" w:rsidRDefault="00D73FDB" w:rsidP="00D3158A">
      <w:pPr>
        <w:autoSpaceDE w:val="0"/>
        <w:autoSpaceDN w:val="0"/>
        <w:adjustRightInd w:val="0"/>
        <w:spacing w:after="0" w:line="240" w:lineRule="auto"/>
        <w:rPr>
          <w:rFonts w:ascii="Arial" w:hAnsi="Arial" w:cs="Arial"/>
          <w:sz w:val="24"/>
          <w:szCs w:val="24"/>
        </w:rPr>
      </w:pPr>
    </w:p>
    <w:p w:rsidR="00D73FDB" w:rsidRPr="00542B05" w:rsidRDefault="00D73FDB" w:rsidP="00D3158A">
      <w:pPr>
        <w:autoSpaceDE w:val="0"/>
        <w:autoSpaceDN w:val="0"/>
        <w:adjustRightInd w:val="0"/>
        <w:spacing w:after="0" w:line="240" w:lineRule="auto"/>
        <w:rPr>
          <w:rFonts w:ascii="Arial" w:hAnsi="Arial" w:cs="Arial"/>
          <w:sz w:val="24"/>
          <w:szCs w:val="24"/>
        </w:rPr>
      </w:pPr>
    </w:p>
    <w:p w:rsidR="00D73FDB" w:rsidRPr="00542B05" w:rsidRDefault="00D73FDB" w:rsidP="00D3158A">
      <w:pPr>
        <w:autoSpaceDE w:val="0"/>
        <w:autoSpaceDN w:val="0"/>
        <w:adjustRightInd w:val="0"/>
        <w:spacing w:after="0" w:line="240" w:lineRule="auto"/>
        <w:rPr>
          <w:rFonts w:ascii="Arial" w:hAnsi="Arial" w:cs="Arial"/>
          <w:sz w:val="24"/>
          <w:szCs w:val="24"/>
        </w:rPr>
      </w:pPr>
    </w:p>
    <w:p w:rsidR="00D73FDB"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Dotčené skupiny veřejnosti: držitelé a žadatelé o povolení k uvedení na trh a povolení k souběžnému obchodu v případě přípravků na ochranu rostlin uvedených v článku L. 253-1 zákoníku zemědělství a mořského rybolovu k „amatérskému" použití.</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D73FDB"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Předmět: aktualizace podmínek povolení přípravku na ochranu rostlin k „amatérskému“ použití.</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D73FDB"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Nabytí účinnosti: text nabývá účinnosti v den následující po jeho vyhlášení.</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D73FDB"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Poznámka: tato vyhláška zpřísňuje požadavky na povolení v případě přípravků na ochranu rostlin k „amatérskému“ použití s cílem zaručit větší bezpečnost jejich používání. Toto zpřísnění nastává v souvislosti s nabytím účinnosti zákona č. 2014-110 ze dne 6. února 2014, jehož cílem je lépe upravit používání přípravků na ochranu rostlin na území státu a který s účinností ode dne 1. ledna 2019 zakázal uvádění na trh, výdej, používání a držení syntetických chemických přípravků na ochranu rostlin k neprofesionálnímu používání. Vyhláška zejména doplňuje některé standardní věty o nebezpečnosti, pokud jde o veřejné zdraví nebo životní prostředí, jako jedno z kritérií, která brání vydání povolení k uvedení na trh nebo povolení k souběžnému obchodu v případě přípravků určených pro neprofesionální uživatele. Vyhláška uvádí konkrétní požadavky na označování a balení u těchto přípravků s cílem zajistit podmínky minimálního vystavení uživatelů a ochranu životního prostředí. V neposlední řadě stanoví způsoby uvádění platných povolení k uvedení na trh a povolení k souběžnému obchodu u přípravků k „amatérskému“ použití vzhledem k novým podmínkám vydávání povolení pro tyto přípravky.</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D73FDB"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 xml:space="preserve">Odkazy: tato vyhláška se přijímá na základě článků L. 253-7, D. 253-8 a R. 253-45 zákoníku zemědělství a mořského rybolovu. Je k dispozici k nahlédnutí na internetových stránkách Légifrance (http://www.legifrance.gouv.fr). </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bookmarkStart w:id="0" w:name="_GoBack"/>
      <w:bookmarkEnd w:id="0"/>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Ministryně pro ekologický a solidární přechod, ministr sociálních věcí a zdravotnictví, ministr hospodářství a financí a ministr zemědělství a výživy,</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lastRenderedPageBreak/>
        <w:t>s ohledem na nařízení Evropského parlamentu a Rady (ES) č. 1272/2008 ze dne 16. prosince 2008 o klasifikaci, označování a balení látek a směsí, o změně a zrušení směrnic 67/548/EHS a 1999/45/ES a o změně nařízení (ES) č. 1907/2006, ve znění pozdějších změn;</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s ohledem na nařízení Evropského parlamentu a Rady (ES) č. 1107/2009 ze dne 21. října 2009 o uvádění přípravků na ochranu rostlin na trh a o zrušení směrnic Rady 79/117/EHS a 91/414/EHS;</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s ohledem na nařízení Komise (EU) č. 547/2011 ze dne 8. června 2011, kterým se provádí nařízení Evropského parlamentu a Rady (ES) č. 1107/2009, pokud jde o požadavky na označování přípravků na ochranu rostlin;</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s ohledem na směrnici Evropského parlamentu a Rady (EU) 2015/1535 ze dne 9. září 2015 o postupu při poskytování informací v oblasti technických předpisů a předpisů pro služby informační společnosti;</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s ohledem na zákoník zemědělství a mořského rybolovu, a zejména na jeho články L. 253-1, L. 253-7, D. 253-8 a R. 253-45;</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s ohledem na oznámení č. 2019/282/F ze dne 14. června 2019 adresované Evropské komisi;</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s ohledem na veřejnou konzultaci, která se konala od středy 12. července do pondělí 5. srpna 2019 v souladu s článkem L. 123-19-1 zákoníku životního prostředí,</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D73FDB" w:rsidRPr="00542B05" w:rsidRDefault="007C0D57" w:rsidP="00D3158A">
      <w:pPr>
        <w:keepNext/>
        <w:autoSpaceDE w:val="0"/>
        <w:autoSpaceDN w:val="0"/>
        <w:adjustRightInd w:val="0"/>
        <w:spacing w:after="0" w:line="240" w:lineRule="auto"/>
        <w:jc w:val="both"/>
        <w:rPr>
          <w:rFonts w:ascii="Arial" w:hAnsi="Arial" w:cs="Arial"/>
          <w:sz w:val="24"/>
          <w:szCs w:val="24"/>
        </w:rPr>
      </w:pPr>
      <w:r>
        <w:rPr>
          <w:rFonts w:ascii="Arial" w:hAnsi="Arial"/>
          <w:sz w:val="24"/>
        </w:rPr>
        <w:t>vyhlašují:</w:t>
      </w: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D73FDB" w:rsidRPr="00542B05" w:rsidRDefault="007C0D57" w:rsidP="00D3158A">
      <w:pPr>
        <w:keepNext/>
        <w:autoSpaceDE w:val="0"/>
        <w:autoSpaceDN w:val="0"/>
        <w:adjustRightInd w:val="0"/>
        <w:spacing w:after="0" w:line="240" w:lineRule="auto"/>
        <w:jc w:val="both"/>
        <w:rPr>
          <w:rFonts w:ascii="Arial" w:hAnsi="Arial" w:cs="Arial"/>
          <w:sz w:val="24"/>
          <w:szCs w:val="24"/>
        </w:rPr>
      </w:pPr>
      <w:r>
        <w:rPr>
          <w:rFonts w:ascii="Arial" w:hAnsi="Arial"/>
          <w:b/>
          <w:sz w:val="24"/>
        </w:rPr>
        <w:t>Článek 1</w:t>
      </w: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V případě přípravků na ochranu rostlin uvedených v článku L. 253-1 výše uvedeného zákoníku zemědělství a mořského rybolovu, které spadají do jedné z kategorií uvedených v odstavci IV článku L. 253-7 téhož zákoníku, lze udělit povolení k uvedení na trh nebo povolení k souběžnému obchodu v kategorii „amatérského“ použití, pokud splňují požadavky článků 2 až 4.</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D73FDB"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Tyto přípravky na ochranu rostlin se dále označují jako „přípravky“.</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D73FDB" w:rsidRPr="00542B05" w:rsidRDefault="007C0D57" w:rsidP="00D3158A">
      <w:pPr>
        <w:keepNext/>
        <w:autoSpaceDE w:val="0"/>
        <w:autoSpaceDN w:val="0"/>
        <w:adjustRightInd w:val="0"/>
        <w:spacing w:after="0" w:line="240" w:lineRule="auto"/>
        <w:jc w:val="both"/>
        <w:rPr>
          <w:rFonts w:ascii="Arial" w:hAnsi="Arial" w:cs="Arial"/>
          <w:sz w:val="24"/>
          <w:szCs w:val="24"/>
        </w:rPr>
      </w:pPr>
      <w:r>
        <w:rPr>
          <w:rFonts w:ascii="Arial" w:hAnsi="Arial"/>
          <w:b/>
          <w:sz w:val="24"/>
        </w:rPr>
        <w:t>Článek 2</w:t>
      </w: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361F21" w:rsidRPr="00542B05" w:rsidRDefault="007C0D57" w:rsidP="00D3158A">
      <w:pPr>
        <w:keepNext/>
        <w:autoSpaceDE w:val="0"/>
        <w:autoSpaceDN w:val="0"/>
        <w:adjustRightInd w:val="0"/>
        <w:spacing w:after="0" w:line="240" w:lineRule="auto"/>
        <w:jc w:val="both"/>
        <w:rPr>
          <w:rFonts w:ascii="Arial" w:hAnsi="Arial" w:cs="Arial"/>
          <w:sz w:val="24"/>
          <w:szCs w:val="24"/>
        </w:rPr>
      </w:pPr>
      <w:r>
        <w:rPr>
          <w:rFonts w:ascii="Arial" w:hAnsi="Arial"/>
          <w:sz w:val="24"/>
        </w:rPr>
        <w:t>V rámci kategorie „amatérského“ použití nelze udělit povolení v případě následujících přípravků:</w:t>
      </w: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361F21" w:rsidRPr="00542B05" w:rsidRDefault="007C0D57" w:rsidP="00D3158A">
      <w:pPr>
        <w:keepNext/>
        <w:autoSpaceDE w:val="0"/>
        <w:autoSpaceDN w:val="0"/>
        <w:adjustRightInd w:val="0"/>
        <w:spacing w:after="0" w:line="240" w:lineRule="auto"/>
        <w:jc w:val="both"/>
        <w:rPr>
          <w:rFonts w:ascii="Arial" w:hAnsi="Arial" w:cs="Arial"/>
          <w:sz w:val="24"/>
          <w:szCs w:val="24"/>
        </w:rPr>
      </w:pPr>
      <w:r>
        <w:rPr>
          <w:rFonts w:ascii="Arial" w:hAnsi="Arial"/>
          <w:sz w:val="24"/>
        </w:rPr>
        <w:t>1. Přípravky obsahující jednu nebo více z těchto účinných látek:</w:t>
      </w: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a) účinné látky považované za látky s vlastnostmi, které narušují činnost endokrinního systému, v souladu s přílohou II nařízení (ES) č. 1107/2009;</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keepNext/>
        <w:autoSpaceDE w:val="0"/>
        <w:autoSpaceDN w:val="0"/>
        <w:adjustRightInd w:val="0"/>
        <w:spacing w:after="0" w:line="240" w:lineRule="auto"/>
        <w:jc w:val="both"/>
        <w:rPr>
          <w:rFonts w:ascii="Arial" w:hAnsi="Arial" w:cs="Arial"/>
          <w:sz w:val="24"/>
          <w:szCs w:val="24"/>
        </w:rPr>
      </w:pPr>
      <w:r>
        <w:rPr>
          <w:rFonts w:ascii="Arial" w:hAnsi="Arial"/>
          <w:sz w:val="24"/>
        </w:rPr>
        <w:lastRenderedPageBreak/>
        <w:t>b) účinné látky s jednou nebo více z následujících standardních vět o nebezpečnosti stanovených ve výše uvedeném nařízení (ES) č. 1272/2008:</w:t>
      </w: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H340, H341, H350, H350i, H351, H360, H360D, H360F, H360FD, H360Df, H360Fd, H361, H361d, H361f, H361fd, H362, H370, H371, H372, H373;</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c) účinné látky, jež jsou perzistentní, bioakumulativní a toxické podle kritérií uvedených v příloze II výše uvedeného nařízení (ES) č. 1107/2009;</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d) účinné látky, jež jsou vysoce perzistentní a vysoce bioakumulativní podle kritérií uvedených v příloze II výše uvedeného nařízení (ES) č. 1107/2009;</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e) účinné látky, jež jsou perzistentními organickými znečišťujícími látkami podle kritérií uvedených v příloze II výše uvedeného nařízení (ES) č. 1107/2009.</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keepNext/>
        <w:autoSpaceDE w:val="0"/>
        <w:autoSpaceDN w:val="0"/>
        <w:adjustRightInd w:val="0"/>
        <w:spacing w:after="0" w:line="240" w:lineRule="auto"/>
        <w:jc w:val="both"/>
        <w:rPr>
          <w:rFonts w:ascii="Arial" w:hAnsi="Arial" w:cs="Arial"/>
          <w:sz w:val="24"/>
          <w:szCs w:val="24"/>
        </w:rPr>
      </w:pPr>
      <w:r>
        <w:rPr>
          <w:rFonts w:ascii="Arial" w:hAnsi="Arial"/>
          <w:sz w:val="24"/>
        </w:rPr>
        <w:t>2. Přípravky, u kterých je uvedena jedna nebo více z následujících standardních vět o nebezpečnosti podle výše uvedeného nařízení (ES) č. 1272/2008:</w:t>
      </w: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H200, H201, H202, H203, H204, H205, H300, H301, H310, H311, H314, H317, H318, H330, H331, H334, H340, H341, H350, H350i, H351, H360, H360D, H360F, H360FD, H360Df, H360Fd, H361, H361d, H361f, H361fd, H362, H370, H371, H372, H373.</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3. Přípravky vyskytující se ve formě prášku pro poprášení;</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D73FDB"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4. Přípravky vyskytující se ve formě smáčitelného prášku, s výjimkou vnitřních obalů s jednou dávkou nebo jakýmkoli jiným dávkovacím systémem, u nějž je vyloučen kontakt uživatele s přípravkem.</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D73FDB" w:rsidRPr="00542B05" w:rsidRDefault="007C0D57" w:rsidP="00D3158A">
      <w:pPr>
        <w:keepNext/>
        <w:autoSpaceDE w:val="0"/>
        <w:autoSpaceDN w:val="0"/>
        <w:adjustRightInd w:val="0"/>
        <w:spacing w:after="0" w:line="240" w:lineRule="auto"/>
        <w:jc w:val="both"/>
        <w:rPr>
          <w:rFonts w:ascii="Arial" w:hAnsi="Arial" w:cs="Arial"/>
          <w:sz w:val="24"/>
          <w:szCs w:val="24"/>
        </w:rPr>
      </w:pPr>
      <w:r>
        <w:rPr>
          <w:rFonts w:ascii="Arial" w:hAnsi="Arial"/>
          <w:b/>
          <w:sz w:val="24"/>
        </w:rPr>
        <w:t>Článek 3</w:t>
      </w: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D73FDB"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Aniž jsou dotčena ustanovení stanovená ve výše uvedeném nařízení (ES) č. 1272/2008, vnější obal a vnitřní obal přípravků musí zajišťovat podmínky minimálního vystavení osob a životního prostředí. S výjimkou vnitřních obalů s jednou dávkou musí být vnější obal znovu vzduchotěsně uzavíratelný.</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D73FDB" w:rsidRPr="00542B05" w:rsidRDefault="007C0D57" w:rsidP="00D3158A">
      <w:pPr>
        <w:keepNext/>
        <w:autoSpaceDE w:val="0"/>
        <w:autoSpaceDN w:val="0"/>
        <w:adjustRightInd w:val="0"/>
        <w:spacing w:after="0" w:line="240" w:lineRule="auto"/>
        <w:jc w:val="both"/>
        <w:rPr>
          <w:rFonts w:ascii="Arial" w:hAnsi="Arial" w:cs="Arial"/>
          <w:sz w:val="24"/>
          <w:szCs w:val="24"/>
        </w:rPr>
      </w:pPr>
      <w:r>
        <w:rPr>
          <w:rFonts w:ascii="Arial" w:hAnsi="Arial"/>
          <w:b/>
          <w:sz w:val="24"/>
        </w:rPr>
        <w:t>Článek 4</w:t>
      </w: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361F21" w:rsidRPr="00542B05" w:rsidRDefault="007C0D57" w:rsidP="00D3158A">
      <w:pPr>
        <w:keepNext/>
        <w:autoSpaceDE w:val="0"/>
        <w:autoSpaceDN w:val="0"/>
        <w:adjustRightInd w:val="0"/>
        <w:spacing w:after="0" w:line="240" w:lineRule="auto"/>
        <w:jc w:val="both"/>
        <w:rPr>
          <w:rFonts w:ascii="Arial" w:hAnsi="Arial" w:cs="Arial"/>
          <w:sz w:val="24"/>
          <w:szCs w:val="24"/>
        </w:rPr>
      </w:pPr>
      <w:r>
        <w:rPr>
          <w:rFonts w:ascii="Arial" w:hAnsi="Arial"/>
          <w:sz w:val="24"/>
        </w:rPr>
        <w:t>Aniž by byla dotčena výše uvedená ustanovení nařízení (ES) č. 1272/2008 a (EU) č. 547/2011, musí vnější obal nebo označení přípravků v kategorii „amatérského“ použití splňovat tyto podmínky:</w:t>
      </w: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361F21" w:rsidRPr="00542B05" w:rsidRDefault="007C0D57" w:rsidP="00D3158A">
      <w:pPr>
        <w:keepNext/>
        <w:autoSpaceDE w:val="0"/>
        <w:autoSpaceDN w:val="0"/>
        <w:adjustRightInd w:val="0"/>
        <w:spacing w:after="0" w:line="240" w:lineRule="auto"/>
        <w:jc w:val="both"/>
        <w:rPr>
          <w:rFonts w:ascii="Arial" w:hAnsi="Arial" w:cs="Arial"/>
          <w:sz w:val="24"/>
          <w:szCs w:val="24"/>
        </w:rPr>
      </w:pPr>
      <w:r>
        <w:rPr>
          <w:rFonts w:ascii="Arial" w:hAnsi="Arial"/>
          <w:sz w:val="24"/>
        </w:rPr>
        <w:t>1. musí čitelně a způsobem srozumitelným pro neprofesionálního uživatele uvádět následující údaje:</w:t>
      </w: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a) pokyny pro bezpečné zacházení „Uchovávejte mimo dosah dětí.“ a „Při používání tohoto výrobku nejezte, nepijte ani nekuřte“;</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b) v příslušných případech zvláštní bezpečnostní opatření pro použití;</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lastRenderedPageBreak/>
        <w:t>c) účely použití přípravku podle povolení k uvedení na trh nebo povolení k souběžnému obchodu, uvedené na stejné straně jako obchodní název;</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d) používané dávky uvedené v g nebo ml/l, v g nebo v ml/5 l, v g nebo ml/m2 nebo v g nebo ml/10 m2 nebo v jakékoli jednotce dávkování stanovené rozhodnutím o povolení k uvedení na trh nebo k souběžnému obchodu;</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e) lhůta pro opětovný vstup stanovená v povolení k uvedení na trh nebo povolení k souběžnému obchodu. Není-li tento údaj uveden v povolení k uvedení na trh nebo k souběžnému obchodu, musí vnější obal nebo označení v případě přípravků aplikovaných v kapalné formě uvádět údaj: „před opětovným vstupem na ošetřenou plochu vyčkejte do doby, než zcela vyschne“;</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f) lhůta před sklizní stanovená v povolení k uvedení na trh nebo povolení k souběžnému obchodu. Není-li tento údaj uveden v povolení k uvedení na trh nebo k souběžnému obchodu, nesmí být uvedená lhůta kratší než tři dny;</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361F21"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g) pokyny pro likvidaci přípravků a prázdných vnějších obalů s cílem zabránit případnému úniku do kanalizace nebo do životního prostředí.</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D73FDB"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2. Pro uvedení na vnějším obalu nebo označení jakéhokoli jiného údaje nebo piktogramu, který se týká podmínek nebo pokynů pro bezpečné použití, jako je doporučená doba ošetřování nebo četnost použití, musí být tento údaj nebo piktogram předem schválen Národní agenturou pro výživu, životní prostředí a bezpečnost a ochranu zdraví při práci.</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D73FDB" w:rsidRPr="00542B05" w:rsidRDefault="007C0D57" w:rsidP="00D3158A">
      <w:pPr>
        <w:keepNext/>
        <w:autoSpaceDE w:val="0"/>
        <w:autoSpaceDN w:val="0"/>
        <w:adjustRightInd w:val="0"/>
        <w:spacing w:after="0" w:line="240" w:lineRule="auto"/>
        <w:jc w:val="both"/>
        <w:rPr>
          <w:rFonts w:ascii="Arial" w:hAnsi="Arial" w:cs="Arial"/>
          <w:sz w:val="24"/>
          <w:szCs w:val="24"/>
        </w:rPr>
      </w:pPr>
      <w:r>
        <w:rPr>
          <w:rFonts w:ascii="Arial" w:hAnsi="Arial"/>
          <w:b/>
          <w:sz w:val="24"/>
        </w:rPr>
        <w:t>Článek 5</w:t>
      </w: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D73FDB"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Národní agentura pro výživu, životní prostředí a bezpečnost a ochranu zdraví při práci na základě informací, které má k dispozici, přistoupí k odejmutí povolení k uvedení na trh a povolení k souběžnému obchodu u přípravků v kategorii „amatérského“ použití, na které se vztahuje zákaz v oddílu III článku L. 253-7 zákoníku zemědělství a mořského rybolovu ve lhůtě 6 měsíců ode dne nabytí účinnosti této vyhlášky.</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D73FDB" w:rsidRPr="00542B05" w:rsidRDefault="007C0D57" w:rsidP="00D3158A">
      <w:pPr>
        <w:keepNext/>
        <w:autoSpaceDE w:val="0"/>
        <w:autoSpaceDN w:val="0"/>
        <w:adjustRightInd w:val="0"/>
        <w:spacing w:after="0" w:line="240" w:lineRule="auto"/>
        <w:jc w:val="both"/>
        <w:rPr>
          <w:rFonts w:ascii="Arial" w:hAnsi="Arial" w:cs="Arial"/>
          <w:sz w:val="24"/>
          <w:szCs w:val="24"/>
        </w:rPr>
      </w:pPr>
      <w:r>
        <w:rPr>
          <w:rFonts w:ascii="Arial" w:hAnsi="Arial"/>
          <w:b/>
          <w:sz w:val="24"/>
        </w:rPr>
        <w:t>Článek 6</w:t>
      </w: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D73FDB"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Vyhláška ze dne 30. prosince 2010 o zákazu používání některých přípravků na ochranu rostlin neprofesionálními uživateli a vyhláška ze dne 30. prosince 2010 o podmínkách balení přípravků na ochranu rostlin, které mohou používat neprofesionální uživatelé, se zrušují.</w:t>
      </w:r>
    </w:p>
    <w:p w:rsidR="00D73FDB" w:rsidRPr="00542B05" w:rsidRDefault="00D73FDB" w:rsidP="00D3158A">
      <w:pPr>
        <w:autoSpaceDE w:val="0"/>
        <w:autoSpaceDN w:val="0"/>
        <w:adjustRightInd w:val="0"/>
        <w:spacing w:after="0" w:line="240" w:lineRule="auto"/>
        <w:jc w:val="both"/>
        <w:rPr>
          <w:rFonts w:ascii="Arial" w:hAnsi="Arial" w:cs="Arial"/>
          <w:sz w:val="24"/>
          <w:szCs w:val="24"/>
        </w:rPr>
      </w:pPr>
    </w:p>
    <w:p w:rsidR="00D73FDB" w:rsidRPr="00542B05" w:rsidRDefault="007C0D57" w:rsidP="00D3158A">
      <w:pPr>
        <w:keepNext/>
        <w:autoSpaceDE w:val="0"/>
        <w:autoSpaceDN w:val="0"/>
        <w:adjustRightInd w:val="0"/>
        <w:spacing w:after="0" w:line="240" w:lineRule="auto"/>
        <w:jc w:val="both"/>
        <w:rPr>
          <w:rFonts w:ascii="Arial" w:hAnsi="Arial" w:cs="Arial"/>
          <w:sz w:val="24"/>
          <w:szCs w:val="24"/>
        </w:rPr>
      </w:pPr>
      <w:r>
        <w:rPr>
          <w:rFonts w:ascii="Arial" w:hAnsi="Arial"/>
          <w:b/>
          <w:sz w:val="24"/>
        </w:rPr>
        <w:t>Článek 7</w:t>
      </w: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D73FDB" w:rsidRPr="00542B05" w:rsidRDefault="00D73FDB" w:rsidP="00D3158A">
      <w:pPr>
        <w:keepNext/>
        <w:autoSpaceDE w:val="0"/>
        <w:autoSpaceDN w:val="0"/>
        <w:adjustRightInd w:val="0"/>
        <w:spacing w:after="0" w:line="240" w:lineRule="auto"/>
        <w:jc w:val="both"/>
        <w:rPr>
          <w:rFonts w:ascii="Arial" w:hAnsi="Arial" w:cs="Arial"/>
          <w:sz w:val="24"/>
          <w:szCs w:val="24"/>
        </w:rPr>
      </w:pPr>
    </w:p>
    <w:p w:rsidR="00D73FDB" w:rsidRPr="00542B05" w:rsidRDefault="007C0D57" w:rsidP="00D3158A">
      <w:pPr>
        <w:autoSpaceDE w:val="0"/>
        <w:autoSpaceDN w:val="0"/>
        <w:adjustRightInd w:val="0"/>
        <w:spacing w:after="0" w:line="240" w:lineRule="auto"/>
        <w:jc w:val="both"/>
        <w:rPr>
          <w:rFonts w:ascii="Arial" w:hAnsi="Arial" w:cs="Arial"/>
          <w:sz w:val="24"/>
          <w:szCs w:val="24"/>
        </w:rPr>
      </w:pPr>
      <w:r>
        <w:rPr>
          <w:rFonts w:ascii="Arial" w:hAnsi="Arial"/>
          <w:sz w:val="24"/>
        </w:rPr>
        <w:t>Tato vyhláška bude vyhlášena v Úředním věstníku Francouzské republiky.</w:t>
      </w:r>
    </w:p>
    <w:p w:rsidR="00D73FDB" w:rsidRPr="00542B05" w:rsidRDefault="00D73FDB" w:rsidP="00D3158A">
      <w:pPr>
        <w:autoSpaceDE w:val="0"/>
        <w:autoSpaceDN w:val="0"/>
        <w:adjustRightInd w:val="0"/>
        <w:spacing w:after="0" w:line="240" w:lineRule="auto"/>
        <w:rPr>
          <w:rFonts w:ascii="Arial" w:hAnsi="Arial" w:cs="Arial"/>
          <w:sz w:val="24"/>
          <w:szCs w:val="24"/>
        </w:rPr>
      </w:pPr>
    </w:p>
    <w:p w:rsidR="00D73FDB" w:rsidRPr="00542B05" w:rsidRDefault="00D73FDB" w:rsidP="00D3158A">
      <w:pPr>
        <w:autoSpaceDE w:val="0"/>
        <w:autoSpaceDN w:val="0"/>
        <w:adjustRightInd w:val="0"/>
        <w:spacing w:after="0" w:line="240" w:lineRule="auto"/>
        <w:rPr>
          <w:rFonts w:ascii="Arial" w:hAnsi="Arial" w:cs="Arial"/>
          <w:sz w:val="24"/>
          <w:szCs w:val="24"/>
        </w:rPr>
      </w:pP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Dne 6. dubna 2020.</w:t>
      </w:r>
    </w:p>
    <w:p w:rsidR="00D73FDB" w:rsidRPr="00542B05" w:rsidRDefault="00D73FDB" w:rsidP="00D3158A">
      <w:pPr>
        <w:autoSpaceDE w:val="0"/>
        <w:autoSpaceDN w:val="0"/>
        <w:adjustRightInd w:val="0"/>
        <w:spacing w:after="0" w:line="240" w:lineRule="auto"/>
        <w:rPr>
          <w:rFonts w:ascii="Arial" w:hAnsi="Arial" w:cs="Arial"/>
          <w:sz w:val="24"/>
          <w:szCs w:val="24"/>
        </w:rPr>
      </w:pP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ministr zemědělství a výživy,</w:t>
      </w: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Za ministra a na základě pověření:</w:t>
      </w: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Generální ředitel pro potravinářství,</w:t>
      </w: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lastRenderedPageBreak/>
        <w:t>B. Ferreira</w:t>
      </w:r>
    </w:p>
    <w:p w:rsidR="00D73FDB" w:rsidRPr="00542B05" w:rsidRDefault="00D73FDB" w:rsidP="00D3158A">
      <w:pPr>
        <w:autoSpaceDE w:val="0"/>
        <w:autoSpaceDN w:val="0"/>
        <w:adjustRightInd w:val="0"/>
        <w:spacing w:after="0" w:line="240" w:lineRule="auto"/>
        <w:rPr>
          <w:rFonts w:ascii="Arial" w:hAnsi="Arial" w:cs="Arial"/>
          <w:sz w:val="24"/>
          <w:szCs w:val="24"/>
        </w:rPr>
      </w:pP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Ministryně pro ekologický a solidární přechod,</w:t>
      </w: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Za ministryni a na základě pověření:</w:t>
      </w: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Generální ředitel pro prevenci rizik,</w:t>
      </w: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C. Bourillet</w:t>
      </w:r>
    </w:p>
    <w:p w:rsidR="00D73FDB" w:rsidRPr="00542B05" w:rsidRDefault="00D73FDB" w:rsidP="00D3158A">
      <w:pPr>
        <w:autoSpaceDE w:val="0"/>
        <w:autoSpaceDN w:val="0"/>
        <w:adjustRightInd w:val="0"/>
        <w:spacing w:after="0" w:line="240" w:lineRule="auto"/>
        <w:rPr>
          <w:rFonts w:ascii="Arial" w:hAnsi="Arial" w:cs="Arial"/>
          <w:sz w:val="24"/>
          <w:szCs w:val="24"/>
        </w:rPr>
      </w:pP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Ministr sociálních věcí a zdravotnictví,</w:t>
      </w: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Za ministra a na základě pověření:</w:t>
      </w: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Generální ředitel pro zdravotnictví,</w:t>
      </w: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J. Salomon</w:t>
      </w:r>
    </w:p>
    <w:p w:rsidR="00D73FDB" w:rsidRPr="00542B05" w:rsidRDefault="00D73FDB" w:rsidP="00D3158A">
      <w:pPr>
        <w:autoSpaceDE w:val="0"/>
        <w:autoSpaceDN w:val="0"/>
        <w:adjustRightInd w:val="0"/>
        <w:spacing w:after="0" w:line="240" w:lineRule="auto"/>
        <w:rPr>
          <w:rFonts w:ascii="Arial" w:hAnsi="Arial" w:cs="Arial"/>
          <w:sz w:val="24"/>
          <w:szCs w:val="24"/>
        </w:rPr>
      </w:pP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Ministr hospodářství a financí,</w:t>
      </w: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Za ministra a na základě pověření:</w:t>
      </w: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Generální ředitelka pro hospodářskou soutěž, spotřebu a stíhání podvodů,</w:t>
      </w:r>
    </w:p>
    <w:p w:rsidR="00D73FDB" w:rsidRPr="00542B05" w:rsidRDefault="007C0D57" w:rsidP="00D3158A">
      <w:pPr>
        <w:autoSpaceDE w:val="0"/>
        <w:autoSpaceDN w:val="0"/>
        <w:adjustRightInd w:val="0"/>
        <w:spacing w:after="0" w:line="240" w:lineRule="auto"/>
        <w:rPr>
          <w:rFonts w:ascii="Arial" w:hAnsi="Arial" w:cs="Arial"/>
          <w:sz w:val="24"/>
          <w:szCs w:val="24"/>
        </w:rPr>
      </w:pPr>
      <w:r>
        <w:rPr>
          <w:rFonts w:ascii="Arial" w:hAnsi="Arial"/>
          <w:sz w:val="24"/>
        </w:rPr>
        <w:t>V. Beaumeunier</w:t>
      </w:r>
    </w:p>
    <w:sectPr w:rsidR="00D73FDB" w:rsidRPr="00542B05">
      <w:pgSz w:w="11905" w:h="16837"/>
      <w:pgMar w:top="1133" w:right="1133" w:bottom="1133" w:left="1133"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06AF" w:rsidRDefault="00E506AF" w:rsidP="00C21EB5">
      <w:pPr>
        <w:spacing w:after="0" w:line="240" w:lineRule="auto"/>
      </w:pPr>
      <w:r>
        <w:separator/>
      </w:r>
    </w:p>
  </w:endnote>
  <w:endnote w:type="continuationSeparator" w:id="0">
    <w:p w:rsidR="00E506AF" w:rsidRDefault="00E506AF" w:rsidP="00C21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06AF" w:rsidRDefault="00E506AF" w:rsidP="00C21EB5">
      <w:pPr>
        <w:spacing w:after="0" w:line="240" w:lineRule="auto"/>
      </w:pPr>
      <w:r>
        <w:separator/>
      </w:r>
    </w:p>
  </w:footnote>
  <w:footnote w:type="continuationSeparator" w:id="0">
    <w:p w:rsidR="00E506AF" w:rsidRDefault="00E506AF" w:rsidP="00C21E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F9752"/>
    <w:multiLevelType w:val="singleLevel"/>
    <w:tmpl w:val="19699898"/>
    <w:lvl w:ilvl="0">
      <w:start w:val="1"/>
      <w:numFmt w:val="bullet"/>
      <w:lvlText w:val="·"/>
      <w:lvlJc w:val="left"/>
      <w:rPr>
        <w:rFonts w:ascii="Times New Roman" w:hAnsi="Times New Roman" w:cs="Times New Roman"/>
      </w:rPr>
    </w:lvl>
  </w:abstractNum>
  <w:num w:numId="1">
    <w:abstractNumId w:val="0"/>
  </w:num>
  <w:num w:numId="2">
    <w:abstractNumId w:val="0"/>
  </w:num>
  <w:num w:numId="3">
    <w:abstractNumId w:val="0"/>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0BF"/>
    <w:rsid w:val="002C6137"/>
    <w:rsid w:val="00361F21"/>
    <w:rsid w:val="00542B05"/>
    <w:rsid w:val="00582406"/>
    <w:rsid w:val="007C0D57"/>
    <w:rsid w:val="00982227"/>
    <w:rsid w:val="00A75D4F"/>
    <w:rsid w:val="00C21EB5"/>
    <w:rsid w:val="00CA20BF"/>
    <w:rsid w:val="00D3158A"/>
    <w:rsid w:val="00D73FDB"/>
    <w:rsid w:val="00DF6920"/>
    <w:rsid w:val="00E506AF"/>
    <w:rsid w:val="00F42306"/>
  </w:rsids>
  <m:mathPr>
    <m:mathFont m:val="Cambria Math"/>
    <m:brkBin m:val="before"/>
    <m:brkBinSub m:val="--"/>
    <m:smallFrac m:val="0"/>
    <m:dispDef/>
    <m:lMargin m:val="0"/>
    <m:rMargin m:val="0"/>
    <m:defJc m:val="centerGroup"/>
    <m:wrapIndent m:val="1440"/>
    <m:intLim m:val="subSup"/>
    <m:naryLim m:val="undOvr"/>
  </m:mathPr>
  <w:themeFontLang w:val="fr-FR" w:eastAsia="zh-CN"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FE6701B5-5B63-4CB3-A70E-DD6580DAB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EB5"/>
    <w:pPr>
      <w:tabs>
        <w:tab w:val="center" w:pos="4703"/>
        <w:tab w:val="right" w:pos="9406"/>
      </w:tabs>
      <w:spacing w:after="0" w:line="240" w:lineRule="auto"/>
    </w:pPr>
  </w:style>
  <w:style w:type="character" w:customStyle="1" w:styleId="HeaderChar">
    <w:name w:val="Header Char"/>
    <w:basedOn w:val="DefaultParagraphFont"/>
    <w:link w:val="Header"/>
    <w:uiPriority w:val="99"/>
    <w:rsid w:val="00C21EB5"/>
  </w:style>
  <w:style w:type="paragraph" w:styleId="Footer">
    <w:name w:val="footer"/>
    <w:basedOn w:val="Normal"/>
    <w:link w:val="FooterChar"/>
    <w:uiPriority w:val="99"/>
    <w:unhideWhenUsed/>
    <w:rsid w:val="00C21EB5"/>
    <w:pPr>
      <w:tabs>
        <w:tab w:val="center" w:pos="4703"/>
        <w:tab w:val="right" w:pos="9406"/>
      </w:tabs>
      <w:spacing w:after="0" w:line="240" w:lineRule="auto"/>
    </w:pPr>
  </w:style>
  <w:style w:type="character" w:customStyle="1" w:styleId="FooterChar">
    <w:name w:val="Footer Char"/>
    <w:basedOn w:val="DefaultParagraphFont"/>
    <w:link w:val="Footer"/>
    <w:uiPriority w:val="99"/>
    <w:rsid w:val="00C21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5DA6F2BFDD34498C4453AF02783704" ma:contentTypeVersion="4" ma:contentTypeDescription="Create a new document." ma:contentTypeScope="" ma:versionID="8193640a980f026e0530ce4c0b0d1c72">
  <xsd:schema xmlns:xsd="http://www.w3.org/2001/XMLSchema" xmlns:xs="http://www.w3.org/2001/XMLSchema" xmlns:p="http://schemas.microsoft.com/office/2006/metadata/properties" xmlns:ns2="d2e48c51-b2a3-4f79-9936-b5965aceee4d" targetNamespace="http://schemas.microsoft.com/office/2006/metadata/properties" ma:root="true" ma:fieldsID="5d5a20e3c99365034b8d9c8d728a5e6c" ns2:_="">
    <xsd:import namespace="d2e48c51-b2a3-4f79-9936-b5965aceee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48c51-b2a3-4f79-9936-b5965acee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8C783D-3906-4BF3-958C-B0F37B0D0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48c51-b2a3-4f79-9936-b5965acee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0DA85E-8108-47F4-A69A-40A44532EBC4}">
  <ds:schemaRefs>
    <ds:schemaRef ds:uri="http://schemas.microsoft.com/sharepoint/v3/contenttype/forms"/>
  </ds:schemaRefs>
</ds:datastoreItem>
</file>

<file path=customXml/itemProps3.xml><?xml version="1.0" encoding="utf-8"?>
<ds:datastoreItem xmlns:ds="http://schemas.openxmlformats.org/officeDocument/2006/customXml" ds:itemID="{4E6275A9-AAB4-4574-A312-B5B18711C2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1385</Words>
  <Characters>7898</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
  <dc:description/>
  <cp:lastModifiedBy>Ke, Tingting</cp:lastModifiedBy>
  <cp:revision>9</cp:revision>
  <dcterms:created xsi:type="dcterms:W3CDTF">2020-04-10T08:46:00Z</dcterms:created>
  <dcterms:modified xsi:type="dcterms:W3CDTF">2020-08-21T05:37:00Z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forCreatedThisOn">
    <vt:lpwstr>Fri Apr 10 10:44:05 CEST 2020</vt:lpwstr>
  </property>
  <property fmtid="{D5CDD505-2E9C-101B-9397-08002B2CF9AE}" pid="3" name="jforVersion">
    <vt:lpwstr>jfor V0.7.2rc1 - see http://www.jfor.org</vt:lpwstr>
  </property>
  <property fmtid="{D5CDD505-2E9C-101B-9397-08002B2CF9AE}" pid="4" name="ContentTypeId">
    <vt:lpwstr>0x010100CC5DA6F2BFDD34498C4453AF02783704</vt:lpwstr>
  </property>
</Properties>
</file>