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49" w:rsidRPr="00817DDD" w:rsidRDefault="00C75D49" w:rsidP="00C75D49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0473 F-- LT- ------ 20200729 --- --- PROJET</w:t>
      </w:r>
    </w:p>
    <w:p w:rsidR="004A1972" w:rsidRDefault="00294EF2" w:rsidP="00C75D49">
      <w:pPr>
        <w:autoSpaceDE w:val="0"/>
        <w:spacing w:after="0" w:line="240" w:lineRule="auto"/>
        <w:jc w:val="right"/>
      </w:pPr>
      <w:r>
        <w:rPr>
          <w:color w:val="000000"/>
          <w:sz w:val="24"/>
          <w:szCs w:val="24"/>
          <w:rFonts w:ascii="Times New Roman" w:hAnsi="Times New Roman"/>
        </w:rPr>
        <w:t xml:space="preserve">2020 m. XXXX d.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XXXX m. nutarimas dėl kriterijų, papildomų kriterijų ir reitingų sistemos, skirtų apskaičiuoti ir pateikti televizorių taisomumo indeksą.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color w:val="000000"/>
          <w:sz w:val="24"/>
          <w:szCs w:val="24"/>
          <w:rFonts w:ascii="Times New Roman" w:hAnsi="Times New Roman"/>
        </w:rPr>
        <w:t xml:space="preserve">NOR:</w:t>
      </w:r>
      <w:r>
        <w:rPr>
          <w:color w:val="000000"/>
          <w:sz w:val="24"/>
          <w:szCs w:val="24"/>
          <w:rFonts w:ascii="Times New Roman" w:hAnsi="Times New Roman"/>
        </w:rPr>
        <w:t xml:space="preserve"> </w:t>
      </w:r>
      <w:r>
        <w:rPr>
          <w:color w:val="000000"/>
          <w:sz w:val="24"/>
          <w:szCs w:val="24"/>
          <w:rFonts w:ascii="Times New Roman" w:hAnsi="Times New Roman"/>
        </w:rPr>
        <w:t xml:space="preserve">XXXXX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Perėjimo prie ekologiškos ekonomikos ministrė bei ekonomikos ir finansų ministras,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FE0B04" w:rsidRDefault="00294EF2" w:rsidP="00C75D49">
      <w:pPr>
        <w:autoSpaceDE w:val="0"/>
        <w:spacing w:after="0" w:line="240" w:lineRule="auto"/>
        <w:jc w:val="both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atsižvelgdami į 2019 m. spalio 1 d. Komisijos reglamentą (ES) 2019/2021, kuriuo pagal Europos Parlamento ir Tarybos direktyvą 2009/125/EB nustatomi elektroninių vaizduoklių ekologinio projektavimo reikalavimai, iš dalies keičiamas Komisijos reglamentas (EB) Nr. 1275/2008 ir panaikinamas Komisijos reglamentas (EB) Nr. 642/2009,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atsižvelgdami į Aplinkosaugos kodeksą, ypač į jo L. 541-9-2 straipsnį,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atsižvelgdami į XXXX d. Dekretą Nr. XXX dėl taisomumo indekso elektros ir elektroniniams prietaisams taikymo tvarkos, kriterijų ir apskaičiavimo būdo,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474213" w:rsidRDefault="00294EF2" w:rsidP="00C75D49">
      <w:pPr>
        <w:keepNext/>
        <w:keepLines/>
        <w:autoSpaceDE w:val="0"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1 straipsnis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Šis nutarimas taikomas televizoriams, patenkantiems į minėto 2019 m. spalio 1 d. reglamento taikymo sritį.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2 straipsnis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Kriterijai, papildomi kriterijai ir reitingų sistema, taikomi 1 straipsnyje nurodytiems produktams, siekiant apskaičiuoti jų taisomumo indeksą, pateikti toliau:</w:t>
      </w: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1A0D10" w:rsidRDefault="00294EF2" w:rsidP="00C75D49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1 KRITERIJUS. DOKUMENTAI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1.1 papildomas kriterijus.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Įsipareigojimas tam tikrą laiką nemokamai teikti techninius dokumentus ir dokumentus, kuriuose teikiamos naudojimo ir priežiūros rekomendacijos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63"/>
        <w:gridCol w:w="552"/>
        <w:gridCol w:w="552"/>
        <w:gridCol w:w="551"/>
        <w:gridCol w:w="553"/>
        <w:gridCol w:w="551"/>
        <w:gridCol w:w="551"/>
        <w:gridCol w:w="551"/>
        <w:gridCol w:w="551"/>
        <w:gridCol w:w="551"/>
        <w:gridCol w:w="551"/>
        <w:gridCol w:w="551"/>
        <w:gridCol w:w="548"/>
      </w:tblGrid>
      <w:tr w:rsidR="004A1972" w:rsidRPr="004B6AF5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Gamintojas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Remontininkai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Vartotojai</w:t>
            </w:r>
          </w:p>
        </w:tc>
      </w:tr>
      <w:tr w:rsidR="004A1972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</w:tr>
      <w:tr w:rsidR="005A33D1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</w:tr>
      <w:tr w:rsidR="004A1972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Dokumentų tipas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Vienareikšmiškas produkto identifikavimas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Išmontavimo schema arba išskaidytasis brėžinys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Elektrinės ir sujungimo schemos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Elektroninių plokščių schemos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Reikalingų taisymo ir bandymo priemonių sąrašas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Techninė remonto instrukcija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Klaidų ir diagnostikos kodai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Informacija apie komponentus ir diagnostika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Programinės įrangos instrukcijos (įskaitant atkūrimą)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Prieiga prie įrangoje praneštų ir įregistruotų incidentų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Techniniai duomenų lapai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Konkretus savitaisos valdymas (rekomenduojami veiksmai, saugos ir taisymo instrukcijos, galimas poveikis garantijai)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Informacija apie kreipimąsi į profesionalius remontininkus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Gedimų nustatymas ir būtini veiksmai (visuomeninis požiūris)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Naudojimo ir priežiūros rekomendacijos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Didžiausias taškų skaičius yra 407.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skaičius/407) ×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2 KRITERIJUS. GALIMYBĖ IŠMONTUOTI IR PRIEIGA, ĮRANKIAI, TVIRTINIMO DETALĖS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2.1 papildomas kriterijus.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Detalių (2 sąrašas) išmontavimo paprastumas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Etapų skaičius norint individualiai pasiekti dalį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arba 4 ar daugiau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 sąrašo dalys (išorinės dalys)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Nuotolinio valdymo pultas (2)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Išoriniai maitinimo šaltiniai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Etapų skaičius norint individualiai pasiekti dalį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arba 12 ar daugiau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10 iki 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8 iki 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1 iki 7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 sąrašo dalys (vidinės dalys)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Vidiniai maitinimo šaltiniai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Pagrindinė plokštė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Plokštė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ND/NA = individualiai neišmontuojama arba nepasiekiama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Užtenka išimti baterijas ar akumuliatorių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 esant išorinių maitinimo šaltinių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Jei yra vidinių maitinimo šaltinių, didžiausias taškų skaičius yra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skaičius/12) ×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Jei yra išorinių maitinimo šaltinių, didžiausias taškų skaičius yra 9.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skaičius/9) ×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2.2 papildomas kriterijus.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Dalims išmontuoti reikalingi įrankiai (2 sąrašas)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16"/>
        <w:gridCol w:w="1665"/>
        <w:gridCol w:w="1665"/>
        <w:gridCol w:w="1665"/>
        <w:gridCol w:w="1665"/>
      </w:tblGrid>
      <w:tr w:rsidR="004A1972" w:rsidRPr="004B6AF5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Įrankių tipas</w:t>
            </w:r>
          </w:p>
        </w:tc>
      </w:tr>
      <w:tr w:rsidR="004A1972" w:rsidRPr="004B6AF5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Nuosavybiniai įrankiai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Specifiniai įrankiai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Be įrankių, bendri įrankiai (4)</w:t>
            </w:r>
          </w:p>
        </w:tc>
      </w:tr>
      <w:tr w:rsidR="004A1972" w:rsidRPr="004B6AF5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 sąrašo dalys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 (5)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Nuotolinis valdymas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Išoriniai maitinimo šaltiniai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Vidiniai maitinimo šaltiniai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Pagrindinė plokštė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Plokštė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 esant išorinių maitinimo šaltinių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arba tiekiamas su atsargine dalimi ar produktu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imamas nepalankiausias reitingas, jei taikomi keli įrankiai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Jei yra vidinių maitinimo šaltinių, didžiausias taškų skaičius yra 16.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skaičius/16) × 10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Jei yra išorinių maitinimo šaltinių, didžiausias taškų skaičius yra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skaičius/12) ×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2.3 papildomas kriterijus.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Tvirtinimo detalių charakteristikos (jungiant 1 ir 2 sąrašų dalis)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600"/>
        <w:gridCol w:w="1600"/>
        <w:gridCol w:w="1600"/>
      </w:tblGrid>
      <w:tr w:rsidR="004A1972" w:rsidRPr="004B6AF5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Tvirtinimo detalės tipas</w:t>
            </w:r>
          </w:p>
        </w:tc>
      </w:tr>
      <w:tr w:rsidR="004A1972" w:rsidRPr="004B6AF5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Neišimama ir pakartotinai nenaudojama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Išimama, pakartotinai nenaudojama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Neišimama ir pakartotinai naudojama (3)</w:t>
            </w:r>
          </w:p>
        </w:tc>
      </w:tr>
      <w:tr w:rsidR="004A1972" w:rsidRPr="004B6AF5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sąrašo arba 2 sąrašo dalys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 (4)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Užpakalinė landa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i/>
                <w:iCs/>
                <w:rFonts w:ascii="Times New Roman" w:hAnsi="Times New Roman"/>
              </w:rPr>
              <w:t xml:space="preserve">Wifi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modulis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i/>
                <w:iCs/>
                <w:rFonts w:ascii="Times New Roman" w:hAnsi="Times New Roman"/>
              </w:rPr>
              <w:t xml:space="preserve">Bluetooth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modulis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Infraraudonųjų spindulių imtuvas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Garsiakalbiai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Jungtys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Nuotolinis valdymas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Vidiniai maitinimo šaltiniai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Išoriniai maitinimo šaltiniai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Pagrindinė plokštė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Plokštė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arba tvirtinimo detalė, teikiama su atsargine dalimi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imamas nepalankiausias reitingas, jei taikomos kelios jungiamosios detalės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pilkai, jei nėra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pilkai, jei nėra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išoriniams įrenginiams (kabeliams, antenoms, USB, DVD ir </w:t>
      </w:r>
      <w:r>
        <w:rPr>
          <w:color w:val="000000"/>
          <w:sz w:val="20"/>
          <w:szCs w:val="20"/>
          <w:i/>
          <w:iCs/>
          <w:rFonts w:ascii="Times New Roman" w:hAnsi="Times New Roman"/>
        </w:rPr>
        <w:t xml:space="preserve">Blue-Ray</w:t>
      </w:r>
      <w:r>
        <w:rPr>
          <w:color w:val="000000"/>
          <w:sz w:val="20"/>
          <w:szCs w:val="20"/>
          <w:rFonts w:ascii="Times New Roman" w:hAnsi="Times New Roman"/>
        </w:rPr>
        <w:t xml:space="preserve">) prijungti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 esant išorinių maitinimo šaltinių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 esant vidinių maitinimo šaltinių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Didžiausias taškų skaičius yra 20.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skaičius/20) ×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3 KRITERIJUS. GALIMYBĖ GAUTI ATSARGINIŲ DALIŲ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3.1 papildomas kriterijus.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Gamintojo įsipareigojimas tam tikrą laiką teikti 2 sąraše pateiktų detalių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Gamintojas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Atsarginių dalių platintojai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skiltis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Remontininkai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Vartotojai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 sąrašo dalys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Nuotolinis valdymas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Vidiniai maitinimo šaltiniai (1)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Išoriniai maitinimo šaltiniai (2)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Pagrindinė plokštė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Plokštė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 esant išorinių maitinimo šaltinių</w:t>
      </w:r>
    </w:p>
    <w:p w:rsidR="004A1972" w:rsidRP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 esant vidinių maitinimo šaltinių</w:t>
      </w:r>
    </w:p>
    <w:p w:rsidR="004B6AF5" w:rsidRDefault="00294EF2" w:rsidP="004B6AF5">
      <w:pPr>
        <w:jc w:val="both"/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Didžiausias taškų skaičius yra 176.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skaičius/176) × 10</w:t>
      </w:r>
    </w:p>
    <w:p w:rsidR="004A1972" w:rsidRDefault="00294EF2" w:rsidP="004B6AF5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3.2 papildomas kriterijus.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Gamintojo įsipareigojimas tam tikrą laiką teikti 1 sąraše pateiktų detalių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Gamintojas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Atsarginių dalių platintojai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skiltis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Remontininkai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Vartotojai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Prieinamumo trukmė metais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0 iki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7 iki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9 iki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ar daugiau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sąrašo dalys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Užpakalinė landa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i/>
                <w:iCs/>
                <w:rFonts w:ascii="Times New Roman" w:hAnsi="Times New Roman"/>
              </w:rPr>
              <w:t xml:space="preserve">Wifi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modulis (3)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i/>
                <w:iCs/>
                <w:rFonts w:ascii="Times New Roman" w:hAnsi="Times New Roman"/>
              </w:rPr>
              <w:t xml:space="preserve">Bluetooth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modulis (4)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Infraraudonųjų spindulių imtuvas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Garsiakalbiai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Jungtys (5)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C75D49" w:rsidRDefault="00C75D49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pilkai, jei nėra</w:t>
      </w:r>
    </w:p>
    <w:p w:rsidR="00C75D49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pilkai, jei nėra</w:t>
      </w:r>
    </w:p>
    <w:p w:rsidR="004A1972" w:rsidRPr="004B6AF5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išoriniams įrenginiams (kabeliams, antenoms, USB, DVD ir </w:t>
      </w:r>
      <w:r>
        <w:rPr>
          <w:color w:val="000000"/>
          <w:sz w:val="20"/>
          <w:szCs w:val="20"/>
          <w:i/>
          <w:iCs/>
          <w:rFonts w:ascii="Times New Roman" w:hAnsi="Times New Roman"/>
        </w:rPr>
        <w:t xml:space="preserve">Blue-Ray</w:t>
      </w:r>
      <w:r>
        <w:rPr>
          <w:color w:val="000000"/>
          <w:sz w:val="20"/>
          <w:szCs w:val="20"/>
          <w:rFonts w:ascii="Times New Roman" w:hAnsi="Times New Roman"/>
        </w:rPr>
        <w:t xml:space="preserve">) prijungti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Didžiausias taškų skaičius yra 264.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skaičius/264) × 10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3.3 papildomas kriterijus.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2 sąraše pateiktų dalių tiekimo trukmė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Gamintojas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Atsarginių dalių platintojai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skiltis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Remontininkai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Vartotojai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Tiekimo dienų skaičius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Tiekimo dienų skaičius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Tiekimo dienų skaičius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Tiekimo dienų skaičius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ir daugiau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6 iki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4 iki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1 iki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ir daugiau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6 iki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4 iki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1 iki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ir daugiau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6 iki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4 iki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1 iki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ir daugiau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6 iki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4 iki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1 iki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 sąrašo dalys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Nuotolinis valdymas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Vidiniai maitinimo šaltiniai (2)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Išoriniai maitinimo šaltiniai (3)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Pagrindinė plokštė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Plokštė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darbo dienų skaičius nuo užsakymo dienos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 esant išorinių maitinimo šaltinių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Pažymėti pilkai esant vidinių maitinimo šaltinių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Didžiausias taškų skaičius yra 48.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skaičius/48) ×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3.4 papildomas kriterijus.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1 sąraše pateiktų dalių tiekimo trukmė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Gamintojas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Atsarginių dalių platintojai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skiltis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Remontininkai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Vartotojai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Tiekimo dienų skaičius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Tiekimo dienų skaičius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Tiekimo dienų skaičius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Tiekimo dienų skaičius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ir daugiau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6 iki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4 iki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1 iki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ir daugiau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6 iki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4 iki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1 iki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ir daugiau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6 iki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4 iki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1 iki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ir daugiau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6 iki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4 iki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 1 iki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sąrašo dalis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Užpakalinė landa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i/>
                <w:iCs/>
                <w:rFonts w:ascii="Times New Roman" w:hAnsi="Times New Roman"/>
              </w:rPr>
              <w:t xml:space="preserve">Wifi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modulis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i/>
                <w:iCs/>
                <w:rFonts w:ascii="Times New Roman" w:hAnsi="Times New Roman"/>
              </w:rPr>
              <w:t xml:space="preserve">Bluetooth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modulis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Infraraudonųjų spindulių imtuvas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Garsiakalbiai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Jungtys (2)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darbo dienų skaičius nuo užsakymo dienos</w:t>
      </w:r>
    </w:p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išoriniams įrenginiams (kabeliams, antenoms, USB, DVD ir </w:t>
      </w:r>
      <w:r>
        <w:rPr>
          <w:color w:val="000000"/>
          <w:sz w:val="20"/>
          <w:szCs w:val="20"/>
          <w:i/>
          <w:iCs/>
          <w:rFonts w:ascii="Times New Roman" w:hAnsi="Times New Roman"/>
        </w:rPr>
        <w:t xml:space="preserve">Blue-Ray</w:t>
      </w:r>
      <w:r>
        <w:rPr>
          <w:color w:val="000000"/>
          <w:sz w:val="20"/>
          <w:szCs w:val="20"/>
          <w:rFonts w:ascii="Times New Roman" w:hAnsi="Times New Roman"/>
        </w:rPr>
        <w:t xml:space="preserve">) prijungti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Didžiausias taškų skaičius yra 72.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skaičius/72) ×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4 KRITERIJUS. ATSARGINIŲ DALIŲ KAINA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4.1 papildomas kriterijus.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2 sąrašo dalių kainos ir naujo produkto kainos santykis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Remiantis XXXX d. nutarime dėl taisomumo indekso apskaičiavimo rodymo tvarkos, ženklų ir bendrųjų parametrų aprašytu santykiu, taškų skaičius pagal šį kriterijų nustatomas taip: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jei santykio rezultatas viršija 0,3, tuomet taškų skaičius yra 0;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jei santykio rezultatas yra mažesnis kaip 0,1, tuomet taškų skaičius yra 100;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jei santykio rezultatas yra 01–0,3, tuomet taškų skaičius nustatomas pagal šią atitikties lentelę: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387"/>
        <w:gridCol w:w="429"/>
        <w:gridCol w:w="430"/>
        <w:gridCol w:w="430"/>
        <w:gridCol w:w="430"/>
        <w:gridCol w:w="430"/>
        <w:gridCol w:w="430"/>
        <w:gridCol w:w="430"/>
        <w:gridCol w:w="429"/>
        <w:gridCol w:w="429"/>
        <w:gridCol w:w="3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53"/>
      </w:tblGrid>
      <w:tr w:rsidR="004A1972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Santykis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0,3</w:t>
            </w:r>
          </w:p>
        </w:tc>
      </w:tr>
      <w:tr w:rsidR="004A1972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Punktai</w:t>
            </w: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</w:t>
            </w:r>
          </w:p>
        </w:tc>
      </w:tr>
    </w:tbl>
    <w:p w:rsidR="004A1972" w:rsidRDefault="004A1972" w:rsidP="00C75D49">
      <w:pPr>
        <w:jc w:val="both"/>
      </w:pPr>
    </w:p>
    <w:p w:rsidR="004A1972" w:rsidRDefault="00294EF2" w:rsidP="004B6AF5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Apvalinimo taisyklė yra tokia:</w:t>
      </w:r>
      <w:r>
        <w:rPr>
          <w:color w:val="000000"/>
          <w:rFonts w:ascii="Times New Roman" w:hAnsi="Times New Roman"/>
        </w:rPr>
        <w:t xml:space="preserve"> 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Jei tūkstantųjų skaičius yra mažesnis nei 5, apvalinama iki mažesnio šimtųjų skaičiaus.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Jei tūkstantųjų skaičius yra lygus 5 ar didesnis, apvalinama iki didesnio šimtųjų skaičiaus.</w:t>
      </w:r>
    </w:p>
    <w:p w:rsidR="004A1972" w:rsidRDefault="00294EF2" w:rsidP="004B6AF5">
      <w:pPr>
        <w:jc w:val="both"/>
      </w:pPr>
      <w:r>
        <w:rPr>
          <w:color w:val="000000"/>
          <w:sz w:val="21"/>
          <w:szCs w:val="21"/>
          <w:rFonts w:ascii="Times New Roman" w:hAnsi="Times New Roman"/>
        </w:rPr>
        <w:t xml:space="preserve">Didžiausias taškų skaičius yra 100.</w:t>
      </w:r>
      <w:r>
        <w:rPr>
          <w:color w:val="000000"/>
          <w:sz w:val="21"/>
          <w:szCs w:val="21"/>
          <w:rFonts w:ascii="Times New Roman" w:hAnsi="Times New Roman"/>
        </w:rPr>
        <w:t xml:space="preserve"> </w:t>
      </w:r>
      <w:r>
        <w:rPr>
          <w:color w:val="000000"/>
          <w:sz w:val="21"/>
          <w:szCs w:val="21"/>
          <w:rFonts w:ascii="Times New Roman" w:hAnsi="Times New Roman"/>
        </w:rPr>
        <w:t xml:space="preserve">Šio papildomo kriterijaus reitingas = (gautų taškų skaičius/100) ×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5 KRITERIJUS. SPECIFINIS KRITERIJUS</w:t>
      </w:r>
      <w:r>
        <w:rPr>
          <w:color w:val="00000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Produktų, kuriems taikomas šis nutarimas, 5 kriterijaus papildomų kriterijų koeficientai apibrėžiami taip: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2"/>
        <w:gridCol w:w="3709"/>
        <w:gridCol w:w="1091"/>
        <w:gridCol w:w="1039"/>
        <w:gridCol w:w="1061"/>
        <w:gridCol w:w="1054"/>
      </w:tblGrid>
      <w:tr w:rsidR="004A1972" w:rsidRPr="004B6AF5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Kriterijus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Papildomas kriterijus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Papildomo kriterijaus reitingas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Papildomo kriterijaus koeficientas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Kriterijaus reitingas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Kriterijaus koeficientas</w:t>
            </w:r>
          </w:p>
        </w:tc>
      </w:tr>
      <w:tr w:rsidR="004A1972" w:rsidRPr="004B6AF5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5.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Specialus kriterijus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5.1.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Prieiga prie naudojimo skaitiklio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5.2.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Nemokama nuotolinė prieiga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5.3.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Galimybė atkurti programiniu būdu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5.1 papildomas kriterijus.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Prieiga prie naudojimo skaitiklio</w:t>
      </w:r>
      <w:r>
        <w:rPr>
          <w:color w:val="000000"/>
          <w:rFonts w:ascii="Times New Roman" w:hAnsi="Times New Roman"/>
        </w:rPr>
        <w:t xml:space="preserve"> </w:t>
      </w:r>
    </w:p>
    <w:p w:rsidR="004A1972" w:rsidRPr="000D3914" w:rsidRDefault="00294EF2" w:rsidP="00C75D49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Naudojimo skaitiklis yra vartotojui skirtas rodymo įtaisas, registruojantis bendrą produkto naudojimo trukmę matavimo vienetais.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Vienetas šiame nutarime yra plokštės veikimo valandų skaičius.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27"/>
        <w:gridCol w:w="1849"/>
        <w:gridCol w:w="1849"/>
        <w:gridCol w:w="1851"/>
      </w:tblGrid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skiltis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Vartotojai</w:t>
            </w:r>
          </w:p>
        </w:tc>
      </w:tr>
      <w:tr w:rsidR="004A1972" w:rsidRPr="004B6AF5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Prieiga prie naudojimo skaitiklio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Situacija</w:t>
            </w:r>
          </w:p>
        </w:tc>
      </w:tr>
      <w:tr w:rsidR="004A1972" w:rsidRPr="004B6AF5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Ar nėra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Sunkiai pasiekiamas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Matomas arba lengvai pasiekiamas (2)</w:t>
            </w:r>
          </w:p>
        </w:tc>
      </w:tr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</w:tr>
      <w:tr w:rsidR="004A1972" w:rsidRPr="004B6AF5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C75D49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Vartotojas sužino naudojimo skaitiklio rodomą vertę būtinai ne daugiau kaip trimis paspaudimais.</w:t>
      </w:r>
    </w:p>
    <w:p w:rsidR="004A1972" w:rsidRPr="004B6AF5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Vartotojas sužino naudojimo skaitiklio rodomą vertę trimis paspaudimais arba mažiau.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Didžiausias taškų skaičius yra 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skaičius/2) ×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5.2 papildomas kriterijus.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Nemokama nuotolinė prieiga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1"/>
        <w:gridCol w:w="1293"/>
        <w:gridCol w:w="1270"/>
        <w:gridCol w:w="1316"/>
        <w:gridCol w:w="1292"/>
        <w:gridCol w:w="1292"/>
        <w:gridCol w:w="1292"/>
      </w:tblGrid>
      <w:tr w:rsidR="004A1972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skiltis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Remontininkai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skiltis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Vartotojai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Nuotolinės pagalbos tipas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Nėra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Vietoje atnaujinama informacija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Nėra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Nuotolinė informacija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Nuotolinės diagnostikos pagalba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Nuotolinio taisymo pagalba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Default="00294EF2" w:rsidP="00C75D49">
      <w:pPr>
        <w:pStyle w:val="Paragraphedeliste"/>
        <w:ind w:left="450"/>
      </w:pPr>
      <w:r>
        <w:rPr>
          <w:color w:val="000000"/>
          <w:sz w:val="20"/>
          <w:szCs w:val="20"/>
          <w:rFonts w:ascii="Times New Roman" w:hAnsi="Times New Roman"/>
        </w:rPr>
        <w:t xml:space="preserve">Didžiausias taškų skaičius yra 5.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skaičius/5) ×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5.3 papildomas kriterijus.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Galimybė atkurti programiniu būdu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21"/>
        <w:gridCol w:w="1077"/>
        <w:gridCol w:w="1076"/>
        <w:gridCol w:w="1076"/>
        <w:gridCol w:w="1076"/>
        <w:gridCol w:w="1076"/>
        <w:gridCol w:w="1074"/>
      </w:tblGrid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skiltis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Gamintojas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skiltis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Remontininkai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skiltis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Vartotojai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Galimybė programiniu būdu nemokamai ir be apribojimų atkurti prieigą prie šių paslaugų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Neįmanoma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Įmanoma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Neįmanoma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Įmanoma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Neįmanoma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Įmanoma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Taškų skaičius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Operacinės sistemos atkūrimas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Aparatinės programinės įrangos atkūrimas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Didžiausias taškų skaičius yra 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Šio papildomo kriterijaus reitingas = (gautų taškų skaičius/6) ×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Perėjimo prie ekologiškos ekonomikos ministrė:</w:t>
      </w:r>
    </w:p>
    <w:p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Ministrės vardu ir įgaliojimu – generalinis tvaraus vystymosi komisaras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T. Lesueur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Ekonomikos ir finansų ministras: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Ministro vardu ir įgaliojimu – generalinė konkurencijos, vartotojų reikalų ir kovos su sukčiavimu direktorė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C75D49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V. Beaumeunier</w:t>
      </w:r>
    </w:p>
    <w:sectPr w:rsidR="004A1972" w:rsidRPr="00C75D4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F9" w:rsidRDefault="00D465F9">
      <w:pPr>
        <w:spacing w:after="0" w:line="240" w:lineRule="auto"/>
      </w:pPr>
      <w:r>
        <w:separator/>
      </w:r>
    </w:p>
  </w:endnote>
  <w:endnote w:type="continuationSeparator" w:id="0">
    <w:p w:rsidR="00D465F9" w:rsidRDefault="00D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F9" w:rsidRDefault="00D465F9">
      <w:pPr>
        <w:spacing w:after="0" w:line="240" w:lineRule="auto"/>
      </w:pPr>
      <w:r>
        <w:separator/>
      </w:r>
    </w:p>
  </w:footnote>
  <w:footnote w:type="continuationSeparator" w:id="0">
    <w:p w:rsidR="00D465F9" w:rsidRDefault="00D4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F2"/>
    <w:rsid w:val="000D3914"/>
    <w:rsid w:val="001A0D10"/>
    <w:rsid w:val="001E034C"/>
    <w:rsid w:val="00294EF2"/>
    <w:rsid w:val="00330BFC"/>
    <w:rsid w:val="00355B57"/>
    <w:rsid w:val="00474213"/>
    <w:rsid w:val="004A1972"/>
    <w:rsid w:val="004B6AF5"/>
    <w:rsid w:val="005A33D1"/>
    <w:rsid w:val="00704354"/>
    <w:rsid w:val="00B3211D"/>
    <w:rsid w:val="00C5191A"/>
    <w:rsid w:val="00C75D49"/>
    <w:rsid w:val="00D465F9"/>
    <w:rsid w:val="00DD21EA"/>
    <w:rsid w:val="00E9700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FDE5743-163D-445D-9AAE-505582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lt-LT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lt-LT"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lt-LT"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lt-LT"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2060</Words>
  <Characters>11745</Characters>
  <Application>Microsoft Office Word</Application>
  <DocSecurity>0</DocSecurity>
  <Lines>97</Lines>
  <Paragraphs>27</Paragraphs>
  <ScaleCrop>false</ScaleCrop>
  <Company>Microsoft</Company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Ke, Tingting</cp:lastModifiedBy>
  <cp:revision>4</cp:revision>
  <cp:lastPrinted>1899-12-31T16:00:00Z</cp:lastPrinted>
  <dcterms:created xsi:type="dcterms:W3CDTF">2020-07-22T01:04:00Z</dcterms:created>
  <dcterms:modified xsi:type="dcterms:W3CDTF">2020-07-22T04:15:00Z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