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D49" w:rsidRPr="00817DDD" w:rsidRDefault="00C75D49" w:rsidP="00C75D49">
      <w:pPr>
        <w:spacing w:after="120"/>
        <w:ind w:right="14"/>
        <w:jc w:val="center"/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------IND- 2020 0473 F-- PL- ------ 20200729 --- --- PROJET</w:t>
      </w:r>
    </w:p>
    <w:p w:rsidR="004A1972" w:rsidRDefault="00294EF2" w:rsidP="00C75D49">
      <w:pPr>
        <w:autoSpaceDE w:val="0"/>
        <w:spacing w:after="0" w:line="240" w:lineRule="auto"/>
        <w:jc w:val="right"/>
      </w:pPr>
      <w:r>
        <w:rPr>
          <w:color w:val="000000"/>
          <w:sz w:val="24"/>
          <w:szCs w:val="24"/>
          <w:rFonts w:ascii="Times New Roman" w:hAnsi="Times New Roman"/>
        </w:rPr>
        <w:t xml:space="preserve">XXXX 2020 r.</w:t>
      </w:r>
    </w:p>
    <w:p w:rsidR="004A1972" w:rsidRDefault="004A1972" w:rsidP="00C75D49">
      <w:pPr>
        <w:autoSpaceDE w:val="0"/>
        <w:spacing w:after="0" w:line="240" w:lineRule="auto"/>
        <w:jc w:val="center"/>
      </w:pPr>
    </w:p>
    <w:p w:rsidR="004A1972" w:rsidRDefault="004A1972" w:rsidP="00C75D49">
      <w:pPr>
        <w:autoSpaceDE w:val="0"/>
        <w:spacing w:after="0" w:line="240" w:lineRule="auto"/>
        <w:jc w:val="center"/>
      </w:pPr>
    </w:p>
    <w:p w:rsidR="004A1972" w:rsidRDefault="00294EF2" w:rsidP="00C75D49">
      <w:pPr>
        <w:autoSpaceDE w:val="0"/>
        <w:spacing w:after="0" w:line="240" w:lineRule="auto"/>
        <w:jc w:val="center"/>
      </w:pPr>
      <w:r>
        <w:rPr>
          <w:b/>
          <w:bCs/>
          <w:color w:val="000000"/>
          <w:sz w:val="24"/>
          <w:szCs w:val="24"/>
          <w:rFonts w:ascii="Times New Roman" w:hAnsi="Times New Roman"/>
        </w:rPr>
        <w:t xml:space="preserve">Rozporządzenie z dnia XXXX w sprawie kryteriów, kryteriów cząstkowych i systemu ocen na potrzeby obliczania i umieszczania wskaźnika możliwości naprawy telewizorów</w:t>
      </w:r>
    </w:p>
    <w:p w:rsidR="004A1972" w:rsidRDefault="004A1972" w:rsidP="00C75D49">
      <w:pPr>
        <w:autoSpaceDE w:val="0"/>
        <w:spacing w:after="0" w:line="240" w:lineRule="auto"/>
        <w:jc w:val="center"/>
      </w:pPr>
    </w:p>
    <w:p w:rsidR="004A1972" w:rsidRDefault="00294EF2" w:rsidP="00C75D49">
      <w:pPr>
        <w:autoSpaceDE w:val="0"/>
        <w:spacing w:after="0" w:line="240" w:lineRule="auto"/>
        <w:jc w:val="center"/>
      </w:pPr>
      <w:r>
        <w:rPr>
          <w:color w:val="000000"/>
          <w:sz w:val="24"/>
          <w:szCs w:val="24"/>
          <w:rFonts w:ascii="Times New Roman" w:hAnsi="Times New Roman"/>
        </w:rPr>
        <w:t xml:space="preserve">NR REF.:</w:t>
      </w:r>
      <w:r>
        <w:rPr>
          <w:color w:val="000000"/>
          <w:sz w:val="24"/>
          <w:szCs w:val="24"/>
          <w:rFonts w:ascii="Times New Roman" w:hAnsi="Times New Roman"/>
        </w:rPr>
        <w:t xml:space="preserve"> </w:t>
      </w:r>
      <w:r>
        <w:rPr>
          <w:color w:val="000000"/>
          <w:sz w:val="24"/>
          <w:szCs w:val="24"/>
          <w:rFonts w:ascii="Times New Roman" w:hAnsi="Times New Roman"/>
        </w:rPr>
        <w:t xml:space="preserve">XXXXX</w:t>
      </w: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Default="00294EF2" w:rsidP="00C75D49">
      <w:pPr>
        <w:autoSpaceDE w:val="0"/>
        <w:spacing w:after="0" w:line="240" w:lineRule="auto"/>
        <w:jc w:val="both"/>
      </w:pPr>
      <w:r>
        <w:rPr>
          <w:color w:val="000000"/>
          <w:sz w:val="24"/>
          <w:szCs w:val="24"/>
          <w:rFonts w:ascii="Times New Roman" w:hAnsi="Times New Roman"/>
        </w:rPr>
        <w:t xml:space="preserve">Minister Transformacji Ekologicznej i Minister Gospodarki i Finansów,</w:t>
      </w: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Pr="00FE0B04" w:rsidRDefault="00294EF2" w:rsidP="00C75D49">
      <w:pPr>
        <w:autoSpaceDE w:val="0"/>
        <w:spacing w:after="0" w:line="240" w:lineRule="auto"/>
        <w:jc w:val="both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uwzględniając rozporządzenie Komisji (UE) 2019/2021 z dnia 1 października 2019 r. ustanawiające wymogi dotyczące ekoprojektu dla wyświetlaczy elektronicznych zgodnie z dyrektywą Parlamentu Europejskiego i Rady 2009/125/WE, zmieniające rozporządzenie Komisji (WE) nr 1275/2008 i uchylające rozporządzenie Komisji (WE) nr 642/2009,</w:t>
      </w: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Default="00294EF2" w:rsidP="00C75D49">
      <w:pPr>
        <w:autoSpaceDE w:val="0"/>
        <w:spacing w:after="0" w:line="240" w:lineRule="auto"/>
        <w:jc w:val="both"/>
      </w:pPr>
      <w:r>
        <w:rPr>
          <w:color w:val="000000"/>
          <w:sz w:val="24"/>
          <w:szCs w:val="24"/>
          <w:rFonts w:ascii="Times New Roman" w:hAnsi="Times New Roman"/>
        </w:rPr>
        <w:t xml:space="preserve">uwzględniając kodeks środowiska, w szczególności jego art. L. 541-9-2,</w:t>
      </w: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Default="00294EF2" w:rsidP="00C75D49">
      <w:pPr>
        <w:autoSpaceDE w:val="0"/>
        <w:spacing w:after="0" w:line="240" w:lineRule="auto"/>
        <w:jc w:val="both"/>
      </w:pPr>
      <w:r>
        <w:rPr>
          <w:color w:val="000000"/>
          <w:sz w:val="24"/>
          <w:szCs w:val="24"/>
          <w:rFonts w:ascii="Times New Roman" w:hAnsi="Times New Roman"/>
        </w:rPr>
        <w:t xml:space="preserve">uwzględniając dekret nr XXX z dnia XXXX w sprawie zasad stosowania wskaźnika możliwości naprawy w odniesieniu do urządzeń elektrycznych i elektronicznych, jego kryteriów i sposobu obliczania,</w:t>
      </w: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Default="004A1972" w:rsidP="00C75D49">
      <w:pPr>
        <w:autoSpaceDE w:val="0"/>
        <w:spacing w:after="0" w:line="240" w:lineRule="auto"/>
        <w:jc w:val="both"/>
      </w:pPr>
    </w:p>
    <w:p w:rsidR="004A1972" w:rsidRPr="00474213" w:rsidRDefault="00294EF2" w:rsidP="00C75D49">
      <w:pPr>
        <w:keepNext/>
        <w:keepLines/>
        <w:autoSpaceDE w:val="0"/>
        <w:spacing w:after="0" w:line="240" w:lineRule="auto"/>
        <w:rPr>
          <w:b/>
          <w:bCs/>
          <w:color w:val="000000"/>
          <w:sz w:val="24"/>
          <w:szCs w:val="24"/>
          <w:rFonts w:ascii="Times New Roman" w:hAnsi="Times New Roman" w:cs="Times New Roman"/>
        </w:rPr>
      </w:pPr>
      <w:r>
        <w:rPr>
          <w:b/>
          <w:bCs/>
          <w:color w:val="000000"/>
          <w:sz w:val="24"/>
          <w:szCs w:val="24"/>
          <w:rFonts w:ascii="Times New Roman" w:hAnsi="Times New Roman"/>
        </w:rPr>
        <w:t xml:space="preserve">Artykuł 1</w:t>
      </w:r>
    </w:p>
    <w:p w:rsidR="004A1972" w:rsidRDefault="004A1972" w:rsidP="00C75D49">
      <w:pPr>
        <w:keepNext/>
        <w:keepLines/>
        <w:autoSpaceDE w:val="0"/>
        <w:spacing w:after="0" w:line="240" w:lineRule="auto"/>
        <w:rPr>
          <w:color w:val="000000"/>
        </w:rPr>
      </w:pPr>
    </w:p>
    <w:p w:rsidR="004A1972" w:rsidRDefault="00294EF2" w:rsidP="00C75D49">
      <w:pPr>
        <w:autoSpaceDE w:val="0"/>
        <w:spacing w:after="0" w:line="240" w:lineRule="auto"/>
        <w:jc w:val="both"/>
      </w:pPr>
      <w:r>
        <w:rPr>
          <w:color w:val="000000"/>
          <w:sz w:val="24"/>
          <w:szCs w:val="24"/>
          <w:rFonts w:ascii="Times New Roman" w:hAnsi="Times New Roman"/>
        </w:rPr>
        <w:t xml:space="preserve">Niniejsze rozporządzenie ma zastosowanie do telewizorów objętych zakresem stosowania wyżej wspomnianego rozporządzenia z dnia 1 października 2019 r.</w:t>
      </w:r>
    </w:p>
    <w:p w:rsidR="004A1972" w:rsidRDefault="004A1972" w:rsidP="00C75D49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Default="00294EF2" w:rsidP="00C75D49">
      <w:pPr>
        <w:keepNext/>
        <w:keepLines/>
        <w:autoSpaceDE w:val="0"/>
        <w:spacing w:after="0" w:line="240" w:lineRule="auto"/>
      </w:pPr>
      <w:r>
        <w:rPr>
          <w:b/>
          <w:bCs/>
          <w:color w:val="000000"/>
          <w:sz w:val="24"/>
          <w:szCs w:val="24"/>
          <w:rFonts w:ascii="Times New Roman" w:hAnsi="Times New Roman"/>
        </w:rPr>
        <w:t xml:space="preserve">Artykuł 2</w:t>
      </w:r>
    </w:p>
    <w:p w:rsidR="004A1972" w:rsidRDefault="004A1972" w:rsidP="00C75D49">
      <w:pPr>
        <w:keepNext/>
        <w:keepLines/>
        <w:autoSpaceDE w:val="0"/>
        <w:spacing w:after="0" w:line="240" w:lineRule="auto"/>
        <w:rPr>
          <w:color w:val="000000"/>
        </w:rPr>
      </w:pPr>
    </w:p>
    <w:p w:rsidR="004A1972" w:rsidRDefault="00294EF2" w:rsidP="00C75D49">
      <w:pPr>
        <w:autoSpaceDE w:val="0"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System ocen, kryteria i kryteria cząstkowe mające zastosowanie do produktów zdefiniowanych w art. 1, umożliwiające obliczenie wskaźnika możliwości naprawy, podaje się szczegółowo poniżej:</w:t>
      </w:r>
    </w:p>
    <w:p w:rsidR="00C75D49" w:rsidRDefault="00C75D49" w:rsidP="00C75D49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75D49" w:rsidRDefault="00C75D49" w:rsidP="00C75D49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Pr="001A0D10" w:rsidRDefault="00294EF2" w:rsidP="00C75D49">
      <w:pPr>
        <w:keepNext/>
        <w:keepLines/>
        <w:jc w:val="center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KRYTERIUM NR 1 – DOKUMENTACJA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Kryterium cząstkowe 1.1.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Zobowiązanie co do okresu dostępności nieodpłatnej dokumentacji technicznej i dokumentów dotyczących zaleceń użytkowania i konserwacji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763"/>
        <w:gridCol w:w="552"/>
        <w:gridCol w:w="552"/>
        <w:gridCol w:w="551"/>
        <w:gridCol w:w="553"/>
        <w:gridCol w:w="551"/>
        <w:gridCol w:w="551"/>
        <w:gridCol w:w="551"/>
        <w:gridCol w:w="551"/>
        <w:gridCol w:w="551"/>
        <w:gridCol w:w="551"/>
        <w:gridCol w:w="551"/>
        <w:gridCol w:w="548"/>
      </w:tblGrid>
      <w:tr w:rsidR="004A1972" w:rsidRPr="004B6AF5" w:rsidTr="005A33D1">
        <w:tc>
          <w:tcPr>
            <w:tcW w:w="14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A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Producent</w:t>
            </w:r>
          </w:p>
        </w:tc>
        <w:tc>
          <w:tcPr>
            <w:tcW w:w="117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B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Serwisanci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1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C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Konsumenci</w:t>
            </w:r>
          </w:p>
        </w:tc>
      </w:tr>
      <w:tr w:rsidR="004A1972" w:rsidRPr="004B6AF5" w:rsidTr="005A33D1">
        <w:tc>
          <w:tcPr>
            <w:tcW w:w="14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7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117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11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lat dostępności</w:t>
            </w:r>
          </w:p>
        </w:tc>
      </w:tr>
      <w:tr w:rsidR="005A33D1" w:rsidRPr="004B6AF5" w:rsidTr="005A33D1">
        <w:tc>
          <w:tcPr>
            <w:tcW w:w="14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lub więcej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lub więcej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lub więcej</w:t>
            </w:r>
          </w:p>
        </w:tc>
      </w:tr>
      <w:tr w:rsidR="004A1972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Typ dokumentacji</w:t>
            </w:r>
          </w:p>
        </w:tc>
        <w:tc>
          <w:tcPr>
            <w:tcW w:w="117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  <w:tc>
          <w:tcPr>
            <w:tcW w:w="117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  <w:tc>
          <w:tcPr>
            <w:tcW w:w="11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Jednoznaczna identyfikacja produktu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Schemat demontażu lub widok rozstrzelony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Schematy okablowania i podłączeń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Schematy układów scalonych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Wykaz wymaganego sprzętu do napraw i prób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Instrukcja techniczna dotycząca napraw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Kody błędów i kody diagnostyczne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Informacje o częściach składowych i diagnostyce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Instrukcje dotyczące oprogramowania (w tym resetowania)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Dostęp do zgłoszonych i zarejestrowanych zdarzeń w urządzeniu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5A33D1" w:rsidRPr="004B6AF5" w:rsidTr="005A33D1">
        <w:tc>
          <w:tcPr>
            <w:tcW w:w="14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Biuletyny techniczne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4A1972" w:rsidRPr="004B6AF5" w:rsidTr="005A33D1">
        <w:tc>
          <w:tcPr>
            <w:tcW w:w="38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Szczególne wytyczne dotyczące samodzielnej naprawy (zalecane operacje, instrukcje dotyczące bezpieczeństwa i naprawy, ewentualne konsekwencje w wymiarze gwarancji)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4A1972" w:rsidRPr="004B6AF5" w:rsidTr="005A33D1">
        <w:tc>
          <w:tcPr>
            <w:tcW w:w="38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Informacje dotyczące dostępu dla profesjonalnych serwisantów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4A1972" w:rsidRPr="004B6AF5" w:rsidTr="005A33D1">
        <w:tc>
          <w:tcPr>
            <w:tcW w:w="38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Wykrywanie usterek i wymagane działania (podejście dla ogółu użytkowników)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4A1972" w:rsidRPr="004B6AF5" w:rsidTr="005A33D1">
        <w:tc>
          <w:tcPr>
            <w:tcW w:w="3826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Zalecenia dotyczące użytkowania i konserwacji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</w:tbl>
    <w:p w:rsidR="004A1972" w:rsidRDefault="00294EF2" w:rsidP="004B6AF5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Maksymalna liczba punktów wynosi 407.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Ocena dla tego kryterium cząstkowego = (liczba otrzymanych punktów/407) x 10</w:t>
      </w:r>
    </w:p>
    <w:p w:rsidR="004A1972" w:rsidRDefault="00294EF2" w:rsidP="00C75D49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KRYTERIUM NR 2 – MOŻLIWOŚCI DEMONTAŻU I DOSTĘPU, NARZĘDZIA, MOCOWANIA</w:t>
      </w:r>
    </w:p>
    <w:p w:rsidR="004A1972" w:rsidRDefault="00294EF2" w:rsidP="00C75D49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Kryterium cząstkowe 2.1.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Łatwość demontażu części (wykaz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576"/>
        <w:gridCol w:w="1200"/>
        <w:gridCol w:w="1200"/>
        <w:gridCol w:w="1200"/>
        <w:gridCol w:w="1200"/>
      </w:tblGrid>
      <w:tr w:rsidR="004A1972" w:rsidRPr="004B6AF5" w:rsidTr="00C75D49">
        <w:tc>
          <w:tcPr>
            <w:tcW w:w="24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6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etapów w celu uzyskania jednostkowego dostępu do danej części</w:t>
            </w:r>
          </w:p>
        </w:tc>
      </w:tr>
      <w:tr w:rsidR="004A1972" w:rsidRPr="004B6AF5" w:rsidTr="005A33D1">
        <w:tc>
          <w:tcPr>
            <w:tcW w:w="24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ND/NA (1) lub 4 i więcej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</w:tr>
      <w:tr w:rsidR="004A1972" w:rsidRPr="004B6AF5" w:rsidTr="00C75D49"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Części z wykazu 2 (części zewnętrzne)</w:t>
            </w:r>
          </w:p>
        </w:tc>
        <w:tc>
          <w:tcPr>
            <w:tcW w:w="256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</w:tr>
      <w:tr w:rsidR="004A1972" w:rsidRPr="004B6AF5" w:rsidTr="005A33D1"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Pilot (2)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4A1972" w:rsidRPr="004B6AF5" w:rsidTr="005A33D1"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Zewnętrzne źródła zasilania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A1972" w:rsidRDefault="004A1972" w:rsidP="00C75D49">
      <w:pPr>
        <w:rPr>
          <w:rFonts w:ascii="Times New Roman" w:hAnsi="Times New Roman" w:cs="Times New Roman"/>
          <w:color w:val="000000"/>
          <w:sz w:val="2"/>
          <w:szCs w:val="20"/>
        </w:rPr>
      </w:pP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576"/>
        <w:gridCol w:w="1200"/>
        <w:gridCol w:w="1200"/>
        <w:gridCol w:w="1200"/>
        <w:gridCol w:w="1200"/>
      </w:tblGrid>
      <w:tr w:rsidR="004A1972" w:rsidRPr="004B6AF5" w:rsidTr="00C75D49">
        <w:tc>
          <w:tcPr>
            <w:tcW w:w="24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6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etapów w celu uzyskania jednostkowego dostępu do danej części</w:t>
            </w:r>
          </w:p>
        </w:tc>
      </w:tr>
      <w:tr w:rsidR="004A1972" w:rsidRPr="004B6AF5" w:rsidTr="005A33D1">
        <w:tc>
          <w:tcPr>
            <w:tcW w:w="24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ND/NA (1) lub 12 i więcej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10 do 11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8 do 9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do 7</w:t>
            </w:r>
          </w:p>
        </w:tc>
      </w:tr>
      <w:tr w:rsidR="004A1972" w:rsidRPr="004B6AF5" w:rsidTr="00C75D49"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Części z wykazu 2 (części wewnętrzne)</w:t>
            </w:r>
          </w:p>
        </w:tc>
        <w:tc>
          <w:tcPr>
            <w:tcW w:w="256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</w:tr>
      <w:tr w:rsidR="004A1972" w:rsidRPr="004B6AF5" w:rsidTr="005A33D1"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Wewnętrzne źródła zasilania (3)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4A1972" w:rsidRPr="004B6AF5" w:rsidTr="005A33D1"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Matryca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4A1972" w:rsidRPr="004B6AF5" w:rsidTr="005A33D1">
        <w:tc>
          <w:tcPr>
            <w:tcW w:w="2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Ekran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</w:tbl>
    <w:p w:rsidR="004A1972" w:rsidRPr="004B6AF5" w:rsidRDefault="00294EF2" w:rsidP="004B6AF5">
      <w:pPr>
        <w:pStyle w:val="ListParagraph"/>
        <w:numPr>
          <w:ilvl w:val="0"/>
          <w:numId w:val="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ND/NA = nierozbieralne lub niedostępne jednostkowo</w:t>
      </w:r>
    </w:p>
    <w:p w:rsidR="004A1972" w:rsidRPr="004B6AF5" w:rsidRDefault="00294EF2" w:rsidP="004B6AF5">
      <w:pPr>
        <w:pStyle w:val="ListParagraph"/>
        <w:numPr>
          <w:ilvl w:val="0"/>
          <w:numId w:val="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Wystarczy wyjąć baterie lub akumulator</w:t>
      </w:r>
    </w:p>
    <w:p w:rsidR="004A1972" w:rsidRPr="004B6AF5" w:rsidRDefault="00294EF2" w:rsidP="004B6AF5">
      <w:pPr>
        <w:pStyle w:val="ListParagraph"/>
        <w:numPr>
          <w:ilvl w:val="0"/>
          <w:numId w:val="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Zaznaczyć na szaro w przypadku zewnętrznych źródeł zasilania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4A1972" w:rsidRDefault="00294EF2" w:rsidP="004B6AF5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W przypadku wewnętrznych źródeł zasilania maksymalna liczba punktów wynosi 12.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Ocena dla tego kryterium cząstkowego = (liczba otrzymanych punktów/12)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4A1972" w:rsidRDefault="00294EF2" w:rsidP="004B6AF5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W przypadku zewnętrznych źródeł zasilania maksymalna liczba punktów wynosi 9.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Ocena dla tego kryterium cząstkowego = (liczba otrzymanych punktów/9)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4A1972" w:rsidRDefault="00294EF2" w:rsidP="00C75D49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Kryterium cząstkowe 2.2.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Narzędzia potrzebne do demontażu części (wykaz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716"/>
        <w:gridCol w:w="1665"/>
        <w:gridCol w:w="1665"/>
        <w:gridCol w:w="1665"/>
        <w:gridCol w:w="1665"/>
      </w:tblGrid>
      <w:tr w:rsidR="004A1972" w:rsidRPr="004B6AF5" w:rsidTr="00C75D49">
        <w:tc>
          <w:tcPr>
            <w:tcW w:w="14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5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Typ narzędzi</w:t>
            </w:r>
          </w:p>
        </w:tc>
      </w:tr>
      <w:tr w:rsidR="004A1972" w:rsidRPr="004B6AF5" w:rsidTr="005A33D1">
        <w:tc>
          <w:tcPr>
            <w:tcW w:w="14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ND/NA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Narzędzia zastrzeżone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Narzędzia specjalne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Bez narzędzi, zwykłe narzędzia (4)</w:t>
            </w:r>
          </w:p>
        </w:tc>
      </w:tr>
      <w:tr w:rsidR="004A1972" w:rsidRPr="004B6AF5" w:rsidTr="00C75D49"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Części z wykazu 2</w:t>
            </w:r>
          </w:p>
        </w:tc>
        <w:tc>
          <w:tcPr>
            <w:tcW w:w="355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 (5)</w:t>
            </w:r>
          </w:p>
        </w:tc>
      </w:tr>
      <w:tr w:rsidR="004A1972" w:rsidRPr="004B6AF5" w:rsidTr="005A33D1"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Pilot zdalnego sterowania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  <w:tr w:rsidR="004A1972" w:rsidRPr="004B6AF5" w:rsidTr="005A33D1"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Zewnętrzne źródła zasilania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99999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:rsidR="004A1972" w:rsidRDefault="004A1972" w:rsidP="00C75D49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1972" w:rsidRPr="004B6AF5" w:rsidTr="005A33D1">
        <w:tc>
          <w:tcPr>
            <w:tcW w:w="144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Wewnętrzne źródła zasilania (3)</w:t>
            </w: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  <w:tr w:rsidR="004A1972" w:rsidRPr="004B6AF5" w:rsidTr="005A33D1"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Matryca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  <w:tr w:rsidR="004A1972" w:rsidRPr="004B6AF5" w:rsidTr="005A33D1"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Ekran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</w:tbl>
    <w:p w:rsidR="004A1972" w:rsidRPr="004B6AF5" w:rsidRDefault="00294EF2" w:rsidP="004B6AF5">
      <w:pPr>
        <w:pStyle w:val="ListParagraph"/>
        <w:numPr>
          <w:ilvl w:val="0"/>
          <w:numId w:val="13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Zaznaczyć na szaro w przypadku zewnętrznych źródeł zasilania</w:t>
      </w:r>
    </w:p>
    <w:p w:rsidR="004A1972" w:rsidRPr="004B6AF5" w:rsidRDefault="00294EF2" w:rsidP="004B6AF5">
      <w:pPr>
        <w:pStyle w:val="ListParagraph"/>
        <w:numPr>
          <w:ilvl w:val="0"/>
          <w:numId w:val="13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lub narzędzie dostarczane z częścią zamienną bądź z produktem</w:t>
      </w:r>
    </w:p>
    <w:p w:rsidR="004A1972" w:rsidRPr="004B6AF5" w:rsidRDefault="00294EF2" w:rsidP="004B6AF5">
      <w:pPr>
        <w:pStyle w:val="ListParagraph"/>
        <w:numPr>
          <w:ilvl w:val="0"/>
          <w:numId w:val="13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w przypadku gdy potrzebnych jest więcej narzędzi, zastosować najbardziej niekorzystną ocenę</w:t>
      </w:r>
    </w:p>
    <w:p w:rsidR="004A1972" w:rsidRDefault="00294EF2" w:rsidP="004B6AF5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W przypadku wewnętrznych źródeł zasilania maksymalna liczba punktów wynosi 16.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Ocena dla tego kryterium cząstkowego = (liczba otrzymanych punktów/16) x 10</w:t>
      </w:r>
    </w:p>
    <w:p w:rsidR="004A1972" w:rsidRDefault="00294EF2" w:rsidP="004B6AF5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W przypadku zewnętrznych źródeł zasilania maksymalna liczba punktów wynosi 12.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Ocena dla tego kryterium cząstkowego = (liczba otrzymanych punktów/12)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4A1972" w:rsidRDefault="00294EF2" w:rsidP="00C75D49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Kryterium cząstkowe 2.3.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Cechy mocowań (do montażu części z wykazów 1 i 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576"/>
        <w:gridCol w:w="1600"/>
        <w:gridCol w:w="1600"/>
        <w:gridCol w:w="1600"/>
      </w:tblGrid>
      <w:tr w:rsidR="004A1972" w:rsidRPr="004B6AF5" w:rsidTr="00C75D49">
        <w:tc>
          <w:tcPr>
            <w:tcW w:w="24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Typ mocowania</w:t>
            </w:r>
          </w:p>
        </w:tc>
      </w:tr>
      <w:tr w:rsidR="004A1972" w:rsidRPr="004B6AF5" w:rsidTr="005A33D1">
        <w:tc>
          <w:tcPr>
            <w:tcW w:w="2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Nieusuwalne, niemożliwe do ponownego wykorzystania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Usuwalne, niemożliwe do ponownego wykorzystania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Usuwalne i możliwe do ponownego wykorzystania (3)</w:t>
            </w:r>
          </w:p>
        </w:tc>
      </w:tr>
      <w:tr w:rsidR="004A1972" w:rsidRPr="004B6AF5" w:rsidTr="00C75D49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Części z wykazu 1 lub z wykazu 2</w:t>
            </w:r>
          </w:p>
        </w:tc>
        <w:tc>
          <w:tcPr>
            <w:tcW w:w="25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 (4)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Tylna pokrywa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Moduł Wi-Fi (5)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Moduł Bluetooth (6)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Odbiornik podczerwieni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Głośniki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Złącza (7)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Pilot zdalnego sterowania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Wewnętrzne źródła zasilania (8)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Zewnętrzne źródła zasilania (9)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Matryca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  <w:tr w:rsidR="004A1972" w:rsidRPr="004B6AF5" w:rsidTr="005A33D1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Ekran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</w:tbl>
    <w:p w:rsidR="004A1972" w:rsidRPr="004B6AF5" w:rsidRDefault="00294EF2" w:rsidP="004B6AF5">
      <w:pPr>
        <w:pStyle w:val="ListParagraph"/>
        <w:numPr>
          <w:ilvl w:val="0"/>
          <w:numId w:val="1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lub mocowanie dostarczane z częścią zamienną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4A1972" w:rsidRPr="004B6AF5" w:rsidRDefault="00294EF2" w:rsidP="004B6AF5">
      <w:pPr>
        <w:pStyle w:val="ListParagraph"/>
        <w:numPr>
          <w:ilvl w:val="0"/>
          <w:numId w:val="1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w przypadku gdy potrzebnych jest więcej mocowań, zastosować najbardziej niekorzystną ocenę</w:t>
      </w:r>
    </w:p>
    <w:p w:rsidR="004A1972" w:rsidRPr="004B6AF5" w:rsidRDefault="00294EF2" w:rsidP="004B6AF5">
      <w:pPr>
        <w:pStyle w:val="ListParagraph"/>
        <w:numPr>
          <w:ilvl w:val="0"/>
          <w:numId w:val="1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Zaznaczyć na szaro w przypadku braku</w:t>
      </w:r>
    </w:p>
    <w:p w:rsidR="004A1972" w:rsidRPr="004B6AF5" w:rsidRDefault="00294EF2" w:rsidP="004B6AF5">
      <w:pPr>
        <w:pStyle w:val="ListParagraph"/>
        <w:numPr>
          <w:ilvl w:val="0"/>
          <w:numId w:val="1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Zaznaczyć na szaro w przypadku braku</w:t>
      </w:r>
    </w:p>
    <w:p w:rsidR="004A1972" w:rsidRPr="004B6AF5" w:rsidRDefault="00294EF2" w:rsidP="004B6AF5">
      <w:pPr>
        <w:pStyle w:val="ListParagraph"/>
        <w:numPr>
          <w:ilvl w:val="0"/>
          <w:numId w:val="1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do podłączenia urządzeń zewnętrznych (instalacja kablowa, antena, USB, DVD i Blue-Ray)</w:t>
      </w:r>
    </w:p>
    <w:p w:rsidR="004A1972" w:rsidRPr="004B6AF5" w:rsidRDefault="00294EF2" w:rsidP="004B6AF5">
      <w:pPr>
        <w:pStyle w:val="ListParagraph"/>
        <w:numPr>
          <w:ilvl w:val="0"/>
          <w:numId w:val="1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Zaznaczyć na szaro w przypadku zewnętrznych źródeł zasilania</w:t>
      </w:r>
    </w:p>
    <w:p w:rsidR="004A1972" w:rsidRPr="004B6AF5" w:rsidRDefault="00294EF2" w:rsidP="004B6AF5">
      <w:pPr>
        <w:pStyle w:val="ListParagraph"/>
        <w:numPr>
          <w:ilvl w:val="0"/>
          <w:numId w:val="12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Zaznaczyć na szaro w przypadku wewnętrznych źródeł zasilania</w:t>
      </w:r>
    </w:p>
    <w:p w:rsidR="004A1972" w:rsidRDefault="00294EF2" w:rsidP="004B6AF5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Maksymalna liczba punktów wynosi 20.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Ocena dla tego kryterium cząstkowego = (liczba otrzymanych punktów/20) x 10</w:t>
      </w:r>
    </w:p>
    <w:p w:rsidR="004A1972" w:rsidRDefault="00294EF2" w:rsidP="00C75D49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KRYTERIUM NR 3 – DOSTĘPNOŚĆ CZĘŚCI ZAMIENNYCH</w:t>
      </w:r>
    </w:p>
    <w:p w:rsidR="004A1972" w:rsidRDefault="00294EF2" w:rsidP="00C75D49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Kryterium cząstkowe 3.1.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Zobowiązanie producenta co do okresu dostępności części z wykazu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54"/>
        <w:gridCol w:w="470"/>
        <w:gridCol w:w="470"/>
        <w:gridCol w:w="470"/>
        <w:gridCol w:w="470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61"/>
      </w:tblGrid>
      <w:tr w:rsidR="004A1972" w:rsidRPr="004B6AF5" w:rsidTr="005A33D1">
        <w:tc>
          <w:tcPr>
            <w:tcW w:w="9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A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Producent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B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Dystrybutorzy części zamiennych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AF5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C</w:t>
            </w:r>
          </w:p>
          <w:p w:rsidR="004A1972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Serwisanci</w:t>
            </w:r>
          </w:p>
        </w:tc>
        <w:tc>
          <w:tcPr>
            <w:tcW w:w="10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D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Konsumenci</w:t>
            </w:r>
          </w:p>
        </w:tc>
      </w:tr>
      <w:tr w:rsidR="004A1972" w:rsidRPr="004B6AF5" w:rsidTr="005A33D1">
        <w:tc>
          <w:tcPr>
            <w:tcW w:w="9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10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lat dostępności</w:t>
            </w:r>
          </w:p>
        </w:tc>
      </w:tr>
      <w:tr w:rsidR="004B6AF5" w:rsidRPr="004B6AF5" w:rsidTr="005A33D1">
        <w:tc>
          <w:tcPr>
            <w:tcW w:w="9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lub więcej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lub więcej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lub więcej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lub więcej</w:t>
            </w:r>
          </w:p>
        </w:tc>
      </w:tr>
      <w:tr w:rsidR="004A1972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Części z wykazu 2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Pilot zdalnego sterowania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Wewnętrzne źródła zasilania (1)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Zewnętrzne źródła zasilania (2)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Matryca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Ekran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</w:tbl>
    <w:p w:rsidR="004B6AF5" w:rsidRDefault="00294EF2" w:rsidP="004B6AF5">
      <w:pPr>
        <w:pStyle w:val="ListParagraph"/>
        <w:numPr>
          <w:ilvl w:val="0"/>
          <w:numId w:val="11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Zaznaczyć na szaro w przypadku zewnętrznych źródeł zasilania</w:t>
      </w:r>
    </w:p>
    <w:p w:rsidR="004A1972" w:rsidRPr="004B6AF5" w:rsidRDefault="00294EF2" w:rsidP="004B6AF5">
      <w:pPr>
        <w:pStyle w:val="ListParagraph"/>
        <w:numPr>
          <w:ilvl w:val="0"/>
          <w:numId w:val="11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Zaznaczyć na szaro w przypadku wewnętrznych źródeł zasilania</w:t>
      </w:r>
    </w:p>
    <w:p w:rsidR="004B6AF5" w:rsidRDefault="00294EF2" w:rsidP="004B6AF5">
      <w:pPr>
        <w:jc w:val="both"/>
        <w:rPr>
          <w:color w:val="000000"/>
          <w:sz w:val="20"/>
          <w:szCs w:val="20"/>
          <w:rFonts w:ascii="Times New Roman" w:hAnsi="Times New Roman" w:cs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Maksymalna liczba punktów wynosi 176.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Ocena dla tego kryterium cząstkowego = (liczba otrzymanych punktów/176) x 10</w:t>
      </w:r>
    </w:p>
    <w:p w:rsidR="004A1972" w:rsidRDefault="00294EF2" w:rsidP="004B6AF5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Kryterium cząstkowe 3.2.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Zobowiązanie producenta co do okresu dostępności części z wykazu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54"/>
        <w:gridCol w:w="470"/>
        <w:gridCol w:w="470"/>
        <w:gridCol w:w="470"/>
        <w:gridCol w:w="470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71"/>
        <w:gridCol w:w="461"/>
      </w:tblGrid>
      <w:tr w:rsidR="004A1972" w:rsidRPr="004B6AF5" w:rsidTr="005A33D1">
        <w:tc>
          <w:tcPr>
            <w:tcW w:w="9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A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Producent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B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Dystrybutorzy części zamiennych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AF5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C</w:t>
            </w:r>
          </w:p>
          <w:p w:rsidR="004A1972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Serwisanci</w:t>
            </w:r>
          </w:p>
        </w:tc>
        <w:tc>
          <w:tcPr>
            <w:tcW w:w="10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D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Konsumenci</w:t>
            </w:r>
          </w:p>
        </w:tc>
      </w:tr>
      <w:tr w:rsidR="004A1972" w:rsidRPr="004B6AF5" w:rsidTr="005A33D1">
        <w:tc>
          <w:tcPr>
            <w:tcW w:w="9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lat dostępności</w:t>
            </w:r>
          </w:p>
        </w:tc>
        <w:tc>
          <w:tcPr>
            <w:tcW w:w="100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lat dostępności</w:t>
            </w:r>
          </w:p>
        </w:tc>
      </w:tr>
      <w:tr w:rsidR="004B6AF5" w:rsidRPr="004B6AF5" w:rsidTr="005A33D1">
        <w:tc>
          <w:tcPr>
            <w:tcW w:w="9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lub więcej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lub więcej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lub więcej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 do 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 do 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 do 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lub więcej</w:t>
            </w:r>
          </w:p>
        </w:tc>
      </w:tr>
      <w:tr w:rsidR="004A1972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Części z wykazu 1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  <w:tc>
          <w:tcPr>
            <w:tcW w:w="10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Tylna pokrywa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Moduł Wi-Fi (3)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Moduł Bluetooth (4)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Odbiornik podczerwieni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Głośniki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  <w:tr w:rsidR="004B6AF5" w:rsidRPr="004B6AF5" w:rsidTr="005A33D1">
        <w:tc>
          <w:tcPr>
            <w:tcW w:w="98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Złącza (5)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7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9</w:t>
            </w:r>
          </w:p>
        </w:tc>
        <w:tc>
          <w:tcPr>
            <w:tcW w:w="2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</w:t>
            </w:r>
          </w:p>
        </w:tc>
      </w:tr>
    </w:tbl>
    <w:p w:rsidR="00C75D49" w:rsidRDefault="00C75D49" w:rsidP="004B6AF5">
      <w:pPr>
        <w:pStyle w:val="ListParagraph"/>
        <w:numPr>
          <w:ilvl w:val="0"/>
          <w:numId w:val="10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Zaznaczyć na szaro w przypadku braku</w:t>
      </w:r>
    </w:p>
    <w:p w:rsidR="00C75D49" w:rsidRDefault="00294EF2" w:rsidP="004B6AF5">
      <w:pPr>
        <w:pStyle w:val="ListParagraph"/>
        <w:numPr>
          <w:ilvl w:val="0"/>
          <w:numId w:val="10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Zaznaczyć na szaro w przypadku braku</w:t>
      </w:r>
    </w:p>
    <w:p w:rsidR="004A1972" w:rsidRPr="004B6AF5" w:rsidRDefault="00294EF2" w:rsidP="004B6AF5">
      <w:pPr>
        <w:pStyle w:val="ListParagraph"/>
        <w:numPr>
          <w:ilvl w:val="0"/>
          <w:numId w:val="10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do podłączenia urządzeń zewnętrznych (instalacja kablowa, antena, USB, DVD i Blue-Ray)</w:t>
      </w:r>
    </w:p>
    <w:p w:rsidR="004A1972" w:rsidRDefault="00294EF2" w:rsidP="004B6AF5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Maksymalna liczba punktów wynosi 264.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Ocena dla tego kryterium cząstkowego = (liczba otrzymanych punktów/264) x 10</w:t>
      </w:r>
    </w:p>
    <w:p w:rsidR="004A1972" w:rsidRDefault="00294EF2" w:rsidP="00C75D49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Kryterium cząstkowe 3.3.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Czas dostawy części z wykazu 2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64"/>
        <w:gridCol w:w="475"/>
        <w:gridCol w:w="477"/>
        <w:gridCol w:w="477"/>
        <w:gridCol w:w="476"/>
        <w:gridCol w:w="476"/>
        <w:gridCol w:w="476"/>
        <w:gridCol w:w="476"/>
        <w:gridCol w:w="476"/>
        <w:gridCol w:w="474"/>
        <w:gridCol w:w="476"/>
        <w:gridCol w:w="476"/>
        <w:gridCol w:w="476"/>
        <w:gridCol w:w="476"/>
        <w:gridCol w:w="476"/>
        <w:gridCol w:w="476"/>
        <w:gridCol w:w="473"/>
      </w:tblGrid>
      <w:tr w:rsidR="004A1972" w:rsidRPr="004B6AF5" w:rsidTr="005A33D1">
        <w:tc>
          <w:tcPr>
            <w:tcW w:w="9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A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Producent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B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Dystrybutorzy części zamiennych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AF5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C</w:t>
            </w:r>
          </w:p>
          <w:p w:rsidR="004A1972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Serwisanci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D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Konsumenci</w:t>
            </w:r>
          </w:p>
        </w:tc>
      </w:tr>
      <w:tr w:rsidR="004A1972" w:rsidRPr="004B6AF5" w:rsidTr="005A33D1">
        <w:tc>
          <w:tcPr>
            <w:tcW w:w="9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Czas dostawy w dniach (1)</w:t>
            </w:r>
          </w:p>
        </w:tc>
      </w:tr>
      <w:tr w:rsidR="00C75D49" w:rsidRPr="004B6AF5" w:rsidTr="005A33D1">
        <w:tc>
          <w:tcPr>
            <w:tcW w:w="9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i więcej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do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do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do 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i więcej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do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do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do 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i więcej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do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do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do 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i więcej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do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do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do 3</w:t>
            </w:r>
          </w:p>
        </w:tc>
      </w:tr>
      <w:tr w:rsidR="004A1972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Części z wykazu 2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Pilot zdalnego sterowania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Wewnętrzne źródła zasilania (2)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Zewnętrzne źródła zasilania (3)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Matryca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Ekran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</w:tbl>
    <w:p w:rsidR="004A1972" w:rsidRDefault="00294EF2" w:rsidP="004B6AF5">
      <w:pPr>
        <w:pStyle w:val="ListParagraph"/>
        <w:numPr>
          <w:ilvl w:val="0"/>
          <w:numId w:val="8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dni roboczych od dnia zamówienia</w:t>
      </w:r>
    </w:p>
    <w:p w:rsidR="004A1972" w:rsidRDefault="00294EF2" w:rsidP="004B6AF5">
      <w:pPr>
        <w:pStyle w:val="ListParagraph"/>
        <w:numPr>
          <w:ilvl w:val="0"/>
          <w:numId w:val="8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Zaznaczyć na szaro w przypadku zewnętrznych źródeł zasilania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4A1972" w:rsidRDefault="00294EF2" w:rsidP="004B6AF5">
      <w:pPr>
        <w:pStyle w:val="ListParagraph"/>
        <w:numPr>
          <w:ilvl w:val="0"/>
          <w:numId w:val="8"/>
        </w:numPr>
        <w:tabs>
          <w:tab w:val="clear" w:pos="0"/>
          <w:tab w:val="left" w:pos="360"/>
        </w:tabs>
        <w:ind w:left="360"/>
      </w:pPr>
      <w:r>
        <w:rPr>
          <w:color w:val="000000"/>
          <w:sz w:val="20"/>
          <w:szCs w:val="20"/>
          <w:rFonts w:ascii="Times New Roman" w:hAnsi="Times New Roman"/>
        </w:rPr>
        <w:t xml:space="preserve">Zaznaczyć na szaro w przypadku wewnętrznych źródeł zasilania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4A1972" w:rsidRDefault="00294EF2" w:rsidP="004B6AF5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Maksymalna liczba punktów wynosi 48.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Ocena dla tego kryterium cząstkowego = (liczba otrzymanych punktów/48)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4A1972" w:rsidRDefault="00294EF2" w:rsidP="00C75D49">
      <w:pPr>
        <w:keepNext/>
        <w:keepLines/>
      </w:pPr>
      <w:r>
        <w:rPr>
          <w:color w:val="000000"/>
          <w:szCs w:val="20"/>
          <w:rFonts w:ascii="Times New Roman" w:hAnsi="Times New Roman"/>
        </w:rPr>
        <w:t xml:space="preserve">Kryterium cząstkowe 3.4.</w:t>
      </w:r>
      <w:r>
        <w:rPr>
          <w:color w:val="000000"/>
          <w:szCs w:val="20"/>
          <w:rFonts w:ascii="Times New Roman" w:hAnsi="Times New Roman"/>
        </w:rPr>
        <w:t xml:space="preserve"> </w:t>
      </w:r>
      <w:r>
        <w:rPr>
          <w:color w:val="000000"/>
          <w:szCs w:val="20"/>
          <w:rFonts w:ascii="Times New Roman" w:hAnsi="Times New Roman"/>
        </w:rPr>
        <w:t xml:space="preserve">Czas dostawy części z wykazu 1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64"/>
        <w:gridCol w:w="475"/>
        <w:gridCol w:w="477"/>
        <w:gridCol w:w="477"/>
        <w:gridCol w:w="476"/>
        <w:gridCol w:w="476"/>
        <w:gridCol w:w="476"/>
        <w:gridCol w:w="476"/>
        <w:gridCol w:w="476"/>
        <w:gridCol w:w="474"/>
        <w:gridCol w:w="476"/>
        <w:gridCol w:w="476"/>
        <w:gridCol w:w="476"/>
        <w:gridCol w:w="476"/>
        <w:gridCol w:w="476"/>
        <w:gridCol w:w="476"/>
        <w:gridCol w:w="473"/>
      </w:tblGrid>
      <w:tr w:rsidR="004A1972" w:rsidRPr="004B6AF5" w:rsidTr="005A33D1">
        <w:tc>
          <w:tcPr>
            <w:tcW w:w="9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A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Producent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B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Dystrybutorzy części zamiennych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AF5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C</w:t>
            </w:r>
          </w:p>
          <w:p w:rsidR="004A1972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Serwisanci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D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Konsumenci</w:t>
            </w:r>
          </w:p>
        </w:tc>
      </w:tr>
      <w:tr w:rsidR="004A1972" w:rsidRPr="004B6AF5" w:rsidTr="005A33D1">
        <w:tc>
          <w:tcPr>
            <w:tcW w:w="9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Czas dostawy w dniach (1)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Czas dostawy w dniach (1)</w:t>
            </w:r>
          </w:p>
        </w:tc>
      </w:tr>
      <w:tr w:rsidR="00C75D49" w:rsidRPr="004B6AF5" w:rsidTr="005A33D1">
        <w:tc>
          <w:tcPr>
            <w:tcW w:w="9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i więcej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do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do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do 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i więcej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do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do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do 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i więcej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do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do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do 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11 i więcej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6 do 10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 do 5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 do 3</w:t>
            </w:r>
          </w:p>
        </w:tc>
      </w:tr>
      <w:tr w:rsidR="004A1972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Części z wykazu 1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Tylna pokrywa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Moduł Wi-Fi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Moduł Bluetooth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Odbiornik podczerwieni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Głośniki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  <w:tr w:rsidR="00C75D49" w:rsidRPr="004B6AF5" w:rsidTr="005A33D1">
        <w:tc>
          <w:tcPr>
            <w:tcW w:w="9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Złącza (2)</w:t>
            </w:r>
          </w:p>
        </w:tc>
        <w:tc>
          <w:tcPr>
            <w:tcW w:w="2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25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3</w:t>
            </w:r>
          </w:p>
        </w:tc>
      </w:tr>
    </w:tbl>
    <w:p w:rsidR="004A1972" w:rsidRPr="004B6AF5" w:rsidRDefault="00294EF2" w:rsidP="004B6AF5">
      <w:pPr>
        <w:pStyle w:val="ListParagraph"/>
        <w:numPr>
          <w:ilvl w:val="0"/>
          <w:numId w:val="7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dni roboczych od dnia zamówienia</w:t>
      </w:r>
    </w:p>
    <w:p w:rsidR="004A1972" w:rsidRPr="004B6AF5" w:rsidRDefault="00294EF2" w:rsidP="004B6AF5">
      <w:pPr>
        <w:pStyle w:val="ListParagraph"/>
        <w:numPr>
          <w:ilvl w:val="0"/>
          <w:numId w:val="7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do podłączenia urządzeń zewnętrznych (instalacja kablowa, antena, USB, DVD i Blue-Ray)</w:t>
      </w:r>
    </w:p>
    <w:p w:rsidR="004A1972" w:rsidRDefault="00294EF2" w:rsidP="004B6AF5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Maksymalna liczba punktów wynosi 72.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Ocena dla tego kryterium cząstkowego = (liczba otrzymanych punktów/72)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4A1972" w:rsidRDefault="00294EF2" w:rsidP="00C75D49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KRYTERIUM NR 4 – CENA CZĘŚCI ZAMIENNYCH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Kryterium cząstkowe 4.1.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Stosunek ceny części z wykazu 2 do ceny nowego produktu</w:t>
      </w:r>
    </w:p>
    <w:p w:rsidR="004A1972" w:rsidRDefault="00294EF2" w:rsidP="004B6AF5">
      <w:pPr>
        <w:contextualSpacing/>
        <w:jc w:val="both"/>
      </w:pPr>
      <w:r>
        <w:rPr>
          <w:color w:val="000000"/>
          <w:rFonts w:ascii="Times New Roman" w:hAnsi="Times New Roman"/>
        </w:rPr>
        <w:t xml:space="preserve">Na podstawie stosunku opisanego w rozporządzeniu z dnia XXXX w sprawie zasad umieszczania, oznaczania i parametrów ogólnych obliczania wskaźnika możliwości naprawy liczbę punktów przyznanych za to kryterium określa się w następujący sposób:</w:t>
      </w:r>
    </w:p>
    <w:p w:rsidR="00C75D49" w:rsidRDefault="00294EF2" w:rsidP="004B6AF5">
      <w:pPr>
        <w:contextualSpacing/>
        <w:jc w:val="both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jeśli wynik porównania przekracza 0,3, wówczas liczba punktów wynosi 0;</w:t>
      </w:r>
    </w:p>
    <w:p w:rsidR="00C75D49" w:rsidRDefault="00294EF2" w:rsidP="004B6AF5">
      <w:pPr>
        <w:contextualSpacing/>
        <w:jc w:val="both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jeśli wynik porównania jest niższy niż 0,1, wówczas liczba punktów wynosi 100;</w:t>
      </w:r>
    </w:p>
    <w:p w:rsidR="004A1972" w:rsidRDefault="00294EF2" w:rsidP="004B6AF5">
      <w:pPr>
        <w:contextualSpacing/>
        <w:jc w:val="both"/>
      </w:pPr>
      <w:r>
        <w:rPr>
          <w:color w:val="000000"/>
          <w:rFonts w:ascii="Times New Roman" w:hAnsi="Times New Roman"/>
        </w:rPr>
        <w:t xml:space="preserve">– jeśli wynik porównania mieści się w przedziale między 0,1 a 0,3, wówczas liczbę punktów ustala się według poniższej tabeli korelacji: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5"/>
        <w:gridCol w:w="387"/>
        <w:gridCol w:w="429"/>
        <w:gridCol w:w="430"/>
        <w:gridCol w:w="430"/>
        <w:gridCol w:w="430"/>
        <w:gridCol w:w="430"/>
        <w:gridCol w:w="430"/>
        <w:gridCol w:w="430"/>
        <w:gridCol w:w="429"/>
        <w:gridCol w:w="429"/>
        <w:gridCol w:w="343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353"/>
      </w:tblGrid>
      <w:tr w:rsidR="004A1972" w:rsidTr="001E034C"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Współczynnik</w:t>
            </w:r>
          </w:p>
        </w:tc>
        <w:tc>
          <w:tcPr>
            <w:tcW w:w="2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</w:t>
            </w:r>
          </w:p>
        </w:tc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0,19</w:t>
            </w:r>
          </w:p>
        </w:tc>
        <w:tc>
          <w:tcPr>
            <w:tcW w:w="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0,21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0,22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0,23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0,24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0,25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0,26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0,27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0,28</w:t>
            </w:r>
          </w:p>
        </w:tc>
        <w:tc>
          <w:tcPr>
            <w:tcW w:w="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0,29</w:t>
            </w:r>
          </w:p>
        </w:tc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972" w:rsidRDefault="00294EF2" w:rsidP="001E034C">
            <w:pPr>
              <w:pStyle w:val="Contenudetableau"/>
              <w:keepNext/>
              <w:keepLines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0,3</w:t>
            </w:r>
          </w:p>
        </w:tc>
      </w:tr>
      <w:tr w:rsidR="004A1972" w:rsidTr="001E034C">
        <w:tc>
          <w:tcPr>
            <w:tcW w:w="30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Liczba punktów</w:t>
            </w: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 </w:t>
            </w:r>
          </w:p>
        </w:tc>
        <w:tc>
          <w:tcPr>
            <w:tcW w:w="20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100</w:t>
            </w:r>
          </w:p>
        </w:tc>
        <w:tc>
          <w:tcPr>
            <w:tcW w:w="22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95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90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85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80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75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70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65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60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55</w:t>
            </w:r>
          </w:p>
        </w:tc>
        <w:tc>
          <w:tcPr>
            <w:tcW w:w="18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50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45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40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35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30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25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20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15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10</w:t>
            </w:r>
          </w:p>
        </w:tc>
        <w:tc>
          <w:tcPr>
            <w:tcW w:w="22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5</w:t>
            </w:r>
          </w:p>
        </w:tc>
        <w:tc>
          <w:tcPr>
            <w:tcW w:w="18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1972" w:rsidRDefault="00294EF2" w:rsidP="001E034C">
            <w:pPr>
              <w:pStyle w:val="Contenudetableau"/>
              <w:suppressLineNumbers w:val="0"/>
              <w:suppressAutoHyphens w:val="0"/>
              <w:jc w:val="center"/>
            </w:pPr>
            <w:r>
              <w:rPr>
                <w:color w:val="000000"/>
                <w:sz w:val="18"/>
                <w:szCs w:val="18"/>
                <w:rFonts w:ascii="Liberation Serif" w:hAnsi="Liberation Serif"/>
              </w:rPr>
              <w:t xml:space="preserve">0</w:t>
            </w:r>
          </w:p>
        </w:tc>
      </w:tr>
    </w:tbl>
    <w:p w:rsidR="004A1972" w:rsidRDefault="004A1972" w:rsidP="00C75D49">
      <w:pPr>
        <w:jc w:val="both"/>
      </w:pPr>
    </w:p>
    <w:p w:rsidR="004A1972" w:rsidRDefault="00294EF2" w:rsidP="004B6AF5">
      <w:pPr>
        <w:keepNext/>
        <w:keepLines/>
        <w:contextualSpacing/>
        <w:jc w:val="both"/>
      </w:pPr>
      <w:r>
        <w:rPr>
          <w:color w:val="000000"/>
          <w:rFonts w:ascii="Times New Roman" w:hAnsi="Times New Roman"/>
        </w:rPr>
        <w:t xml:space="preserve">Zasada zaokrąglania jest następująca:</w:t>
      </w:r>
      <w:r>
        <w:rPr>
          <w:color w:val="000000"/>
          <w:rFonts w:ascii="Times New Roman" w:hAnsi="Times New Roman"/>
        </w:rPr>
        <w:t xml:space="preserve"> </w:t>
      </w:r>
    </w:p>
    <w:p w:rsidR="00C75D49" w:rsidRDefault="00294EF2" w:rsidP="004B6AF5">
      <w:pPr>
        <w:contextualSpacing/>
        <w:jc w:val="both"/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– Jeżeli trzecia cyfra po przecinku jest mniejsza niż 5, ocenę zaokrągla się do części setnej w dół.</w:t>
      </w:r>
    </w:p>
    <w:p w:rsidR="004A1972" w:rsidRDefault="00294EF2" w:rsidP="004B6AF5">
      <w:pPr>
        <w:contextualSpacing/>
        <w:jc w:val="both"/>
      </w:pPr>
      <w:r>
        <w:rPr>
          <w:color w:val="000000"/>
          <w:rFonts w:ascii="Times New Roman" w:hAnsi="Times New Roman"/>
        </w:rPr>
        <w:t xml:space="preserve">– Jeżeli trzecia cyfra po przecinku jest większa lub równa 5, ocenę zaokrągla się do części setnej w górę.</w:t>
      </w:r>
    </w:p>
    <w:p w:rsidR="004A1972" w:rsidRDefault="00294EF2" w:rsidP="004B6AF5">
      <w:pPr>
        <w:jc w:val="both"/>
      </w:pPr>
      <w:r>
        <w:rPr>
          <w:color w:val="000000"/>
          <w:sz w:val="21"/>
          <w:szCs w:val="21"/>
          <w:rFonts w:ascii="Times New Roman" w:hAnsi="Times New Roman"/>
        </w:rPr>
        <w:t xml:space="preserve">Maksymalna liczba punktów wynosi 100.</w:t>
      </w:r>
      <w:r>
        <w:rPr>
          <w:color w:val="000000"/>
          <w:sz w:val="21"/>
          <w:szCs w:val="21"/>
          <w:rFonts w:ascii="Times New Roman" w:hAnsi="Times New Roman"/>
        </w:rPr>
        <w:t xml:space="preserve"> </w:t>
      </w:r>
      <w:r>
        <w:rPr>
          <w:color w:val="000000"/>
          <w:sz w:val="21"/>
          <w:szCs w:val="21"/>
          <w:rFonts w:ascii="Times New Roman" w:hAnsi="Times New Roman"/>
        </w:rPr>
        <w:t xml:space="preserve">Ocena dla tego kryterium cząstkowego = (liczba otrzymanych punktów/100) x 10</w:t>
      </w:r>
    </w:p>
    <w:p w:rsidR="004A1972" w:rsidRDefault="00294EF2" w:rsidP="00C75D49">
      <w:pPr>
        <w:keepNext/>
        <w:keepLines/>
        <w:jc w:val="center"/>
      </w:pPr>
      <w:r>
        <w:rPr>
          <w:color w:val="000000"/>
          <w:rFonts w:ascii="Times New Roman" w:hAnsi="Times New Roman"/>
        </w:rPr>
        <w:t xml:space="preserve">KRYTERIUM NR 5 – KRYTERIUM SZCZEGÓŁOWE</w:t>
      </w:r>
      <w:r>
        <w:rPr>
          <w:color w:val="000000"/>
          <w:rFonts w:ascii="Times New Roman" w:hAnsi="Times New Roman"/>
        </w:rPr>
        <w:t xml:space="preserve"> 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W odniesieniu do produktów objętych niniejszym rozporządzeniem współczynniki kryteriów cząstkowych kryterium 5 określa się w następujący sposób:</w:t>
      </w:r>
      <w:r>
        <w:rPr>
          <w:color w:val="000000"/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422"/>
        <w:gridCol w:w="3709"/>
        <w:gridCol w:w="1091"/>
        <w:gridCol w:w="1039"/>
        <w:gridCol w:w="1061"/>
        <w:gridCol w:w="1054"/>
      </w:tblGrid>
      <w:tr w:rsidR="004A1972" w:rsidRPr="004B6AF5" w:rsidTr="005A33D1">
        <w:tc>
          <w:tcPr>
            <w:tcW w:w="75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Kryterium</w:t>
            </w:r>
          </w:p>
        </w:tc>
        <w:tc>
          <w:tcPr>
            <w:tcW w:w="1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Kryterium cząstkowe</w:t>
            </w:r>
          </w:p>
        </w:tc>
        <w:tc>
          <w:tcPr>
            <w:tcW w:w="58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Ocena kryterium cząstkowego</w:t>
            </w:r>
          </w:p>
        </w:tc>
        <w:tc>
          <w:tcPr>
            <w:tcW w:w="554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Współczynnik kryterium cząstkowego</w:t>
            </w:r>
          </w:p>
        </w:tc>
        <w:tc>
          <w:tcPr>
            <w:tcW w:w="56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Ocena kryterium</w:t>
            </w:r>
          </w:p>
        </w:tc>
        <w:tc>
          <w:tcPr>
            <w:tcW w:w="562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Współczynnik kryterium</w:t>
            </w:r>
          </w:p>
        </w:tc>
      </w:tr>
      <w:tr w:rsidR="004A1972" w:rsidRPr="004B6AF5" w:rsidTr="005A33D1">
        <w:tc>
          <w:tcPr>
            <w:tcW w:w="758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rPr>
                <w:b/>
                <w:bCs/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5.</w:t>
            </w: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rFonts w:ascii="Times New Roman" w:hAnsi="Times New Roman"/>
              </w:rPr>
              <w:t xml:space="preserve">Kryterium szczegółowe</w:t>
            </w:r>
          </w:p>
        </w:tc>
        <w:tc>
          <w:tcPr>
            <w:tcW w:w="1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5.1.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Dostępność licznika zużycia</w:t>
            </w:r>
          </w:p>
        </w:tc>
        <w:tc>
          <w:tcPr>
            <w:tcW w:w="58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54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56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▀▀/20</w:t>
            </w:r>
          </w:p>
        </w:tc>
        <w:tc>
          <w:tcPr>
            <w:tcW w:w="562" w:type="pct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</w:tr>
      <w:tr w:rsidR="004A1972" w:rsidRPr="004B6AF5" w:rsidTr="005A33D1">
        <w:tc>
          <w:tcPr>
            <w:tcW w:w="758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4A1972" w:rsidP="00C75D49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5.2.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Nieodpłatna pomoc na odległość</w:t>
            </w:r>
          </w:p>
        </w:tc>
        <w:tc>
          <w:tcPr>
            <w:tcW w:w="58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54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0,5</w:t>
            </w:r>
          </w:p>
        </w:tc>
        <w:tc>
          <w:tcPr>
            <w:tcW w:w="56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4A1972" w:rsidP="00C75D49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4A1972" w:rsidRPr="004B6AF5" w:rsidRDefault="004A1972" w:rsidP="00C75D49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A1972" w:rsidRPr="004B6AF5" w:rsidTr="005A33D1">
        <w:tc>
          <w:tcPr>
            <w:tcW w:w="758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4A1972" w:rsidP="00C75D49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7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5.3.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Możliwość resetowania oprogramowania</w:t>
            </w:r>
          </w:p>
        </w:tc>
        <w:tc>
          <w:tcPr>
            <w:tcW w:w="58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▀▀/10</w:t>
            </w:r>
          </w:p>
        </w:tc>
        <w:tc>
          <w:tcPr>
            <w:tcW w:w="554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0,5</w:t>
            </w:r>
          </w:p>
        </w:tc>
        <w:tc>
          <w:tcPr>
            <w:tcW w:w="56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:rsidR="004A1972" w:rsidRPr="004B6AF5" w:rsidRDefault="004A1972" w:rsidP="00C75D49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:rsidR="004A1972" w:rsidRPr="004B6AF5" w:rsidRDefault="004A1972" w:rsidP="00C75D49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75D49" w:rsidRDefault="00C75D49" w:rsidP="00C75D49">
      <w:pPr>
        <w:rPr>
          <w:rFonts w:ascii="Times New Roman" w:hAnsi="Times New Roman" w:cs="Times New Roman"/>
          <w:color w:val="000000"/>
        </w:rPr>
      </w:pP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Kryterium cząstkowe 5.1.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Dostępność licznika zużycia</w:t>
      </w:r>
      <w:r>
        <w:rPr>
          <w:color w:val="000000"/>
          <w:rFonts w:ascii="Times New Roman" w:hAnsi="Times New Roman"/>
        </w:rPr>
        <w:t xml:space="preserve"> </w:t>
      </w:r>
    </w:p>
    <w:p w:rsidR="004A1972" w:rsidRPr="000D3914" w:rsidRDefault="00294EF2" w:rsidP="00C75D49">
      <w:pPr>
        <w:rPr>
          <w:color w:val="000000"/>
          <w:rFonts w:ascii="Times New Roman" w:hAnsi="Times New Roman" w:cs="Times New Roman"/>
        </w:rPr>
      </w:pPr>
      <w:r>
        <w:rPr>
          <w:color w:val="000000"/>
          <w:rFonts w:ascii="Times New Roman" w:hAnsi="Times New Roman"/>
        </w:rPr>
        <w:t xml:space="preserve">Licznik zużycia to urządzenie wyświetlające przeznaczone dla konsumenta, które rejestruje w sposób łączny zużycie produktu, wyświetlając je w postaci liczby jednostek.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Jednostką rozpatrywaną w niniejszym rozporządzeniu jest liczba godzin działania ekranu.</w:t>
      </w:r>
      <w:r>
        <w:rPr>
          <w:color w:val="000000"/>
          <w:rFonts w:ascii="Times New Roman" w:hAnsi="Times New Roman"/>
        </w:rPr>
        <w:t xml:space="preserve">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827"/>
        <w:gridCol w:w="1849"/>
        <w:gridCol w:w="1849"/>
        <w:gridCol w:w="1851"/>
      </w:tblGrid>
      <w:tr w:rsidR="004A1972" w:rsidRPr="004B6AF5" w:rsidTr="00C75D49">
        <w:tc>
          <w:tcPr>
            <w:tcW w:w="2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D49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C</w:t>
            </w:r>
          </w:p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Konsumenci</w:t>
            </w:r>
          </w:p>
        </w:tc>
      </w:tr>
      <w:tr w:rsidR="004A1972" w:rsidRPr="004B6AF5" w:rsidTr="00C75D49">
        <w:tc>
          <w:tcPr>
            <w:tcW w:w="20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Dostępność licznika zużycia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9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Sytuacja</w:t>
            </w:r>
          </w:p>
        </w:tc>
      </w:tr>
      <w:tr w:rsidR="004A1972" w:rsidRPr="004B6AF5" w:rsidTr="005A33D1">
        <w:tc>
          <w:tcPr>
            <w:tcW w:w="20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Brak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Trudno dostępny (1)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Widoczny lub łatwo dostępny (2)</w:t>
            </w:r>
          </w:p>
        </w:tc>
      </w:tr>
      <w:tr w:rsidR="004A1972" w:rsidRPr="004B6AF5" w:rsidTr="00C75D49">
        <w:tc>
          <w:tcPr>
            <w:tcW w:w="2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</w:tr>
      <w:tr w:rsidR="004A1972" w:rsidRPr="004B6AF5" w:rsidTr="005A33D1">
        <w:tc>
          <w:tcPr>
            <w:tcW w:w="2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</w:tr>
    </w:tbl>
    <w:p w:rsidR="00C75D49" w:rsidRDefault="00294EF2" w:rsidP="004B6AF5">
      <w:pPr>
        <w:pStyle w:val="ListParagraph"/>
        <w:numPr>
          <w:ilvl w:val="0"/>
          <w:numId w:val="6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Konsument musi wykonać więcej niż trzy kliknięcia, by poznać wartość wyświetlaną przez licznik zużycia.</w:t>
      </w:r>
    </w:p>
    <w:p w:rsidR="004A1972" w:rsidRPr="004B6AF5" w:rsidRDefault="00294EF2" w:rsidP="004B6AF5">
      <w:pPr>
        <w:pStyle w:val="ListParagraph"/>
        <w:numPr>
          <w:ilvl w:val="0"/>
          <w:numId w:val="6"/>
        </w:numPr>
        <w:tabs>
          <w:tab w:val="clear" w:pos="0"/>
          <w:tab w:val="left" w:pos="360"/>
        </w:tabs>
        <w:ind w:left="360"/>
        <w:rPr>
          <w:color w:val="000000"/>
          <w:sz w:val="20"/>
          <w:szCs w:val="20"/>
          <w:rFonts w:ascii="Times New Roman" w:hAnsi="Times New Roman"/>
        </w:rPr>
      </w:pPr>
      <w:r>
        <w:rPr>
          <w:color w:val="000000"/>
          <w:sz w:val="20"/>
          <w:szCs w:val="20"/>
          <w:rFonts w:ascii="Times New Roman" w:hAnsi="Times New Roman"/>
        </w:rPr>
        <w:t xml:space="preserve">Konsument musi wykonać nie więcej niż trzy kliknięcia, by poznać wartość wyświetlaną przez licznik zużycia.</w:t>
      </w:r>
    </w:p>
    <w:p w:rsidR="004A1972" w:rsidRDefault="00294EF2" w:rsidP="004B6AF5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Maksymalna liczba punktów wynosi 2.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Ocena dla tego kryterium cząstkowego = (liczba otrzymanych punktów/2)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Kryterium cząstkowe 5.2.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Nieodpłatna pomoc na odległość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621"/>
        <w:gridCol w:w="1293"/>
        <w:gridCol w:w="1270"/>
        <w:gridCol w:w="1316"/>
        <w:gridCol w:w="1292"/>
        <w:gridCol w:w="1292"/>
        <w:gridCol w:w="1292"/>
      </w:tblGrid>
      <w:tr w:rsidR="004A1972" w:rsidTr="005A33D1"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  <w:tc>
          <w:tcPr>
            <w:tcW w:w="136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D49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B</w:t>
            </w:r>
          </w:p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Serwisanci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2769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D49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eastAsia="Calibri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C</w:t>
            </w:r>
          </w:p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Konsumenci</w:t>
            </w:r>
          </w:p>
        </w:tc>
      </w:tr>
      <w:tr w:rsidR="005A33D1" w:rsidTr="005A33D1"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Typ pomocy na odległość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Brak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Aktualne informacje w witrynie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Brak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Informacje na odległość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Pomoc przy diagnostyce na odległość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Pomoc przy naprawie na odległość</w:t>
            </w:r>
          </w:p>
        </w:tc>
      </w:tr>
      <w:tr w:rsidR="005A33D1" w:rsidTr="005A33D1">
        <w:tc>
          <w:tcPr>
            <w:tcW w:w="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suppressAutoHyphens w:val="0"/>
              <w:spacing w:after="0" w:line="240" w:lineRule="auto"/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2</w:t>
            </w:r>
          </w:p>
        </w:tc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Default="00294EF2" w:rsidP="00C75D49">
            <w:pPr>
              <w:suppressAutoHyphens w:val="0"/>
              <w:spacing w:after="0" w:line="240" w:lineRule="auto"/>
              <w:jc w:val="center"/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4</w:t>
            </w:r>
          </w:p>
        </w:tc>
      </w:tr>
    </w:tbl>
    <w:p w:rsidR="004A1972" w:rsidRDefault="00294EF2" w:rsidP="00C75D49">
      <w:pPr>
        <w:pStyle w:val="Paragraphedeliste"/>
        <w:ind w:left="450"/>
      </w:pPr>
      <w:r>
        <w:rPr>
          <w:color w:val="000000"/>
          <w:sz w:val="20"/>
          <w:szCs w:val="20"/>
          <w:rFonts w:ascii="Times New Roman" w:hAnsi="Times New Roman"/>
        </w:rPr>
        <w:t xml:space="preserve">Maksymalna liczba punktów wynosi 5.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Ocena dla tego kryterium cząstkowego = (liczba otrzymanych punktów/5)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4A1972" w:rsidRDefault="00294EF2" w:rsidP="00C75D49">
      <w:pPr>
        <w:keepNext/>
        <w:keepLines/>
      </w:pPr>
      <w:r>
        <w:rPr>
          <w:color w:val="000000"/>
          <w:rFonts w:ascii="Times New Roman" w:hAnsi="Times New Roman"/>
        </w:rPr>
        <w:t xml:space="preserve">Kryterium cząstkowe 5.3.</w:t>
      </w:r>
      <w:r>
        <w:rPr>
          <w:color w:val="000000"/>
          <w:rFonts w:ascii="Times New Roman" w:hAnsi="Times New Roman"/>
        </w:rPr>
        <w:t xml:space="preserve"> </w:t>
      </w:r>
      <w:r>
        <w:rPr>
          <w:color w:val="000000"/>
          <w:rFonts w:ascii="Times New Roman" w:hAnsi="Times New Roman"/>
        </w:rPr>
        <w:t xml:space="preserve">Możliwość resetowania oprogramowania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921"/>
        <w:gridCol w:w="1077"/>
        <w:gridCol w:w="1076"/>
        <w:gridCol w:w="1076"/>
        <w:gridCol w:w="1076"/>
        <w:gridCol w:w="1076"/>
        <w:gridCol w:w="1074"/>
      </w:tblGrid>
      <w:tr w:rsidR="004A1972" w:rsidRPr="004B6AF5" w:rsidTr="005A33D1"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AF5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A</w:t>
            </w:r>
          </w:p>
          <w:p w:rsidR="004A1972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Producent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B6AF5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B</w:t>
            </w:r>
          </w:p>
          <w:p w:rsidR="004A1972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Serwisanci</w:t>
            </w: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 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AF5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Kolumna C</w:t>
            </w:r>
          </w:p>
          <w:p w:rsidR="004A1972" w:rsidRPr="004B6AF5" w:rsidRDefault="00294EF2" w:rsidP="004B6AF5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Konsumenci</w:t>
            </w:r>
          </w:p>
        </w:tc>
      </w:tr>
      <w:tr w:rsidR="004A1972" w:rsidRPr="004B6AF5" w:rsidTr="005A33D1"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Możliwość resetowania oprogramowania nieodpłatnie i bez ograniczeń w dostępie do usług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Niemożliwe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Możliwe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Niemożliwe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Możliwe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Niemożliwe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Możliwe</w:t>
            </w:r>
          </w:p>
        </w:tc>
      </w:tr>
      <w:tr w:rsidR="004A1972" w:rsidRPr="004B6AF5" w:rsidTr="005A33D1"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4A1972" w:rsidP="00C75D49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keepNext/>
              <w:keepLines/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Liczba punktów</w:t>
            </w:r>
          </w:p>
        </w:tc>
      </w:tr>
      <w:tr w:rsidR="004A1972" w:rsidRPr="004B6AF5" w:rsidTr="005A33D1"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Reset systemu operacyjnego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</w:tr>
      <w:tr w:rsidR="004A1972" w:rsidRPr="004B6AF5" w:rsidTr="005A33D1">
        <w:tc>
          <w:tcPr>
            <w:tcW w:w="1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Reset mikrooprogramowania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1972" w:rsidRPr="004B6AF5" w:rsidRDefault="00294EF2" w:rsidP="00C75D49">
            <w:pPr>
              <w:suppressAutoHyphens w:val="0"/>
              <w:spacing w:after="0" w:line="240" w:lineRule="auto"/>
              <w:jc w:val="center"/>
              <w:rPr>
                <w:color w:val="00000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color w:val="000000"/>
                <w:sz w:val="20"/>
                <w:szCs w:val="20"/>
                <w:rFonts w:ascii="Times New Roman" w:hAnsi="Times New Roman"/>
              </w:rPr>
              <w:t xml:space="preserve">1</w:t>
            </w:r>
          </w:p>
        </w:tc>
      </w:tr>
    </w:tbl>
    <w:p w:rsidR="004A1972" w:rsidRDefault="00294EF2" w:rsidP="004B6AF5">
      <w:pPr>
        <w:jc w:val="both"/>
      </w:pPr>
      <w:r>
        <w:rPr>
          <w:color w:val="000000"/>
          <w:sz w:val="20"/>
          <w:szCs w:val="20"/>
          <w:rFonts w:ascii="Times New Roman" w:hAnsi="Times New Roman"/>
        </w:rPr>
        <w:t xml:space="preserve">Maksymalna liczba punktów wynosi 6.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  <w:r>
        <w:rPr>
          <w:color w:val="000000"/>
          <w:sz w:val="20"/>
          <w:szCs w:val="20"/>
          <w:rFonts w:ascii="Times New Roman" w:hAnsi="Times New Roman"/>
        </w:rPr>
        <w:t xml:space="preserve">Ocena dla tego kryterium cząstkowego = (liczba otrzymanych punktów/6) x 10</w:t>
      </w:r>
      <w:r>
        <w:rPr>
          <w:color w:val="000000"/>
          <w:sz w:val="20"/>
          <w:szCs w:val="20"/>
          <w:rFonts w:ascii="Times New Roman" w:hAnsi="Times New Roman"/>
        </w:rPr>
        <w:t xml:space="preserve"> </w:t>
      </w:r>
    </w:p>
    <w:p w:rsidR="004A1972" w:rsidRPr="00C75D49" w:rsidRDefault="00294EF2" w:rsidP="00C75D49">
      <w:pPr>
        <w:keepNext/>
        <w:keepLines/>
        <w:autoSpaceDE w:val="0"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Minister Transformacji Ekologicznej:</w:t>
      </w:r>
    </w:p>
    <w:p w:rsidR="004A1972" w:rsidRPr="00C75D49" w:rsidRDefault="004A1972" w:rsidP="00C75D49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Pr="00C75D49" w:rsidRDefault="00294EF2" w:rsidP="00C75D49">
      <w:pPr>
        <w:keepNext/>
        <w:keepLines/>
        <w:autoSpaceDE w:val="0"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W imieniu Minister i z jej upoważnienia, Komisarz Generalny ds. Zrównoważonego Rozwoju</w:t>
      </w:r>
    </w:p>
    <w:p w:rsidR="004A1972" w:rsidRDefault="004A1972" w:rsidP="00C75D49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Pr="00C75D49" w:rsidRDefault="00294EF2" w:rsidP="00C75D49">
      <w:pPr>
        <w:autoSpaceDE w:val="0"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T. Lesueur</w:t>
      </w:r>
    </w:p>
    <w:p w:rsidR="004A1972" w:rsidRDefault="004A1972" w:rsidP="00C75D49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Default="004A1972" w:rsidP="00C75D49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Default="004A1972" w:rsidP="00C75D49">
      <w:pPr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Pr="00C75D49" w:rsidRDefault="00294EF2" w:rsidP="00C75D49">
      <w:pPr>
        <w:keepNext/>
        <w:keepLines/>
        <w:autoSpaceDE w:val="0"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Minister Gospodarki i Finansów:</w:t>
      </w:r>
    </w:p>
    <w:p w:rsidR="004A1972" w:rsidRDefault="004A1972" w:rsidP="00C75D49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Pr="00C75D49" w:rsidRDefault="00294EF2" w:rsidP="00C75D49">
      <w:pPr>
        <w:keepNext/>
        <w:keepLines/>
        <w:autoSpaceDE w:val="0"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W imieniu i z upoważnienia Ministra, Dyrektor Generalna ds. Konkurencji, Konsumentów i Zwalczania Oszustw</w:t>
      </w:r>
    </w:p>
    <w:p w:rsidR="004A1972" w:rsidRDefault="004A1972" w:rsidP="00C75D49">
      <w:pPr>
        <w:keepNext/>
        <w:keepLines/>
        <w:autoSpaceDE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1972" w:rsidRPr="00C75D49" w:rsidRDefault="00C75D49" w:rsidP="00C75D49">
      <w:pPr>
        <w:autoSpaceDE w:val="0"/>
        <w:spacing w:after="0" w:line="240" w:lineRule="auto"/>
        <w:rPr>
          <w:color w:val="000000"/>
          <w:sz w:val="24"/>
          <w:szCs w:val="24"/>
          <w:rFonts w:ascii="Times New Roman" w:hAnsi="Times New Roman" w:cs="Times New Roman"/>
        </w:rPr>
      </w:pPr>
      <w:r>
        <w:rPr>
          <w:color w:val="000000"/>
          <w:sz w:val="24"/>
          <w:szCs w:val="24"/>
          <w:rFonts w:ascii="Times New Roman" w:hAnsi="Times New Roman"/>
        </w:rPr>
        <w:t xml:space="preserve">V. Beaumeunier</w:t>
      </w:r>
    </w:p>
    <w:sectPr w:rsidR="004A1972" w:rsidRPr="00C75D49">
      <w:pgSz w:w="11906" w:h="16838"/>
      <w:pgMar w:top="1416" w:right="1133" w:bottom="1133" w:left="1483" w:header="113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5F9" w:rsidRDefault="00D465F9">
      <w:pPr>
        <w:spacing w:after="0" w:line="240" w:lineRule="auto"/>
      </w:pPr>
      <w:r>
        <w:separator/>
      </w:r>
    </w:p>
  </w:endnote>
  <w:endnote w:type="continuationSeparator" w:id="0">
    <w:p w:rsidR="00D465F9" w:rsidRDefault="00D4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5F9" w:rsidRDefault="00D465F9">
      <w:pPr>
        <w:spacing w:after="0" w:line="240" w:lineRule="auto"/>
      </w:pPr>
      <w:r>
        <w:separator/>
      </w:r>
    </w:p>
  </w:footnote>
  <w:footnote w:type="continuationSeparator" w:id="0">
    <w:p w:rsidR="00D465F9" w:rsidRDefault="00D46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0"/>
        <w:szCs w:val="20"/>
        <w:highlight w:val="darkYello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3CA2336"/>
    <w:multiLevelType w:val="hybridMultilevel"/>
    <w:tmpl w:val="AC5A7054"/>
    <w:lvl w:ilvl="0" w:tplc="BCFA4E92">
      <w:start w:val="1"/>
      <w:numFmt w:val="decimal"/>
      <w:lvlText w:val="(%1)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 w15:restartNumberingAfterBreak="0">
    <w:nsid w:val="29C526F3"/>
    <w:multiLevelType w:val="hybridMultilevel"/>
    <w:tmpl w:val="FB70B6EA"/>
    <w:name w:val="WW8Num24"/>
    <w:lvl w:ilvl="0" w:tplc="4A3C44D0">
      <w:start w:val="3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21399"/>
    <w:multiLevelType w:val="single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7" w15:restartNumberingAfterBreak="0">
    <w:nsid w:val="33AE54B0"/>
    <w:multiLevelType w:val="single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8" w15:restartNumberingAfterBreak="0">
    <w:nsid w:val="43D61F76"/>
    <w:multiLevelType w:val="hybridMultilevel"/>
    <w:tmpl w:val="3B4C5FCC"/>
    <w:name w:val="WW8Num23"/>
    <w:lvl w:ilvl="0" w:tplc="99C211F0">
      <w:start w:val="3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347030"/>
    <w:multiLevelType w:val="single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0" w15:restartNumberingAfterBreak="0">
    <w:nsid w:val="5FAB7132"/>
    <w:multiLevelType w:val="single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1" w15:restartNumberingAfterBreak="0">
    <w:nsid w:val="685C5B18"/>
    <w:multiLevelType w:val="hybridMultilevel"/>
    <w:tmpl w:val="088AEBD2"/>
    <w:name w:val="WW8Num22"/>
    <w:lvl w:ilvl="0" w:tplc="D6AAFA52">
      <w:start w:val="3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230C8F"/>
    <w:multiLevelType w:val="singleLevel"/>
    <w:tmpl w:val="00000002"/>
    <w:lvl w:ilvl="0">
      <w:start w:val="1"/>
      <w:numFmt w:val="decimal"/>
      <w:lvlText w:val="(%1)"/>
      <w:lvlJc w:val="left"/>
      <w:pPr>
        <w:tabs>
          <w:tab w:val="num" w:pos="0"/>
        </w:tabs>
        <w:ind w:left="810" w:hanging="360"/>
      </w:pPr>
      <w:rPr>
        <w:rFonts w:ascii="Times New Roman" w:hAnsi="Times New Roman" w:cs="Times New Roman" w:hint="default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12"/>
  </w:num>
  <w:num w:numId="9">
    <w:abstractNumId w:val="10"/>
  </w:num>
  <w:num w:numId="10">
    <w:abstractNumId w:val="11"/>
  </w:num>
  <w:num w:numId="11">
    <w:abstractNumId w:val="7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4EF2"/>
    <w:rsid w:val="000D3914"/>
    <w:rsid w:val="001A0D10"/>
    <w:rsid w:val="001E034C"/>
    <w:rsid w:val="00294EF2"/>
    <w:rsid w:val="00330BFC"/>
    <w:rsid w:val="00355B57"/>
    <w:rsid w:val="00474213"/>
    <w:rsid w:val="004A1972"/>
    <w:rsid w:val="004B6AF5"/>
    <w:rsid w:val="005A33D1"/>
    <w:rsid w:val="00704354"/>
    <w:rsid w:val="00B3211D"/>
    <w:rsid w:val="00C5191A"/>
    <w:rsid w:val="00C75D49"/>
    <w:rsid w:val="00D465F9"/>
    <w:rsid w:val="00DD21EA"/>
    <w:rsid w:val="00E97009"/>
    <w:rsid w:val="00FE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DFDE5743-163D-445D-9AAE-50558258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hAnsi="Calibri" w:cs="Calibri"/>
      <w:kern w:val="2"/>
      <w:sz w:val="22"/>
      <w:szCs w:val="22"/>
      <w:lang w:val="pl-PL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sz w:val="20"/>
      <w:szCs w:val="20"/>
      <w:highlight w:val="darkYellow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Times New Roman" w:hAnsi="Times New Roman" w:cs="Times New Roman" w:hint="default"/>
      <w:sz w:val="20"/>
      <w:szCs w:val="20"/>
    </w:rPr>
  </w:style>
  <w:style w:type="character" w:customStyle="1" w:styleId="WW8Num3z0">
    <w:name w:val="WW8Num3z0"/>
    <w:rPr>
      <w:rFonts w:ascii="Times New Roman" w:hAnsi="Times New Roman" w:cs="Times New Roman" w:hint="default"/>
      <w:sz w:val="20"/>
      <w:szCs w:val="20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  <w:rPr>
      <w:rFonts w:cs="Times New Roman"/>
    </w:rPr>
  </w:style>
  <w:style w:type="character" w:customStyle="1" w:styleId="WW8Num7z0">
    <w:name w:val="WW8Num7z0"/>
    <w:rPr>
      <w:rFonts w:ascii="Times New Roman" w:hAnsi="Times New Roman" w:cs="Times New Roman" w:hint="default"/>
      <w:sz w:val="20"/>
      <w:szCs w:val="2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Policepardfaut">
    <w:name w:val="Police par défaut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Policepardfaut2">
    <w:name w:val="Police par défaut2"/>
  </w:style>
  <w:style w:type="character" w:customStyle="1" w:styleId="WW8Num10z0">
    <w:name w:val="WW8Num10z0"/>
    <w:rPr>
      <w:rFonts w:hint="default"/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sz w:val="20"/>
      <w:szCs w:val="2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Policepardfaut1">
    <w:name w:val="Police par défaut1"/>
  </w:style>
  <w:style w:type="character" w:customStyle="1" w:styleId="En-tteCar">
    <w:name w:val="En-tête Car"/>
    <w:rPr>
      <w:rFonts w:eastAsia="Calibri"/>
    </w:rPr>
  </w:style>
  <w:style w:type="character" w:customStyle="1" w:styleId="PieddepageCar">
    <w:name w:val="Pied de page Car"/>
    <w:rPr>
      <w:rFonts w:eastAsia="Calibri"/>
    </w:rPr>
  </w:style>
  <w:style w:type="character" w:customStyle="1" w:styleId="TextedebullesCar">
    <w:name w:val="Texte de bulles Car"/>
    <w:rPr>
      <w:rFonts w:ascii="Segoe UI" w:eastAsia="Calibri" w:hAnsi="Segoe UI" w:cs="Segoe UI"/>
      <w:sz w:val="18"/>
      <w:szCs w:val="18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0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sz w:val="20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sz w:val="20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ascii="Times New Roman" w:hAnsi="Times New Roman" w:cs="Times New Roman"/>
      <w:sz w:val="20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Times New Roman" w:hAnsi="Times New Roman" w:cs="Times New Roman"/>
      <w:sz w:val="20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ascii="Times New Roman" w:hAnsi="Times New Roman" w:cs="Times New Roman"/>
      <w:sz w:val="20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ascii="Times New Roman" w:hAnsi="Times New Roman" w:cs="Times New Roman"/>
      <w:sz w:val="20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ascii="Times New Roman" w:hAnsi="Times New Roman" w:cs="Times New Roman"/>
      <w:sz w:val="20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styleId="Hyperlink">
    <w:name w:val="Hyperlink"/>
    <w:rPr>
      <w:color w:val="0563C1"/>
      <w:u w:val="single"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CorpsdetexteCar">
    <w:name w:val="Corps de texte Car"/>
    <w:rPr>
      <w:rFonts w:ascii="Calibri" w:eastAsia="Times New Roman" w:hAnsi="Calibri" w:cs="Calibri"/>
      <w:lang w:eastAsia="zh-CN"/>
    </w:rPr>
  </w:style>
  <w:style w:type="character" w:customStyle="1" w:styleId="En-tteCar1">
    <w:name w:val="En-tête Car1"/>
    <w:rPr>
      <w:rFonts w:ascii="Calibri" w:eastAsia="Calibri" w:hAnsi="Calibri" w:cs="Calibri"/>
      <w:lang w:eastAsia="zh-CN"/>
    </w:rPr>
  </w:style>
  <w:style w:type="character" w:customStyle="1" w:styleId="PieddepageCar1">
    <w:name w:val="Pied de page Car1"/>
    <w:rPr>
      <w:rFonts w:ascii="Calibri" w:eastAsia="Calibri" w:hAnsi="Calibri" w:cs="Calibri"/>
      <w:lang w:eastAsia="zh-CN"/>
    </w:rPr>
  </w:style>
  <w:style w:type="character" w:customStyle="1" w:styleId="TextedebullesCar1">
    <w:name w:val="Texte de bulles Car1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ListLabel100">
    <w:name w:val="ListLabel 100"/>
    <w:rPr>
      <w:rFonts w:cs="Times New Roman"/>
      <w:sz w:val="20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sz w:val="20"/>
    </w:rPr>
  </w:style>
  <w:style w:type="character" w:customStyle="1" w:styleId="ListLabel110">
    <w:name w:val="ListLabel 110"/>
    <w:rPr>
      <w:sz w:val="20"/>
    </w:rPr>
  </w:style>
  <w:style w:type="character" w:customStyle="1" w:styleId="ListLabel111">
    <w:name w:val="ListLabel 111"/>
    <w:rPr>
      <w:sz w:val="20"/>
    </w:rPr>
  </w:style>
  <w:style w:type="character" w:customStyle="1" w:styleId="ListLabel112">
    <w:name w:val="ListLabel 112"/>
    <w:rPr>
      <w:sz w:val="20"/>
    </w:rPr>
  </w:style>
  <w:style w:type="character" w:customStyle="1" w:styleId="ListLabel113">
    <w:name w:val="ListLabel 113"/>
    <w:rPr>
      <w:rFonts w:cs="Times New Roman"/>
      <w:sz w:val="20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5">
    <w:name w:val="ListLabel 125"/>
    <w:rPr>
      <w:sz w:val="20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styleId="Strong">
    <w:name w:val="Strong"/>
    <w:qFormat/>
    <w:rPr>
      <w:b/>
      <w:bCs/>
    </w:rPr>
  </w:style>
  <w:style w:type="character" w:customStyle="1" w:styleId="PrformatHTMLCar">
    <w:name w:val="Préformaté HTML Car"/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  <w:rPr>
      <w:rFonts w:eastAsia="Calibri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  <w:rPr>
      <w:rFonts w:eastAsia="Calibri"/>
    </w:rPr>
  </w:style>
  <w:style w:type="paragraph" w:customStyle="1" w:styleId="Paragraphedeliste">
    <w:name w:val="Paragraphe de liste"/>
    <w:basedOn w:val="Normal"/>
    <w:pPr>
      <w:ind w:left="720"/>
      <w:contextualSpacing/>
    </w:pPr>
    <w:rPr>
      <w:rFonts w:eastAsia="Calibri"/>
    </w:rPr>
  </w:style>
  <w:style w:type="paragraph" w:customStyle="1" w:styleId="Textedebulles">
    <w:name w:val="Texte de bulles"/>
    <w:basedOn w:val="Normal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Default">
    <w:name w:val="Default"/>
    <w:pPr>
      <w:widowControl w:val="0"/>
      <w:suppressAutoHyphens/>
    </w:pPr>
    <w:rPr>
      <w:rFonts w:ascii="Times LT Std" w:eastAsia="NSimSun" w:hAnsi="Times LT Std" w:cs="Lucida Sans"/>
      <w:color w:val="000000"/>
      <w:kern w:val="2"/>
      <w:sz w:val="24"/>
      <w:szCs w:val="24"/>
      <w:lang w:val="pl-PL" w:eastAsia="zh-CN"/>
    </w:rPr>
  </w:style>
  <w:style w:type="paragraph" w:customStyle="1" w:styleId="DocumentMap">
    <w:name w:val="DocumentMap"/>
    <w:pPr>
      <w:suppressAutoHyphens/>
      <w:spacing w:after="160" w:line="252" w:lineRule="auto"/>
    </w:pPr>
    <w:rPr>
      <w:rFonts w:ascii="Calibri" w:eastAsia="Segoe UI" w:hAnsi="Calibri" w:cs="Calibri"/>
      <w:kern w:val="2"/>
      <w:sz w:val="22"/>
      <w:szCs w:val="22"/>
      <w:lang w:val="pl-PL" w:eastAsia="zh-CN" w:bidi="ar-SA"/>
    </w:rPr>
  </w:style>
  <w:style w:type="paragraph" w:customStyle="1" w:styleId="TableGrid1">
    <w:name w:val="Table Grid1"/>
    <w:basedOn w:val="DocumentMap"/>
    <w:rPr>
      <w:rFonts w:cs="Times New Roman"/>
    </w:rPr>
  </w:style>
  <w:style w:type="paragraph" w:styleId="ListParagraph">
    <w:name w:val="List Paragraph"/>
    <w:basedOn w:val="Normal"/>
    <w:qFormat/>
    <w:pPr>
      <w:ind w:left="720"/>
      <w:contextualSpacing/>
    </w:pPr>
    <w:rPr>
      <w:rFonts w:cs="Times New Roman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pPr>
      <w:spacing w:before="100" w:after="142" w:line="276" w:lineRule="auto"/>
    </w:pPr>
    <w:rPr>
      <w:color w:val="000000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SNSignatureGauche">
    <w:name w:val="SNSignatureGauche"/>
    <w:basedOn w:val="Normal"/>
    <w:pPr>
      <w:spacing w:before="120" w:after="1680"/>
      <w:ind w:left="720" w:right="-6" w:firstLine="1080"/>
      <w:jc w:val="right"/>
    </w:pPr>
    <w:rPr>
      <w:rFonts w:cs="Times New Roman"/>
      <w:sz w:val="24"/>
      <w:szCs w:val="24"/>
    </w:rPr>
  </w:style>
  <w:style w:type="paragraph" w:customStyle="1" w:styleId="Rvision">
    <w:name w:val="Révision"/>
    <w:pPr>
      <w:suppressAutoHyphens/>
    </w:pPr>
    <w:rPr>
      <w:rFonts w:ascii="Calibri" w:hAnsi="Calibri" w:cs="Calibri"/>
      <w:kern w:val="2"/>
      <w:sz w:val="22"/>
      <w:szCs w:val="22"/>
      <w:lang w:val="pl-PL" w:eastAsia="zh-CN" w:bidi="ar-SA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2060</Words>
  <Characters>11745</Characters>
  <Application>Microsoft Office Word</Application>
  <DocSecurity>0</DocSecurity>
  <Lines>97</Lines>
  <Paragraphs>27</Paragraphs>
  <ScaleCrop>false</ScaleCrop>
  <Company>Microsoft</Company>
  <LinksUpToDate>false</LinksUpToDate>
  <CharactersWithSpaces>13778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 officiel de la République française - N° 35 du 11 février 2020</dc:title>
  <dc:subject>Lois et décrets</dc:subject>
  <dc:creator>BARRAUD Flavien</dc:creator>
  <cp:keywords>ISSN:0373-0425</cp:keywords>
  <cp:lastModifiedBy>Ke, Tingting</cp:lastModifiedBy>
  <cp:revision>4</cp:revision>
  <cp:lastPrinted>1899-12-31T16:00:00Z</cp:lastPrinted>
  <dcterms:created xsi:type="dcterms:W3CDTF">2020-07-22T01:04:00Z</dcterms:created>
  <dcterms:modified xsi:type="dcterms:W3CDTF">2020-07-22T04:15:00Z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Fri Mar 20 10:24:27 CET 2020</vt:lpwstr>
  </property>
  <property fmtid="{D5CDD505-2E9C-101B-9397-08002B2CF9AE}" pid="3" name="jforVersion">
    <vt:lpwstr>jfor V0.7.2rc1 - see http://www.jfor.org</vt:lpwstr>
  </property>
</Properties>
</file>