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 xml:space="preserve">Pravilnik za izvajanje določb v skladu z oddelkom 84(8) Državne pogodbe o medijih (Medienstaatsvertrag – MStV) o enostavnem iskanju zasebnih ponudb</w:t>
      </w:r>
    </w:p>
    <w:p w14:paraId="562CFE12" w14:textId="77777777" w:rsidR="00FC378D" w:rsidRPr="00FC378D" w:rsidRDefault="00FC378D" w:rsidP="002A3743">
      <w:pPr>
        <w:spacing w:after="0" w:line="320" w:lineRule="atLeast"/>
        <w:jc w:val="center"/>
        <w:rPr>
          <w:b/>
          <w:sz w:val="28"/>
        </w:rPr>
      </w:pPr>
      <w:r>
        <w:rPr>
          <w:b/>
          <w:sz w:val="28"/>
        </w:rPr>
        <w:t xml:space="preserve">(Pravilnik o javnem pomenu)</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b/>
          <w:sz w:val="28"/>
          <w:szCs w:val="28"/>
          <w:rFonts w:eastAsia="Times New Roman" w:cstheme="minorHAnsi"/>
        </w:rPr>
      </w:pPr>
      <w:r>
        <w:rPr>
          <w:b/>
          <w:sz w:val="28"/>
        </w:rPr>
        <w:t xml:space="preserve">Preambula</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sz w:val="24"/>
          <w:szCs w:val="24"/>
          <w:rFonts w:eastAsia="Times New Roman" w:cstheme="minorHAnsi"/>
        </w:rPr>
      </w:pPr>
      <w:r>
        <w:rPr>
          <w:sz w:val="24"/>
        </w:rPr>
        <w:t xml:space="preserve">Možnost enostavnega iskanja igra pri ponudbah vsebin vedno večjo vlogo, zlasti na spletu.</w:t>
      </w:r>
      <w:r>
        <w:rPr>
          <w:sz w:val="24"/>
        </w:rPr>
        <w:t xml:space="preserve"> </w:t>
      </w:r>
      <w:r>
        <w:rPr>
          <w:sz w:val="24"/>
        </w:rPr>
        <w:t xml:space="preserve">Zaradi vse večje količine in raznolikosti ponudb je stroškovno intenzivnejšim novinarskim ponudbam, na primer, vedno težje pridobiti pozornost, ki je potrebna za refinanciranje.</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sz w:val="24"/>
          <w:szCs w:val="24"/>
          <w:rFonts w:eastAsia="Times New Roman" w:cstheme="minorHAnsi"/>
        </w:rPr>
      </w:pPr>
      <w:r>
        <w:rPr>
          <w:sz w:val="24"/>
        </w:rPr>
        <w:t xml:space="preserve">Mehanizem enostavnejšega iskanja nekaterih ponudb na uporabniških vmesnikih, ki so še posebej pomembne za oblikovanje javnega mnenja, kot je določeno v Državni pogodbi o medijih, sledi dvema temeljnima regulativnima ciljema.</w:t>
      </w:r>
      <w:r>
        <w:rPr>
          <w:sz w:val="24"/>
        </w:rPr>
        <w:t xml:space="preserve"> </w:t>
      </w:r>
      <w:r>
        <w:rPr>
          <w:sz w:val="24"/>
        </w:rPr>
        <w:t xml:space="preserve">Za prejemnika obstaja neposredna individualna korist, ki vpliva tudi na oblikovanje javnega mnenja kot celote.</w:t>
      </w:r>
      <w:r>
        <w:rPr>
          <w:sz w:val="24"/>
        </w:rPr>
        <w:t xml:space="preserve"> </w:t>
      </w:r>
      <w:r>
        <w:rPr>
          <w:sz w:val="24"/>
        </w:rPr>
        <w:t xml:space="preserve">Enostavno iskanje je namenjeno podpori obstoječih ponudnikov vsebin, pomembnih za oblikovanje javnega mnenja, in tudi spodbujanju drugih ponudnikov.</w:t>
      </w:r>
      <w:r>
        <w:rPr>
          <w:sz w:val="24"/>
        </w:rPr>
        <w:t xml:space="preserve">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b/>
          <w:sz w:val="28"/>
          <w:szCs w:val="28"/>
          <w:rFonts w:eastAsia="Times New Roman" w:cstheme="minorHAnsi"/>
        </w:rPr>
      </w:pPr>
      <w:r>
        <w:rPr>
          <w:b/>
          <w:sz w:val="28"/>
        </w:rPr>
        <w:t xml:space="preserve">Oddelek 1</w:t>
      </w:r>
      <w:r>
        <w:rPr>
          <w:b/>
          <w:sz w:val="28"/>
        </w:rPr>
        <w:t xml:space="preserve"> </w:t>
      </w:r>
    </w:p>
    <w:p w14:paraId="0B0396D3" w14:textId="77777777" w:rsidR="00E407BC" w:rsidRPr="00E407BC" w:rsidRDefault="00E407BC" w:rsidP="008A13E9">
      <w:pPr>
        <w:spacing w:after="0" w:line="320" w:lineRule="atLeast"/>
        <w:jc w:val="center"/>
        <w:rPr>
          <w:b/>
          <w:sz w:val="28"/>
          <w:szCs w:val="28"/>
          <w:rFonts w:eastAsia="Times New Roman" w:cstheme="minorHAnsi"/>
        </w:rPr>
      </w:pPr>
      <w:r>
        <w:rPr>
          <w:b/>
          <w:sz w:val="28"/>
        </w:rPr>
        <w:t xml:space="preserve">Namen</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sz w:val="24"/>
          <w:szCs w:val="24"/>
          <w:rFonts w:eastAsia="Times New Roman" w:cstheme="minorHAnsi"/>
        </w:rPr>
      </w:pPr>
      <w:r>
        <w:rPr>
          <w:sz w:val="24"/>
        </w:rPr>
        <w:t xml:space="preserve">Državni organi s področja medijev določijo ponudniki ponudb (v nadaljnjem besedilu: ponudbe), kakor je opredeljeno v oddelku 84(3)(2) in (4) Državne pogodbe o medijih (MStV) (postopek določanja) v skladu z oddelkom 84(5) Državne pogodbe o medijih (MStV).</w:t>
      </w:r>
      <w:r>
        <w:rPr>
          <w:sz w:val="24"/>
        </w:rPr>
        <w:t xml:space="preserve">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b/>
          <w:sz w:val="28"/>
          <w:szCs w:val="28"/>
          <w:rFonts w:eastAsia="Times New Roman" w:cstheme="minorHAnsi"/>
        </w:rPr>
      </w:pPr>
      <w:r>
        <w:rPr>
          <w:b/>
          <w:sz w:val="28"/>
        </w:rPr>
        <w:t xml:space="preserve">Oddelek 2</w:t>
      </w:r>
      <w:r>
        <w:rPr>
          <w:b/>
          <w:sz w:val="28"/>
        </w:rPr>
        <w:t xml:space="preserve"> </w:t>
      </w:r>
    </w:p>
    <w:p w14:paraId="3EC876AD" w14:textId="77777777" w:rsidR="00E407BC" w:rsidRPr="00C03C27" w:rsidRDefault="00E407BC" w:rsidP="008A13E9">
      <w:pPr>
        <w:spacing w:after="0" w:line="320" w:lineRule="atLeast"/>
        <w:jc w:val="center"/>
        <w:rPr>
          <w:b/>
          <w:sz w:val="28"/>
          <w:szCs w:val="28"/>
          <w:rFonts w:eastAsia="Times New Roman" w:cstheme="minorHAnsi"/>
        </w:rPr>
      </w:pPr>
      <w:r>
        <w:rPr>
          <w:b/>
          <w:sz w:val="28"/>
        </w:rPr>
        <w:t xml:space="preserve">Upravičenost do predložitve vloge</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sz w:val="24"/>
          <w:szCs w:val="24"/>
          <w:rFonts w:eastAsia="Times New Roman" w:cstheme="minorHAnsi"/>
        </w:rPr>
      </w:pPr>
      <w:r>
        <w:rPr>
          <w:sz w:val="24"/>
        </w:rPr>
        <w:t xml:space="preserve">Vloge lahko predložijo:</w:t>
      </w:r>
      <w:r>
        <w:rPr>
          <w:sz w:val="24"/>
        </w:rPr>
        <w:t xml:space="preserve">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sz w:val="24"/>
          <w:szCs w:val="24"/>
          <w:rFonts w:eastAsia="Times New Roman" w:cstheme="minorHAnsi"/>
        </w:rPr>
      </w:pPr>
      <w:r>
        <w:rPr>
          <w:sz w:val="24"/>
        </w:rPr>
        <w:t xml:space="preserve">v skladu z oddelkom 84(3)(2) MStV zasebni ponudniki radiodifuzijskih storitev, ki pomembno prispevajo k raznolikosti mnenj in ponudbe v Nemčiji, ali</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sz w:val="24"/>
          <w:szCs w:val="24"/>
          <w:rFonts w:eastAsia="Times New Roman" w:cstheme="minorHAnsi"/>
        </w:rPr>
      </w:pPr>
      <w:r>
        <w:rPr>
          <w:sz w:val="24"/>
        </w:rPr>
        <w:t xml:space="preserve">v skladu z oddelkom 84(4) MStV zasebni ponudniki primerljivih telemedijskih storitev ali storitev v skladu z oddelkom 2(2)(14)(b) MStV, ki pomembno vplivajo na raznolikost mnenj in ponudbe v Nemčiji, ali programskih aplikacij, ki služijo njihovemu neposrednemu nadzoru.</w:t>
      </w:r>
    </w:p>
    <w:p w14:paraId="79820582" w14:textId="77777777" w:rsidR="00D769EE" w:rsidRDefault="00D769EE">
      <w:pPr>
        <w:rPr>
          <w:sz w:val="24"/>
          <w:szCs w:val="24"/>
          <w:rFonts w:eastAsia="Times New Roman" w:cstheme="minorHAnsi"/>
        </w:rPr>
      </w:pPr>
      <w:r>
        <w:br w:type="page"/>
      </w:r>
    </w:p>
    <w:p w14:paraId="4CB87D96" w14:textId="77777777" w:rsidR="00124452" w:rsidRPr="00C03C27" w:rsidRDefault="00124452" w:rsidP="00124452">
      <w:pPr>
        <w:spacing w:after="0" w:line="320" w:lineRule="atLeast"/>
        <w:jc w:val="center"/>
        <w:rPr>
          <w:b/>
          <w:sz w:val="28"/>
          <w:szCs w:val="28"/>
          <w:rFonts w:eastAsia="Times New Roman" w:cstheme="minorHAnsi"/>
        </w:rPr>
      </w:pPr>
      <w:r>
        <w:rPr>
          <w:b/>
          <w:sz w:val="28"/>
        </w:rPr>
        <w:t xml:space="preserve">Oddelek 3</w:t>
      </w:r>
    </w:p>
    <w:p w14:paraId="5CB6BB9B" w14:textId="77777777" w:rsidR="00124452" w:rsidRPr="00C03C27" w:rsidRDefault="00124452" w:rsidP="00124452">
      <w:pPr>
        <w:spacing w:after="0" w:line="320" w:lineRule="atLeast"/>
        <w:jc w:val="center"/>
        <w:rPr>
          <w:b/>
          <w:sz w:val="28"/>
          <w:szCs w:val="28"/>
          <w:rFonts w:eastAsia="Times New Roman" w:cstheme="minorHAnsi"/>
        </w:rPr>
      </w:pPr>
      <w:r>
        <w:rPr>
          <w:b/>
          <w:sz w:val="28"/>
        </w:rPr>
        <w:t xml:space="preserve">Odgovornost in javni razpis</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sz w:val="24"/>
          <w:szCs w:val="24"/>
          <w:rFonts w:eastAsia="Times New Roman" w:cstheme="minorHAnsi"/>
        </w:rPr>
      </w:pPr>
      <w:r>
        <w:rPr>
          <w:sz w:val="24"/>
        </w:rPr>
        <w:t xml:space="preserve">(1) Postopek določanja izvede Komisija za izdajanje licenc in nadzor (ZAK) (oddelek 105(1)(9) Državne pogodbe o medijih).</w:t>
      </w:r>
      <w:r>
        <w:rPr>
          <w:sz w:val="24"/>
        </w:rPr>
        <w:t xml:space="preserve"> </w:t>
      </w:r>
      <w:r>
        <w:rPr>
          <w:sz w:val="24"/>
        </w:rPr>
        <w:t xml:space="preserve">Za področje ponudb avdio in video programov bo sprožen skupni javni razpis posameznih državnih organov za medije, pri čemer se bo upoštevalo mnenje Konference odbora predsednikov (GVK).</w:t>
      </w:r>
      <w:r>
        <w:rPr>
          <w:sz w:val="24"/>
        </w:rPr>
        <w:t xml:space="preserve"> </w:t>
      </w:r>
      <w:r>
        <w:rPr>
          <w:sz w:val="24"/>
        </w:rPr>
        <w:t xml:space="preserve">Državni organ za medije, pristojen za ta postopek, je določen v razpisu.</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sz w:val="24"/>
          <w:szCs w:val="24"/>
          <w:rFonts w:eastAsia="Times New Roman" w:cstheme="minorHAnsi"/>
        </w:rPr>
      </w:pPr>
      <w:r>
        <w:rPr>
          <w:sz w:val="24"/>
        </w:rPr>
        <w:t xml:space="preserve">(2) Dodatni predpisi o postopku in bistvene zahteve za oddajo vlog so določeni v razpisu.</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sz w:val="24"/>
          <w:szCs w:val="24"/>
          <w:rFonts w:eastAsia="Times New Roman" w:cstheme="minorHAnsi"/>
        </w:rPr>
      </w:pPr>
      <w:r>
        <w:rPr>
          <w:sz w:val="24"/>
        </w:rPr>
        <w:t xml:space="preserve">(3) Javne razpise objavijo vsi državni organi za medije na primeren način in na spletni strani pod krovno oznako „die medienanstalten“.</w:t>
      </w:r>
      <w:r>
        <w:rPr>
          <w:sz w:val="24"/>
        </w:rPr>
        <w:t xml:space="preserve">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sz w:val="24"/>
          <w:szCs w:val="24"/>
          <w:rFonts w:eastAsia="Times New Roman" w:cstheme="minorHAnsi"/>
        </w:rPr>
      </w:pPr>
      <w:r>
        <w:rPr>
          <w:sz w:val="24"/>
        </w:rPr>
        <w:t xml:space="preserve">(4) Razpisni postopek se bo predvidoma začel septembra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b/>
          <w:sz w:val="28"/>
          <w:szCs w:val="28"/>
          <w:rFonts w:eastAsia="Times New Roman" w:cstheme="minorHAnsi"/>
        </w:rPr>
      </w:pPr>
      <w:r>
        <w:rPr>
          <w:b/>
          <w:sz w:val="28"/>
        </w:rPr>
        <w:t xml:space="preserve">Oddelek 4</w:t>
      </w:r>
    </w:p>
    <w:p w14:paraId="1161D4D6" w14:textId="77777777" w:rsidR="00537FB2" w:rsidRPr="000115F0" w:rsidRDefault="00537FB2" w:rsidP="00537FB2">
      <w:pPr>
        <w:spacing w:after="0" w:line="320" w:lineRule="atLeast"/>
        <w:jc w:val="center"/>
        <w:rPr>
          <w:b/>
          <w:sz w:val="28"/>
          <w:szCs w:val="28"/>
          <w:rFonts w:eastAsia="Times New Roman" w:cstheme="minorHAnsi"/>
        </w:rPr>
      </w:pPr>
      <w:r>
        <w:rPr>
          <w:b/>
          <w:sz w:val="28"/>
        </w:rPr>
        <w:t xml:space="preserve">Predložitev vloge</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sz w:val="24"/>
          <w:szCs w:val="24"/>
          <w:rFonts w:eastAsia="Times New Roman" w:cstheme="minorHAnsi"/>
        </w:rPr>
      </w:pPr>
      <w:r>
        <w:rPr>
          <w:sz w:val="24"/>
        </w:rPr>
        <w:t xml:space="preserve">(1) Vloge se oddajo v pisni obliki v roku, določenem v zadevnem javnem razpisu, pristojnemu državnem organu za medije.</w:t>
      </w:r>
      <w:r>
        <w:rPr>
          <w:sz w:val="24"/>
        </w:rPr>
        <w:t xml:space="preserve"> </w:t>
      </w:r>
      <w:r>
        <w:rPr>
          <w:sz w:val="24"/>
        </w:rPr>
        <w:t xml:space="preserve">Vlogam se priložijo dokumenti za preučitev prispevka k raznolikosti mnenj in ponudbe zadevne programske storitve ali aplikacije in vsebujejo vsaj naslednje informacije:</w:t>
      </w:r>
      <w:r>
        <w:rPr>
          <w:sz w:val="24"/>
        </w:rPr>
        <w:t xml:space="preserve">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sz w:val="24"/>
          <w:szCs w:val="24"/>
          <w:rFonts w:eastAsia="Times New Roman" w:cstheme="minorHAnsi"/>
        </w:rPr>
      </w:pPr>
      <w:r>
        <w:rPr>
          <w:sz w:val="24"/>
        </w:rPr>
        <w:t xml:space="preserve">Dejstva, iz katerih izhaja, da ponudba predstavlja ponudbo zasebnega ponudnika radiodifuzijskih storitev v skladu z oddelkom 84(3) Državne pogodbe o medijih ali ponudbo zasebnega ponudnika primerljivih telemedijskih storitev v skladu z oddelkom 84(4) Državne pogodbe o medijih ali ponudbo storitev v skladu z oddelkom 2(2)(14)(b) ali programskih aplikacij, ki služijo njihovemu neposrednemu nadzoru.</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sz w:val="24"/>
          <w:szCs w:val="24"/>
          <w:rFonts w:eastAsia="Times New Roman" w:cstheme="minorHAnsi"/>
        </w:rPr>
      </w:pPr>
      <w:r>
        <w:rPr>
          <w:sz w:val="24"/>
        </w:rPr>
        <w:t xml:space="preserve">Opis vsebine ponudbe in pojasnilo o tem, na kakšen način znatno prispeva k raznolikosti ponudb in mnenj v Nemčiji.</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sz w:val="24"/>
          <w:szCs w:val="24"/>
          <w:rFonts w:eastAsia="Times New Roman" w:cstheme="minorHAnsi"/>
        </w:rPr>
      </w:pPr>
      <w:r>
        <w:rPr>
          <w:sz w:val="24"/>
        </w:rPr>
        <w:t xml:space="preserve">Informacije o merilih, ki jih je treba pri določanju upoštevati v skladu z oddelkom 84(5) Državne pogodbe o medijih (MStV) in oddelkom 7.</w:t>
      </w:r>
    </w:p>
    <w:p w14:paraId="47BED891" w14:textId="262654F3" w:rsidR="00F36BA7" w:rsidRPr="00D769EE" w:rsidRDefault="00D769EE" w:rsidP="00D769EE">
      <w:pPr>
        <w:rPr>
          <w:sz w:val="24"/>
          <w:szCs w:val="24"/>
          <w:rFonts w:eastAsia="Times New Roman" w:cstheme="minorHAnsi"/>
        </w:rPr>
      </w:pPr>
      <w:r>
        <w:br w:type="page"/>
      </w:r>
    </w:p>
    <w:p w14:paraId="7F87071E" w14:textId="77777777" w:rsidR="004B4D8D" w:rsidRPr="009D766D" w:rsidRDefault="004B4D8D" w:rsidP="004B4D8D">
      <w:pPr>
        <w:spacing w:after="0" w:line="320" w:lineRule="atLeast"/>
        <w:jc w:val="center"/>
        <w:rPr>
          <w:b/>
          <w:sz w:val="28"/>
          <w:szCs w:val="28"/>
          <w:rFonts w:eastAsia="Times New Roman" w:cstheme="minorHAnsi"/>
        </w:rPr>
      </w:pPr>
      <w:r>
        <w:rPr>
          <w:b/>
          <w:sz w:val="28"/>
        </w:rPr>
        <w:t xml:space="preserve">Oddelek 5</w:t>
      </w:r>
    </w:p>
    <w:p w14:paraId="7A28FEEF" w14:textId="77777777" w:rsidR="004B4D8D" w:rsidRPr="009D766D" w:rsidRDefault="004B4D8D" w:rsidP="004B4D8D">
      <w:pPr>
        <w:spacing w:after="0" w:line="320" w:lineRule="atLeast"/>
        <w:jc w:val="center"/>
        <w:rPr>
          <w:b/>
          <w:sz w:val="28"/>
          <w:szCs w:val="28"/>
          <w:rFonts w:eastAsia="Times New Roman" w:cstheme="minorHAnsi"/>
        </w:rPr>
      </w:pPr>
      <w:r>
        <w:rPr>
          <w:b/>
          <w:sz w:val="28"/>
        </w:rPr>
        <w:t xml:space="preserve">Postopek</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sz w:val="24"/>
          <w:szCs w:val="24"/>
          <w:rFonts w:eastAsia="Times New Roman" w:cstheme="minorHAnsi"/>
        </w:rPr>
      </w:pPr>
      <w:r>
        <w:rPr>
          <w:sz w:val="24"/>
        </w:rPr>
        <w:t xml:space="preserve">(1) Pristojni državni organ za medije preuči prejete vloge.</w:t>
      </w:r>
      <w:r>
        <w:rPr>
          <w:sz w:val="24"/>
        </w:rPr>
        <w:t xml:space="preserve"> </w:t>
      </w:r>
      <w:r>
        <w:rPr>
          <w:sz w:val="24"/>
        </w:rPr>
        <w:t xml:space="preserve">Organ preveri, ali so izpolnjeni pogoji za določitev ustrezne ponudbe ali ustrezne programske aplikacije v skladu z oddelki 2, 7 in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sz w:val="24"/>
          <w:szCs w:val="24"/>
          <w:rFonts w:eastAsia="Times New Roman" w:cstheme="minorHAnsi"/>
        </w:rPr>
      </w:pPr>
      <w:r>
        <w:rPr>
          <w:sz w:val="24"/>
        </w:rPr>
        <w:t xml:space="preserve">(2) Komisija za izdajanje licenc in nadzor (ZAK) z resolucijo določi, ali so pogoji za vsako ponudbo ali za ustrezno programsko aplikacijo izpolnjeni.</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sz w:val="24"/>
          <w:szCs w:val="24"/>
          <w:rFonts w:eastAsia="Times New Roman" w:cstheme="minorHAnsi"/>
        </w:rPr>
      </w:pPr>
      <w:r>
        <w:rPr>
          <w:sz w:val="24"/>
        </w:rPr>
        <w:t xml:space="preserve">(3) Uradno odločitev sprejme pristojni državni organ za medije.</w:t>
      </w:r>
      <w:r>
        <w:rPr>
          <w:sz w:val="24"/>
        </w:rPr>
        <w:t xml:space="preserve"> </w:t>
      </w:r>
      <w:r>
        <w:rPr>
          <w:sz w:val="24"/>
        </w:rPr>
        <w:t xml:space="preserve">V zvezi s tem jo zavezujejo sklepi Komisije za izdajanje licenc in nadzor (ZAK).</w:t>
      </w:r>
      <w:r>
        <w:rPr>
          <w:sz w:val="24"/>
        </w:rPr>
        <w:t xml:space="preserve">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b/>
          <w:sz w:val="28"/>
          <w:szCs w:val="28"/>
          <w:rFonts w:eastAsia="Times New Roman" w:cstheme="minorHAnsi"/>
        </w:rPr>
      </w:pPr>
      <w:r>
        <w:rPr>
          <w:b/>
          <w:sz w:val="28"/>
        </w:rPr>
        <w:t xml:space="preserve">Oddelek 6</w:t>
      </w:r>
    </w:p>
    <w:p w14:paraId="13FD1E9D" w14:textId="77777777" w:rsidR="007F62B2" w:rsidRPr="007F62B2" w:rsidRDefault="007F62B2" w:rsidP="007F62B2">
      <w:pPr>
        <w:spacing w:after="0" w:line="320" w:lineRule="atLeast"/>
        <w:jc w:val="center"/>
        <w:rPr>
          <w:b/>
          <w:sz w:val="28"/>
          <w:szCs w:val="28"/>
          <w:rFonts w:eastAsia="Times New Roman" w:cstheme="minorHAnsi"/>
        </w:rPr>
      </w:pPr>
      <w:r>
        <w:rPr>
          <w:b/>
          <w:sz w:val="28"/>
        </w:rPr>
        <w:t xml:space="preserve">Zaključek postopka</w:t>
      </w:r>
      <w:r>
        <w:rPr>
          <w:b/>
          <w:sz w:val="28"/>
        </w:rPr>
        <w:t xml:space="preserve">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sz w:val="24"/>
          <w:szCs w:val="24"/>
          <w:rFonts w:eastAsia="Times New Roman" w:cstheme="minorHAnsi"/>
        </w:rPr>
      </w:pPr>
      <w:r>
        <w:rPr>
          <w:sz w:val="24"/>
        </w:rPr>
        <w:t xml:space="preserve">(1) Sklep o zadevni vlogi se vložniku izda z upravnim aktom.</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sz w:val="24"/>
          <w:szCs w:val="24"/>
          <w:rFonts w:eastAsia="Times New Roman" w:cstheme="minorHAnsi"/>
        </w:rPr>
      </w:pPr>
      <w:r>
        <w:rPr>
          <w:sz w:val="24"/>
        </w:rPr>
        <w:t xml:space="preserve">(2) Sprejete odločitve se za vsak posamezen primer uporabljajo za obdobje treh let od datuma, objavljenega v upravnem aktu.</w:t>
      </w:r>
      <w:r>
        <w:rPr>
          <w:sz w:val="24"/>
        </w:rPr>
        <w:t xml:space="preserve">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sz w:val="24"/>
          <w:szCs w:val="24"/>
          <w:rFonts w:eastAsia="Times New Roman" w:cstheme="minorHAnsi"/>
        </w:rPr>
      </w:pPr>
      <w:r>
        <w:rPr>
          <w:sz w:val="24"/>
        </w:rPr>
        <w:t xml:space="preserve">(3) Vložnik mora pristojni državni organ za medije nemudoma obvestiti o spremembah ponudbe, ki so nastale pred odločitvijo o vlogi ali po njej in so bistvene za odločitev v skladu z oddelkoma 7 in 8.</w:t>
      </w:r>
      <w:r>
        <w:rPr>
          <w:sz w:val="24"/>
        </w:rPr>
        <w:t xml:space="preserve">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sz w:val="24"/>
          <w:szCs w:val="24"/>
          <w:rFonts w:eastAsia="Times New Roman" w:cstheme="minorHAnsi"/>
        </w:rPr>
      </w:pPr>
      <w:r>
        <w:rPr>
          <w:sz w:val="24"/>
        </w:rPr>
        <w:t xml:space="preserve">(4) Če se pozneje pojavijo bistvene spremembe ponudbe, v skladu s katerimi ponudba ne izpolnjuje več zahtev oddelkov 7 in 8, lahko pristojni državni organ za medije odločitev v skladu z oddelkom 6(1) prekliče.</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b/>
          <w:sz w:val="28"/>
          <w:szCs w:val="28"/>
          <w:rFonts w:eastAsia="Times New Roman" w:cstheme="minorHAnsi"/>
        </w:rPr>
      </w:pPr>
      <w:r>
        <w:rPr>
          <w:b/>
          <w:sz w:val="28"/>
        </w:rPr>
        <w:t xml:space="preserve">Oddelek 7</w:t>
      </w:r>
    </w:p>
    <w:p w14:paraId="75AE2D97" w14:textId="77777777" w:rsidR="006672EC" w:rsidRPr="006672EC" w:rsidRDefault="006672EC" w:rsidP="006672EC">
      <w:pPr>
        <w:spacing w:after="0" w:line="320" w:lineRule="atLeast"/>
        <w:jc w:val="center"/>
        <w:rPr>
          <w:b/>
          <w:sz w:val="28"/>
          <w:szCs w:val="28"/>
          <w:rFonts w:eastAsia="Times New Roman" w:cstheme="minorHAnsi"/>
        </w:rPr>
      </w:pPr>
      <w:r>
        <w:rPr>
          <w:b/>
          <w:sz w:val="28"/>
        </w:rPr>
        <w:t xml:space="preserve">Merila za določitev</w:t>
      </w:r>
      <w:r>
        <w:rPr>
          <w:b/>
          <w:sz w:val="28"/>
        </w:rPr>
        <w:t xml:space="preserve"> </w:t>
      </w:r>
      <w:r>
        <w:rPr>
          <w:b/>
          <w:sz w:val="28"/>
        </w:rPr>
        <w:br/>
      </w:r>
    </w:p>
    <w:p w14:paraId="3617EB73" w14:textId="77777777" w:rsidR="004C219B" w:rsidRPr="00956BF6" w:rsidRDefault="006672EC" w:rsidP="00956BF6">
      <w:pPr>
        <w:spacing w:after="0" w:line="320" w:lineRule="atLeast"/>
        <w:jc w:val="both"/>
        <w:rPr>
          <w:sz w:val="24"/>
          <w:szCs w:val="24"/>
          <w:rFonts w:eastAsia="Times New Roman" w:cstheme="minorHAnsi"/>
        </w:rPr>
      </w:pPr>
      <w:r>
        <w:rPr>
          <w:sz w:val="24"/>
        </w:rPr>
        <w:t xml:space="preserve">Pri določanju ponudb v skladu z oddelkom 84(3)(2) in (4) Državne pogodbe o medijih je treba upoštevati le merila iz oddelka 84(5) Državne pogodbe o medijih.</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sz w:val="24"/>
          <w:szCs w:val="24"/>
          <w:rFonts w:eastAsia="Times New Roman" w:cstheme="minorHAnsi"/>
        </w:rPr>
      </w:pPr>
      <w:r>
        <w:rPr>
          <w:sz w:val="24"/>
        </w:rPr>
        <w:t xml:space="preserve">Če ni v Državni pogodbi o medijih določeno drugače,</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poročanje o političnih ali aktualnih dogodkih predstavlja ponudbo novinarske in uredniške vsebine, ki na podlagi celotne ponudbe prikazuje čim bolj popoln presek podpodročij političnih in aktualnih družbenih dogodkov, ki so pomembni za oblikovanje javnega mnenja in katerih poudarek je na poročanju dejanskih dogodkov;</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regionalne in lokalne informacije, kot so opredeljene v oddelku 2(2)(25) Državne pogodbe o medijih (MStV), predstavljajo informacije, ki so jasno povezane s kulturno in prostorsko razmejenimi območji, ki so lahko tudi mednarodne;</w:t>
      </w:r>
      <w:r>
        <w:rPr>
          <w:sz w:val="24"/>
        </w:rPr>
        <w:t xml:space="preserve">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notranje produkcijske ponudbe so tiste, katerih izdelavo in predelavo v celoti ali pretežno financira ponudnik, ki za vsebino odgovarja z lastnimi produkcijskimi sredstvi, ali pa se izdelujejo pod ustreznim novinarskim in uredniškim vplivom.</w:t>
      </w:r>
      <w:r>
        <w:rPr>
          <w:sz w:val="24"/>
        </w:rPr>
        <w:t xml:space="preserve"> </w:t>
      </w:r>
      <w:r>
        <w:rPr>
          <w:sz w:val="24"/>
        </w:rPr>
        <w:t xml:space="preserve">Za notranjo produkcijo se štejejo tudi vsebine, izdelane po naročilu produkcijskega podjetja;</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sz w:val="24"/>
          <w:szCs w:val="24"/>
          <w:rFonts w:eastAsia="Times New Roman" w:cstheme="minorHAnsi"/>
        </w:rPr>
      </w:pPr>
      <w:r>
        <w:rPr>
          <w:sz w:val="24"/>
        </w:rPr>
        <w:t xml:space="preserve">ponudbe brez ovir so tiste, ki so dostopne in uporabne za invalide na zanje običajen način, in jih lahko v skladu s stanjem tehnike, z uporabo potrebne pomoči in v osnovi brez zunanje pomoči uporabljajo brez posebnih težav;</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usposobljeni zaposleni so tisti, ki so končali poklicno usposabljanje ali ustrezen študijski tečaj, ki ustreza novinarski ali medijsko-tehnični nalogi v programski produkciji, ali tisti, ki lahko predložijo dokazilo o najmanj petih letih poklicnih izkušenj.</w:t>
      </w:r>
      <w:r>
        <w:rPr>
          <w:sz w:val="24"/>
        </w:rPr>
        <w:t xml:space="preserve"> </w:t>
      </w:r>
      <w:r>
        <w:rPr>
          <w:sz w:val="24"/>
        </w:rPr>
        <w:t xml:space="preserve">Podrejena pomožna dela se ne upoštevajo;</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sz w:val="24"/>
          <w:szCs w:val="24"/>
          <w:rFonts w:eastAsia="Times New Roman" w:cstheme="minorHAnsi"/>
        </w:rPr>
      </w:pPr>
      <w:r>
        <w:rPr>
          <w:sz w:val="24"/>
        </w:rPr>
        <w:t xml:space="preserve">evropska dela so tista, kot so opredeljena v oddelku 3(4) skupnega pravilnika državnih medijskih organov o evropskih produkcijah v skladu z oddelkom 77 Državne pogodbe o medijih in</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ponudbe, namenjene mladim ciljnim skupinam, če so jasno namenjene otrokom ali mlajšim odraslim do 29. leta starosti.</w:t>
      </w:r>
      <w:r>
        <w:rPr>
          <w:sz w:val="24"/>
        </w:rPr>
        <w:t xml:space="preserve"> </w:t>
      </w:r>
      <w:r>
        <w:rPr>
          <w:sz w:val="24"/>
        </w:rPr>
        <w:t xml:space="preserve">Upošteva se naslednje:</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sz w:val="24"/>
          <w:szCs w:val="24"/>
          <w:rFonts w:eastAsia="Times New Roman" w:cstheme="minorHAnsi"/>
        </w:rPr>
      </w:pPr>
      <w:r>
        <w:rPr>
          <w:sz w:val="24"/>
        </w:rPr>
        <w:t xml:space="preserve">Ponudb, katerih se ne sme prekinjati z radijskim ali televizijskim oglaševanjem v skladu z oddelkom 9(1) Državne pogodbe o medijih ali, v primeru radiodifuznih vsebin, ki so podobne tovrstni vsebini, se v skladu z oddelkom 9(1) Državne pogodbe o medijih (ponudba za otroke) ne sme prekinjati z radijskim ali televizijskim oglaševanjem;</w:t>
      </w:r>
      <w:r>
        <w:rPr>
          <w:sz w:val="24"/>
        </w:rPr>
        <w:t xml:space="preserve">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 xml:space="preserve">ponudbe, ki so v skladu s splošnimi pravili glede vsebine, oblike in oddajnega časa jasno</w:t>
      </w:r>
      <w:r>
        <w:rPr>
          <w:sz w:val="24"/>
          <w:rFonts w:ascii="Times New Roman" w:hAnsi="Times New Roman"/>
        </w:rPr>
        <w:t xml:space="preserve"> </w:t>
      </w:r>
      <w:r>
        <w:rPr>
          <w:sz w:val="24"/>
        </w:rPr>
        <w:t xml:space="preserve">namenjene ciljni skupini, stari od 14 do 29 let (ponudba za mladostnike in mlade odrasle), če se osredotočajo na informacije, kot so opredeljene v oddelku 2(2)(25) Državne pogodbe o medijih (MStV).</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65150E60" w14:textId="73D55689" w:rsidR="000064CB" w:rsidRDefault="000064CB" w:rsidP="000064CB">
      <w:pPr>
        <w:spacing w:after="0" w:line="320" w:lineRule="atLeast"/>
        <w:jc w:val="both"/>
      </w:pPr>
    </w:p>
    <w:p w14:paraId="5A65AD05" w14:textId="09AB7E59" w:rsidR="000064CB" w:rsidRDefault="000064CB" w:rsidP="000064CB">
      <w:pPr>
        <w:spacing w:after="0" w:line="320" w:lineRule="atLeast"/>
        <w:jc w:val="both"/>
      </w:pPr>
    </w:p>
    <w:p w14:paraId="131AD488" w14:textId="075821BA" w:rsidR="000064CB" w:rsidRDefault="000064CB" w:rsidP="000064CB">
      <w:pPr>
        <w:spacing w:after="0" w:line="320" w:lineRule="atLeast"/>
        <w:jc w:val="both"/>
      </w:pPr>
    </w:p>
    <w:p w14:paraId="5B129883" w14:textId="77777777"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b/>
          <w:sz w:val="28"/>
          <w:szCs w:val="28"/>
          <w:rFonts w:eastAsia="Times New Roman" w:cstheme="minorHAnsi"/>
        </w:rPr>
      </w:pPr>
      <w:r>
        <w:rPr>
          <w:b/>
          <w:sz w:val="28"/>
        </w:rPr>
        <w:t xml:space="preserve">Oddelek 8</w:t>
      </w:r>
    </w:p>
    <w:p w14:paraId="389064A1" w14:textId="77777777" w:rsidR="00225CB9" w:rsidRDefault="00AA4B93" w:rsidP="00225CB9">
      <w:pPr>
        <w:spacing w:after="0" w:line="320" w:lineRule="atLeast"/>
        <w:jc w:val="center"/>
        <w:rPr>
          <w:b/>
          <w:sz w:val="28"/>
          <w:szCs w:val="28"/>
          <w:rFonts w:eastAsia="Times New Roman" w:cstheme="minorHAnsi"/>
        </w:rPr>
      </w:pPr>
      <w:r>
        <w:rPr>
          <w:b/>
          <w:sz w:val="28"/>
        </w:rPr>
        <w:t xml:space="preserve">Osnovna načela določanja</w:t>
      </w:r>
      <w:r>
        <w:rPr>
          <w:b/>
          <w:sz w:val="28"/>
        </w:rPr>
        <w:br/>
      </w:r>
    </w:p>
    <w:p w14:paraId="167137B4" w14:textId="77777777" w:rsidR="00225CB9" w:rsidRPr="00F81EB4" w:rsidRDefault="00225CB9" w:rsidP="00225CB9">
      <w:pPr>
        <w:spacing w:after="0" w:line="320" w:lineRule="atLeast"/>
        <w:rPr>
          <w:b/>
          <w:sz w:val="28"/>
          <w:szCs w:val="28"/>
          <w:rFonts w:eastAsia="Times New Roman" w:cstheme="minorHAnsi"/>
        </w:rPr>
      </w:pPr>
      <w:r>
        <w:rPr>
          <w:sz w:val="24"/>
        </w:rPr>
        <w:t xml:space="preserve">Določanje temelji na splošnem pregledu na podlagi naslednjih osnovnih načel:</w:t>
      </w:r>
    </w:p>
    <w:p w14:paraId="1072A53F" w14:textId="77777777" w:rsidR="00AA4B93" w:rsidRDefault="00225CB9" w:rsidP="00225CB9">
      <w:pPr>
        <w:pStyle w:val="ListParagraph"/>
        <w:tabs>
          <w:tab w:val="left" w:pos="4165"/>
        </w:tabs>
        <w:spacing w:after="0" w:line="320" w:lineRule="atLeast"/>
        <w:ind w:left="284"/>
        <w:rPr>
          <w:sz w:val="24"/>
          <w:szCs w:val="24"/>
          <w:rFonts w:eastAsia="Times New Roman" w:cstheme="minorHAnsi"/>
        </w:rPr>
      </w:pPr>
      <w:r>
        <w:rPr>
          <w:sz w:val="24"/>
        </w:rPr>
        <w:tab/>
      </w:r>
    </w:p>
    <w:p w14:paraId="193A25D9" w14:textId="77777777" w:rsidR="00AA4B93" w:rsidRDefault="00164A49" w:rsidP="00F81EB4">
      <w:pPr>
        <w:pStyle w:val="ListParagraph"/>
        <w:numPr>
          <w:ilvl w:val="0"/>
          <w:numId w:val="13"/>
        </w:numPr>
        <w:spacing w:after="0" w:line="320" w:lineRule="atLeast"/>
        <w:ind w:left="720"/>
        <w:rPr>
          <w:sz w:val="24"/>
          <w:szCs w:val="24"/>
          <w:rFonts w:eastAsia="Times New Roman" w:cstheme="minorHAnsi"/>
        </w:rPr>
      </w:pPr>
      <w:r>
        <w:rPr>
          <w:sz w:val="24"/>
        </w:rPr>
        <w:t xml:space="preserve">Ponudbe, ki v bistvu niso v skladu s priznanimi novinarskimi načeli in drugimi zahtevami Državne pogodbe o medijih, se na štejejo za znaten prispevek k raznolikosti mnenj in ponudb.</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sz w:val="24"/>
          <w:szCs w:val="24"/>
          <w:rFonts w:eastAsia="Times New Roman" w:cstheme="minorHAnsi"/>
        </w:rPr>
      </w:pPr>
      <w:r>
        <w:rPr>
          <w:sz w:val="24"/>
        </w:rPr>
        <w:t xml:space="preserve">Če ustrezne zakonske zahteve zadevajo merila iz oddelka 7, se pri določanju upoštevajo samo ukrepi, ki presegajo izpolnitev teh zakonsko določenih projektov.</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sz w:val="24"/>
          <w:szCs w:val="24"/>
          <w:rFonts w:eastAsia="Times New Roman" w:cstheme="minorHAnsi"/>
        </w:rPr>
      </w:pPr>
      <w:r>
        <w:rPr>
          <w:sz w:val="24"/>
        </w:rPr>
        <w:t xml:space="preserve">Pri določanju znatnega prispevka k raznolikosti mnenj in ponudb je potrebno dati prednost časovni izmenjavi novic o političnih in aktualnih dogodkih, časovni izmenjavi regionalnih in lokalnih informacij ter deležu ponudb za mlade ciljne skupine.</w:t>
      </w:r>
      <w:r>
        <w:rPr>
          <w:sz w:val="24"/>
        </w:rPr>
        <w:t xml:space="preserve"> </w:t>
      </w:r>
      <w:r>
        <w:rPr>
          <w:sz w:val="24"/>
        </w:rPr>
        <w:br/>
      </w:r>
    </w:p>
    <w:p w14:paraId="39E98786" w14:textId="77777777" w:rsidR="00AA4B93" w:rsidRDefault="00AA4B93" w:rsidP="00F81EB4">
      <w:pPr>
        <w:pStyle w:val="ListParagraph"/>
        <w:numPr>
          <w:ilvl w:val="0"/>
          <w:numId w:val="13"/>
        </w:numPr>
        <w:spacing w:after="0" w:line="320" w:lineRule="atLeast"/>
        <w:ind w:left="720"/>
        <w:rPr>
          <w:sz w:val="24"/>
          <w:szCs w:val="24"/>
          <w:rFonts w:eastAsia="Times New Roman" w:cstheme="minorHAnsi"/>
        </w:rPr>
      </w:pPr>
      <w:r>
        <w:rPr>
          <w:sz w:val="24"/>
        </w:rPr>
        <w:t xml:space="preserve">V primeru radiodifuzijskih ponudb, kot so opredeljene v oddelku 84(3)(1) Državne pogodbe o medijih, je treba upoštevati pravilnost oddajanja, trajanje in časovni razpored ustreznih programov, ob upoštevanju meril iz oddelka 7(1), (2), (4) in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sz w:val="24"/>
          <w:szCs w:val="24"/>
          <w:rFonts w:eastAsia="Times New Roman" w:cstheme="minorHAnsi"/>
        </w:rPr>
      </w:pPr>
      <w:r>
        <w:rPr>
          <w:sz w:val="24"/>
        </w:rPr>
        <w:t xml:space="preserve">V primeru telemedijskih ponudb, kot so opredeljene v oddelku 84(4) Državne pogodbe o medijih, je treba pri merilih iz oddelkov 7(1), (2), (4) in (7) upoštevati redno posodabljanje, čas ali drugo področje uporabe ter umestitev in dostopnost v okviru telemedijske ponudbe.</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sz w:val="24"/>
          <w:szCs w:val="24"/>
          <w:rFonts w:eastAsia="Times New Roman" w:cstheme="minorHAnsi"/>
        </w:rPr>
      </w:pPr>
      <w:r>
        <w:rPr>
          <w:sz w:val="24"/>
        </w:rPr>
        <w:t xml:space="preserve">Kot del določitve večjega deleža usposobljenega osebja, kot je to opredeljeno v oddelku 7(5), kar pozitivno vpliva na posebno stopnjo prispevka k raznolikosti mnenj in ponudb, je treba upoštevati le razmerje med usposobljenim osebjem in pripravniškim osebjem, ki znaša najmanj tri proti ena.</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b/>
          <w:sz w:val="28"/>
          <w:szCs w:val="28"/>
          <w:rFonts w:eastAsia="Times New Roman" w:cstheme="minorHAnsi"/>
        </w:rPr>
      </w:pPr>
      <w:r>
        <w:rPr>
          <w:b/>
          <w:sz w:val="28"/>
        </w:rPr>
        <w:t xml:space="preserve">Oddelek 9</w:t>
      </w:r>
    </w:p>
    <w:p w14:paraId="3BBF6B59" w14:textId="77777777" w:rsidR="00370B9E" w:rsidRPr="002C7BC4" w:rsidRDefault="00373314" w:rsidP="00370B9E">
      <w:pPr>
        <w:spacing w:after="0" w:line="320" w:lineRule="atLeast"/>
        <w:jc w:val="center"/>
        <w:rPr>
          <w:b/>
          <w:sz w:val="28"/>
          <w:szCs w:val="28"/>
          <w:rFonts w:eastAsia="Times New Roman" w:cstheme="minorHAnsi"/>
        </w:rPr>
      </w:pPr>
      <w:r>
        <w:rPr>
          <w:b/>
          <w:sz w:val="28"/>
        </w:rPr>
        <w:t xml:space="preserve">Izvajanje</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sz w:val="24"/>
          <w:szCs w:val="24"/>
          <w:rFonts w:ascii="Calibri" w:hAnsi="Calibri" w:cs="Calibri"/>
        </w:rPr>
      </w:pPr>
      <w:r>
        <w:rPr>
          <w:sz w:val="24"/>
          <w:rFonts w:ascii="Calibri" w:hAnsi="Calibri"/>
        </w:rPr>
        <w:t xml:space="preserve">(1) Ko bo postopek določanja končan, bodo državni organi za medije objavili seznam video ponudbe in seznam avdio ponudbe na spletni strani pod krovno oznako „die medienanstalten“, za izvedbo s strani ponudnikov uporabniških vmesnikov.</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sz w:val="24"/>
          <w:szCs w:val="24"/>
          <w:rFonts w:ascii="Calibri" w:hAnsi="Calibri" w:cs="Calibri"/>
        </w:rPr>
      </w:pPr>
      <w:r>
        <w:rPr>
          <w:sz w:val="24"/>
          <w:rFonts w:ascii="Calibri" w:hAnsi="Calibri"/>
        </w:rPr>
        <w:t xml:space="preserve">(2) Uporabniku mora biti v uporabniških vmesnikih omogočena možnost enostavne in neomejene izbire ponudb, ki so jih določili pristojni državni medijski organi.</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sz w:val="24"/>
          <w:szCs w:val="24"/>
          <w:rFonts w:ascii="Calibri" w:hAnsi="Calibri" w:cs="Calibri"/>
        </w:rPr>
      </w:pPr>
      <w:r>
        <w:rPr>
          <w:sz w:val="24"/>
          <w:rFonts w:ascii="Calibri" w:hAnsi="Calibri"/>
        </w:rPr>
        <w:t xml:space="preserve">(3) Vrstni red seznamov, ki jih je kot vodstveni organ pristojnega državnega organa za medije določila Komisija za izdajanje licenc in nadzor (ZAK), izhaja iz splošnega stališča v skladu z oddelkoma 7 in 8.</w:t>
      </w:r>
      <w:r>
        <w:rPr>
          <w:sz w:val="24"/>
          <w:rFonts w:ascii="Calibri" w:hAnsi="Calibri"/>
        </w:rPr>
        <w:t xml:space="preserve"> </w:t>
      </w:r>
      <w:r>
        <w:rPr>
          <w:sz w:val="24"/>
          <w:rFonts w:ascii="Calibri" w:hAnsi="Calibri"/>
        </w:rPr>
        <w:t xml:space="preserve">Če ponudnik uporabniškega vmesnika prikaže zaporedje v razvrstitvi in razporeditvi ponudb, se do ustrezne mere kot osnova uporabijo seznami, objavljeni v skladu z odstavkom 1.</w:t>
      </w:r>
      <w:r>
        <w:rPr>
          <w:sz w:val="24"/>
          <w:rFonts w:ascii="Calibri" w:hAnsi="Calibri"/>
        </w:rPr>
        <w:t xml:space="preserve">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sz w:val="24"/>
          <w:szCs w:val="24"/>
          <w:rFonts w:ascii="Calibri" w:hAnsi="Calibri" w:cs="Calibri"/>
        </w:rPr>
      </w:pPr>
      <w:r>
        <w:rPr>
          <w:sz w:val="24"/>
          <w:rFonts w:ascii="Calibri" w:hAnsi="Calibri"/>
        </w:rPr>
        <w:t xml:space="preserve">(4) Naloga odgovornega državnega medijskega organa je, da si prizadeva za dogovor s ponudniki zakonsko financiranih programov in s tem povezanih telemedijskih ponudb o vrstnem redu predstavitve.</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b/>
          <w:sz w:val="28"/>
          <w:szCs w:val="28"/>
          <w:rFonts w:eastAsia="Times New Roman" w:cstheme="minorHAnsi"/>
        </w:rPr>
      </w:pPr>
      <w:r>
        <w:rPr>
          <w:b/>
          <w:sz w:val="28"/>
        </w:rPr>
        <w:t xml:space="preserve">Oddelek 10</w:t>
      </w:r>
    </w:p>
    <w:p w14:paraId="0A25D742" w14:textId="77777777" w:rsidR="00701D71" w:rsidRPr="002C7BC4" w:rsidRDefault="00701D71" w:rsidP="00701D71">
      <w:pPr>
        <w:spacing w:after="0" w:line="320" w:lineRule="atLeast"/>
        <w:jc w:val="center"/>
        <w:rPr>
          <w:b/>
          <w:sz w:val="28"/>
          <w:szCs w:val="28"/>
          <w:rFonts w:eastAsia="Times New Roman" w:cstheme="minorHAnsi"/>
        </w:rPr>
      </w:pPr>
      <w:r>
        <w:rPr>
          <w:b/>
          <w:sz w:val="28"/>
        </w:rPr>
        <w:t xml:space="preserve">Začetek veljavnosti</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sz w:val="24"/>
          <w:szCs w:val="24"/>
          <w:rFonts w:eastAsia="Times New Roman" w:cstheme="minorHAnsi"/>
        </w:rPr>
      </w:pPr>
      <w:r>
        <w:rPr>
          <w:sz w:val="24"/>
        </w:rPr>
        <w:t xml:space="preserve">Ti predpisi začnejo veljati 1. septembra 2021.</w:t>
      </w:r>
      <w:r>
        <w:rPr>
          <w:sz w:val="24"/>
        </w:rPr>
        <w:t xml:space="preserve"> </w:t>
      </w:r>
      <w:r>
        <w:rPr>
          <w:sz w:val="24"/>
        </w:rPr>
        <w:t xml:space="preserve">Če do 31. avgusta 2021 vsi državni organi za medije ne izdajo in objavijo zadevnih pravilnikov, ta pravilnik izgubi pomen.</w:t>
      </w:r>
      <w:r>
        <w:rPr>
          <w:sz w:val="24"/>
        </w:rPr>
        <w:t xml:space="preserve"> </w:t>
      </w:r>
      <w:r>
        <w:rPr>
          <w:sz w:val="24"/>
        </w:rPr>
        <w:t xml:space="preserve">Predsednik Konference odbora direktorjev državnih organov za medije (DLM) na spletni strani pod krovnim imenom „die medienanstalten“ objavi, ali so vsi državni organi za medije izdali in objavili zadeven pravilnik v obdobju iz odstavka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1D03" w14:textId="77777777" w:rsidR="00D864D5" w:rsidRDefault="00D864D5" w:rsidP="001D484A">
      <w:pPr>
        <w:spacing w:after="0" w:line="240" w:lineRule="auto"/>
      </w:pPr>
      <w:r>
        <w:separator/>
      </w:r>
    </w:p>
  </w:endnote>
  <w:endnote w:type="continuationSeparator" w:id="0">
    <w:p w14:paraId="1CF5418C" w14:textId="77777777" w:rsidR="00D864D5" w:rsidRDefault="00D864D5"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A1D3" w14:textId="77777777" w:rsidR="00D864D5" w:rsidRDefault="00D864D5" w:rsidP="001D484A">
      <w:pPr>
        <w:spacing w:after="0" w:line="240" w:lineRule="auto"/>
      </w:pPr>
      <w:r>
        <w:separator/>
      </w:r>
    </w:p>
  </w:footnote>
  <w:footnote w:type="continuationSeparator" w:id="0">
    <w:p w14:paraId="1E5DB9CF" w14:textId="77777777" w:rsidR="00D864D5" w:rsidRDefault="00D864D5"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 xml:space="preserve">Priglašeno v skladu z Direktivo (EU) 2015/1535 Evropskega parlamenta in Sveta z dne 9. septembra 2015 o določitvi postopka za zbiranje informacij na področju tehničnih predpisov in pravil za storitve informacijske družbe (UL L 241, 17.9.2015,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1687</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3</cp:revision>
  <cp:lastPrinted>2021-01-25T10:29:00Z</cp:lastPrinted>
  <dcterms:created xsi:type="dcterms:W3CDTF">2021-04-01T05:34:00Z</dcterms:created>
  <dcterms:modified xsi:type="dcterms:W3CDTF">2021-04-08T12:54:00Z</dcterms:modified>
</cp:coreProperties>
</file>