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FA3D" w14:textId="6BCB6E9A" w:rsidR="00B75DCA" w:rsidRPr="00814C17" w:rsidRDefault="00B75DCA" w:rsidP="00B75DCA">
      <w:pPr>
        <w:spacing w:after="120"/>
        <w:jc w:val="center"/>
        <w:rPr>
          <w:rFonts w:ascii="Courier New" w:hAnsi="Courier New"/>
          <w:sz w:val="20"/>
          <w:szCs w:val="20"/>
        </w:rPr>
      </w:pPr>
      <w:r>
        <w:rPr>
          <w:rFonts w:ascii="Courier New" w:hAnsi="Courier New"/>
          <w:sz w:val="20"/>
        </w:rPr>
        <w:t>1. ------IND-</w:t>
      </w:r>
      <w:r w:rsidR="00212261">
        <w:rPr>
          <w:rFonts w:ascii="Courier New" w:hAnsi="Courier New"/>
          <w:sz w:val="20"/>
        </w:rPr>
        <w:t xml:space="preserve"> 2019 0372 HR- PL- ------ 20200</w:t>
      </w:r>
      <w:r>
        <w:rPr>
          <w:rFonts w:ascii="Courier New" w:hAnsi="Courier New"/>
          <w:sz w:val="20"/>
        </w:rPr>
        <w:t>721 --- --- FINAL</w:t>
      </w:r>
    </w:p>
    <w:p w14:paraId="56B3D265" w14:textId="226341DA" w:rsidR="00DC54F9" w:rsidRPr="00D7697E" w:rsidRDefault="00DC54F9" w:rsidP="00DC54F9">
      <w:pPr>
        <w:spacing w:before="100" w:beforeAutospacing="1" w:after="225" w:line="336" w:lineRule="atLeast"/>
        <w:jc w:val="center"/>
        <w:rPr>
          <w:rFonts w:ascii="Times New Roman" w:hAnsi="Times New Roman"/>
          <w:b/>
          <w:bCs/>
          <w:caps/>
          <w:sz w:val="36"/>
          <w:szCs w:val="36"/>
        </w:rPr>
      </w:pPr>
      <w:r>
        <w:rPr>
          <w:rFonts w:ascii="Times New Roman" w:hAnsi="Times New Roman"/>
          <w:b/>
          <w:bCs/>
          <w:caps/>
          <w:sz w:val="36"/>
          <w:szCs w:val="36"/>
        </w:rPr>
        <w:t>RZĄD REPUBLIKI CHORWACJI</w:t>
      </w:r>
    </w:p>
    <w:p w14:paraId="54E1FEBE" w14:textId="133C3BB9" w:rsidR="00331551" w:rsidRPr="00D7697E" w:rsidRDefault="00331551" w:rsidP="003F6229">
      <w:pPr>
        <w:spacing w:before="100" w:beforeAutospacing="1" w:after="225" w:line="336" w:lineRule="atLeast"/>
        <w:jc w:val="right"/>
        <w:rPr>
          <w:rFonts w:ascii="Times New Roman" w:eastAsia="Times New Roman" w:hAnsi="Times New Roman" w:cs="Times New Roman"/>
          <w:bCs/>
          <w:caps/>
          <w:sz w:val="24"/>
          <w:szCs w:val="24"/>
        </w:rPr>
      </w:pPr>
      <w:r>
        <w:rPr>
          <w:rFonts w:ascii="Times New Roman" w:hAnsi="Times New Roman"/>
          <w:caps/>
          <w:sz w:val="24"/>
          <w:szCs w:val="24"/>
        </w:rPr>
        <w:t>93</w:t>
      </w:r>
    </w:p>
    <w:p w14:paraId="4B9B5D88" w14:textId="573FFC12"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rPr>
        <w:t>Na mocy art. 53 ust. 4 ustawy o zrównoważonym gospodarowaniu odpadami [</w:t>
      </w:r>
      <w:proofErr w:type="spellStart"/>
      <w:r>
        <w:rPr>
          <w:rFonts w:ascii="Times New Roman" w:hAnsi="Times New Roman"/>
          <w:i/>
          <w:iCs/>
        </w:rPr>
        <w:t>Narodne</w:t>
      </w:r>
      <w:proofErr w:type="spellEnd"/>
      <w:r>
        <w:rPr>
          <w:rFonts w:ascii="Times New Roman" w:hAnsi="Times New Roman"/>
          <w:i/>
          <w:iCs/>
        </w:rPr>
        <w:t xml:space="preserve"> </w:t>
      </w:r>
      <w:proofErr w:type="spellStart"/>
      <w:r>
        <w:rPr>
          <w:rFonts w:ascii="Times New Roman" w:hAnsi="Times New Roman"/>
          <w:i/>
          <w:iCs/>
        </w:rPr>
        <w:t>Novine</w:t>
      </w:r>
      <w:proofErr w:type="spellEnd"/>
      <w:r>
        <w:rPr>
          <w:rFonts w:ascii="Times New Roman" w:hAnsi="Times New Roman"/>
        </w:rPr>
        <w:t xml:space="preserve"> (NN; Dziennik Urzędowy Republiki Chorwacji) nr 94/13, 73/17, 14/19 i 98/19], rząd Republiki Chorwacji przyjął na posiedzeniu w dniu 16 stycznia 2020 r. następujące</w:t>
      </w:r>
    </w:p>
    <w:p w14:paraId="22601961" w14:textId="0D6C6BC7" w:rsidR="00DC54F9" w:rsidRPr="00D7697E" w:rsidRDefault="005F08B6" w:rsidP="00DC54F9">
      <w:pPr>
        <w:spacing w:before="100" w:beforeAutospacing="1" w:after="225" w:line="336" w:lineRule="atLeast"/>
        <w:jc w:val="center"/>
        <w:rPr>
          <w:rFonts w:ascii="Times New Roman" w:eastAsia="Times New Roman" w:hAnsi="Times New Roman" w:cs="Times New Roman"/>
          <w:b/>
          <w:bCs/>
          <w:sz w:val="32"/>
          <w:szCs w:val="32"/>
        </w:rPr>
      </w:pPr>
      <w:r>
        <w:rPr>
          <w:rFonts w:ascii="Times New Roman" w:hAnsi="Times New Roman"/>
          <w:b/>
          <w:bCs/>
          <w:sz w:val="32"/>
        </w:rPr>
        <w:t>ROZPORZĄDZENIE</w:t>
      </w:r>
    </w:p>
    <w:p w14:paraId="5BBA5216" w14:textId="136F763B" w:rsidR="00DC54F9" w:rsidRDefault="00331551" w:rsidP="00DC54F9">
      <w:pPr>
        <w:spacing w:before="100" w:beforeAutospacing="1" w:after="225" w:line="336" w:lineRule="atLeast"/>
        <w:jc w:val="center"/>
        <w:rPr>
          <w:rFonts w:ascii="Times New Roman" w:hAnsi="Times New Roman"/>
          <w:b/>
          <w:bCs/>
          <w:sz w:val="28"/>
        </w:rPr>
      </w:pPr>
      <w:r>
        <w:rPr>
          <w:rFonts w:ascii="Times New Roman" w:hAnsi="Times New Roman"/>
          <w:b/>
          <w:bCs/>
          <w:sz w:val="28"/>
        </w:rPr>
        <w:t>ZMIENIAJĄCE ROZPORZĄDZENIE W SPRAWIE GOSPODAROWANIA ODPADAMI OPAKOWANIOWYMI</w:t>
      </w:r>
    </w:p>
    <w:p w14:paraId="0717B19F" w14:textId="77777777" w:rsidR="00D7697E" w:rsidRPr="00D7697E" w:rsidRDefault="00D7697E" w:rsidP="00DC54F9">
      <w:pPr>
        <w:spacing w:before="100" w:beforeAutospacing="1" w:after="225" w:line="336" w:lineRule="atLeast"/>
        <w:jc w:val="center"/>
        <w:rPr>
          <w:rFonts w:ascii="Times New Roman" w:eastAsia="Times New Roman" w:hAnsi="Times New Roman" w:cs="Times New Roman"/>
          <w:b/>
          <w:bCs/>
          <w:sz w:val="28"/>
          <w:szCs w:val="28"/>
        </w:rPr>
      </w:pPr>
    </w:p>
    <w:p w14:paraId="15EC0A82" w14:textId="77777777" w:rsidR="00DC54F9" w:rsidRPr="00990420" w:rsidRDefault="00DC54F9" w:rsidP="00DC54F9">
      <w:pPr>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Artykuł 1.</w:t>
      </w:r>
    </w:p>
    <w:p w14:paraId="0B07C5FD" w14:textId="1175D096" w:rsidR="00331551" w:rsidRPr="00990420" w:rsidRDefault="00331551"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szCs w:val="24"/>
        </w:rPr>
        <w:t>W art. 1 rozporządzenia w sprawie gospodarowania odpadami opakowaniowymi (NN nr 97/15) po ust. 1 dodaje się ust. 2 w brzmieniu:</w:t>
      </w:r>
    </w:p>
    <w:p w14:paraId="2EFA5D31" w14:textId="12F09FA7" w:rsidR="003158D1" w:rsidRDefault="005F08B6" w:rsidP="003E2C83">
      <w:pPr>
        <w:spacing w:before="100" w:beforeAutospacing="1" w:after="225" w:line="336" w:lineRule="atLeast"/>
        <w:jc w:val="both"/>
        <w:rPr>
          <w:rFonts w:ascii="Times New Roman" w:hAnsi="Times New Roman"/>
          <w:bCs/>
          <w:sz w:val="24"/>
        </w:rPr>
      </w:pPr>
      <w:r>
        <w:rPr>
          <w:rFonts w:ascii="Times New Roman" w:hAnsi="Times New Roman"/>
          <w:bCs/>
          <w:sz w:val="24"/>
        </w:rPr>
        <w:t>„(2) Niniejsze rozporządzenie wydano z należytym uwzględnieniem procedury powiadamiania określonej w dyrektywie (UE) 2015/1535 Parlamentu Europejskiego i Rady z dnia 9 września 2015 r. ustanawiającej procedurę udzielania informacji w dziedzinie przepisów technicznych oraz zasad dotyczących usług społeczeństwa informacyjnego (Dz.U. L 241 z 17.9.2015).”</w:t>
      </w:r>
    </w:p>
    <w:p w14:paraId="7E5E6A0F" w14:textId="77777777" w:rsidR="00D7697E" w:rsidRPr="00D7697E" w:rsidRDefault="00D7697E" w:rsidP="003E2C83">
      <w:pPr>
        <w:spacing w:before="100" w:beforeAutospacing="1" w:after="225" w:line="336" w:lineRule="atLeast"/>
        <w:jc w:val="both"/>
        <w:rPr>
          <w:rFonts w:ascii="Times New Roman" w:eastAsia="Times New Roman" w:hAnsi="Times New Roman" w:cs="Times New Roman"/>
          <w:bCs/>
          <w:sz w:val="24"/>
          <w:szCs w:val="24"/>
        </w:rPr>
      </w:pPr>
    </w:p>
    <w:p w14:paraId="55D5DAF2"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Artykuł 2.</w:t>
      </w:r>
    </w:p>
    <w:p w14:paraId="57CEAF8D" w14:textId="28AAECD6" w:rsidR="008C58AD" w:rsidRPr="00D15292" w:rsidRDefault="008C58AD" w:rsidP="008C58AD">
      <w:pPr>
        <w:jc w:val="both"/>
        <w:rPr>
          <w:rFonts w:ascii="Times New Roman" w:hAnsi="Times New Roman" w:cs="Times New Roman"/>
          <w:sz w:val="24"/>
          <w:szCs w:val="24"/>
        </w:rPr>
      </w:pPr>
      <w:r>
        <w:rPr>
          <w:rFonts w:ascii="Times New Roman" w:hAnsi="Times New Roman"/>
          <w:sz w:val="24"/>
          <w:szCs w:val="24"/>
        </w:rPr>
        <w:t>W art. 2 skreśla się pkt 1.</w:t>
      </w:r>
    </w:p>
    <w:p w14:paraId="2F3197CE" w14:textId="0B8CE7DE" w:rsidR="008C58AD" w:rsidRPr="00D15292" w:rsidRDefault="008C58AD" w:rsidP="008C58AD">
      <w:pPr>
        <w:jc w:val="both"/>
        <w:rPr>
          <w:rFonts w:ascii="Times New Roman" w:hAnsi="Times New Roman" w:cs="Times New Roman"/>
          <w:sz w:val="24"/>
          <w:szCs w:val="24"/>
        </w:rPr>
      </w:pPr>
      <w:r>
        <w:rPr>
          <w:rFonts w:ascii="Times New Roman" w:hAnsi="Times New Roman"/>
          <w:sz w:val="24"/>
          <w:szCs w:val="24"/>
        </w:rPr>
        <w:t>Punkty 2–5 otrzymują numerację 1–4.</w:t>
      </w:r>
    </w:p>
    <w:p w14:paraId="1C997CAD" w14:textId="46204CEC" w:rsidR="008C58AD" w:rsidRPr="00D15292" w:rsidRDefault="008C58AD" w:rsidP="008C58AD">
      <w:pPr>
        <w:jc w:val="both"/>
        <w:rPr>
          <w:rFonts w:ascii="Times New Roman" w:hAnsi="Times New Roman" w:cs="Times New Roman"/>
          <w:sz w:val="24"/>
          <w:szCs w:val="24"/>
        </w:rPr>
      </w:pPr>
      <w:r>
        <w:rPr>
          <w:rFonts w:ascii="Times New Roman" w:hAnsi="Times New Roman"/>
          <w:sz w:val="24"/>
          <w:szCs w:val="24"/>
        </w:rPr>
        <w:t>Obecny pkt 6, który staje się pkt. 5, otrzymuje brzmienie:</w:t>
      </w:r>
    </w:p>
    <w:p w14:paraId="7DA76A99" w14:textId="20914F0F"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sz w:val="24"/>
        </w:rPr>
        <w:t>„5) napój oznacza napój alkoholowy; napój bezalkoholowy; wody stołowe, naturalne mineralne i naturalne źródlane; syropy owocowe, soki i nektary owocowe, mleko i płynne przetwory mleczne oraz inne produkty płynne na bazie owocowej lub innej; a także wszelkie inne dodatki, które umieszczone w opakowaniu z bazą płynną stanowią integralną jednostkę opakowania podstawowego.”</w:t>
      </w:r>
    </w:p>
    <w:p w14:paraId="08EB432E" w14:textId="555EE29B" w:rsidR="004D3C41" w:rsidRDefault="004D3C41" w:rsidP="00DC54F9">
      <w:pPr>
        <w:spacing w:before="100" w:beforeAutospacing="1" w:after="225" w:line="336" w:lineRule="atLeast"/>
        <w:jc w:val="both"/>
        <w:rPr>
          <w:rFonts w:ascii="Times New Roman" w:hAnsi="Times New Roman"/>
          <w:sz w:val="24"/>
        </w:rPr>
      </w:pPr>
      <w:bookmarkStart w:id="0" w:name="_GoBack"/>
      <w:bookmarkEnd w:id="0"/>
      <w:r>
        <w:rPr>
          <w:rFonts w:ascii="Times New Roman" w:hAnsi="Times New Roman"/>
          <w:sz w:val="24"/>
        </w:rPr>
        <w:t>Obecny pkt 7 staje się pkt. 6.</w:t>
      </w:r>
    </w:p>
    <w:p w14:paraId="34283DCF" w14:textId="7845DD73" w:rsidR="004D3C41" w:rsidRPr="00D7697E" w:rsidRDefault="004D3C41" w:rsidP="00D7697E">
      <w:pPr>
        <w:jc w:val="both"/>
        <w:rPr>
          <w:rFonts w:ascii="Times New Roman" w:hAnsi="Times New Roman" w:cs="Times New Roman"/>
          <w:sz w:val="24"/>
          <w:szCs w:val="24"/>
        </w:rPr>
      </w:pPr>
      <w:r>
        <w:rPr>
          <w:rFonts w:ascii="Times New Roman" w:hAnsi="Times New Roman"/>
          <w:sz w:val="24"/>
          <w:szCs w:val="24"/>
        </w:rPr>
        <w:lastRenderedPageBreak/>
        <w:t>Obecny pkt 8, który staje się pkt. 7, otrzymuje brzmienie:</w:t>
      </w:r>
    </w:p>
    <w:p w14:paraId="20E9E87F" w14:textId="63904CB2"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bCs/>
          <w:sz w:val="24"/>
        </w:rPr>
        <w:t>„7) producent i importer produktów (zwany dalej »producentem«) oznacza podmiot prawny lub osobę fizyczną będącą rzemieślnikiem lub osobę fizyczną opracowującą, produkującą, przetwarzającą, sprzedającą, wprowadzającą lub importującą bądź wprowadzającą do obrotu na rynku chorwackim produkty w opakowaniach.”</w:t>
      </w:r>
    </w:p>
    <w:p w14:paraId="278DF939" w14:textId="11751693" w:rsidR="004D3C41" w:rsidRDefault="004D3C41" w:rsidP="00D7697E">
      <w:pPr>
        <w:spacing w:before="100" w:beforeAutospacing="1" w:after="225" w:line="336" w:lineRule="atLeast"/>
        <w:jc w:val="both"/>
        <w:rPr>
          <w:rFonts w:ascii="Times New Roman" w:hAnsi="Times New Roman"/>
          <w:sz w:val="24"/>
        </w:rPr>
      </w:pPr>
      <w:r>
        <w:rPr>
          <w:rFonts w:ascii="Times New Roman" w:hAnsi="Times New Roman"/>
          <w:sz w:val="24"/>
        </w:rPr>
        <w:t>Obecny pkt 9 staje się pkt. 8.</w:t>
      </w:r>
    </w:p>
    <w:p w14:paraId="47756988" w14:textId="77777777" w:rsidR="00D7697E" w:rsidRPr="00D7697E" w:rsidRDefault="00D7697E" w:rsidP="00D7697E">
      <w:pPr>
        <w:spacing w:before="100" w:beforeAutospacing="1" w:after="225" w:line="336" w:lineRule="atLeast"/>
        <w:jc w:val="both"/>
        <w:rPr>
          <w:rFonts w:ascii="Times New Roman" w:hAnsi="Times New Roman"/>
          <w:sz w:val="24"/>
        </w:rPr>
      </w:pPr>
    </w:p>
    <w:p w14:paraId="2DA7D434"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Artykuł 3.</w:t>
      </w:r>
    </w:p>
    <w:p w14:paraId="5AB166E6" w14:textId="523126F4" w:rsidR="004D3C41" w:rsidRDefault="004D3C41" w:rsidP="004D3C41">
      <w:pPr>
        <w:jc w:val="both"/>
        <w:rPr>
          <w:rFonts w:ascii="Times New Roman" w:hAnsi="Times New Roman" w:cs="Times New Roman"/>
          <w:sz w:val="24"/>
          <w:szCs w:val="24"/>
        </w:rPr>
      </w:pPr>
      <w:r>
        <w:rPr>
          <w:rFonts w:ascii="Times New Roman" w:hAnsi="Times New Roman"/>
          <w:sz w:val="24"/>
        </w:rPr>
        <w:t>W art. 4 ust. 2 słowa „we współpracy z agencją” zastępuje się słowami „we współpracy z Ministerstwem”, słowa „odpadów szklanych i plastikowych” zastępuje się słowami „odpadów metalowych, szklanych i plastikowych”, a słowa „kosztu trwałego składowania” zastępuje się słowami „kosztu przetworzenia”.</w:t>
      </w:r>
    </w:p>
    <w:p w14:paraId="6900316F" w14:textId="77777777" w:rsidR="00D7697E" w:rsidRPr="00D15292" w:rsidRDefault="00D7697E" w:rsidP="004D3C41">
      <w:pPr>
        <w:jc w:val="both"/>
        <w:rPr>
          <w:rFonts w:ascii="Times New Roman" w:hAnsi="Times New Roman" w:cs="Times New Roman"/>
          <w:sz w:val="24"/>
          <w:szCs w:val="24"/>
        </w:rPr>
      </w:pPr>
    </w:p>
    <w:p w14:paraId="65D5683F" w14:textId="7EA7464E"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Artykuł 4.</w:t>
      </w:r>
    </w:p>
    <w:p w14:paraId="4F702F0B" w14:textId="4E2320A7"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Art. 5 otrzymuje brzmienie:</w:t>
      </w:r>
    </w:p>
    <w:p w14:paraId="4ED0B3B4" w14:textId="005B4587" w:rsidR="00334FB1" w:rsidRDefault="00306B53" w:rsidP="00DC54F9">
      <w:pPr>
        <w:spacing w:before="100" w:beforeAutospacing="1" w:after="225" w:line="336" w:lineRule="atLeast"/>
        <w:jc w:val="both"/>
        <w:rPr>
          <w:rFonts w:ascii="Times New Roman" w:hAnsi="Times New Roman"/>
          <w:sz w:val="24"/>
        </w:rPr>
      </w:pPr>
      <w:r>
        <w:rPr>
          <w:rFonts w:ascii="Times New Roman" w:hAnsi="Times New Roman"/>
          <w:sz w:val="24"/>
        </w:rPr>
        <w:t xml:space="preserve">„1. Zwrot kaucji wynosi 0,50 HRK za jednostkę opakowania na napoje. </w:t>
      </w:r>
    </w:p>
    <w:p w14:paraId="1DC99FCD" w14:textId="48870E48" w:rsidR="00DC54F9" w:rsidRDefault="00334FB1" w:rsidP="00DC54F9">
      <w:pPr>
        <w:spacing w:before="100" w:beforeAutospacing="1" w:after="225" w:line="336" w:lineRule="atLeast"/>
        <w:jc w:val="both"/>
        <w:rPr>
          <w:rFonts w:ascii="Times New Roman" w:hAnsi="Times New Roman"/>
          <w:bCs/>
          <w:sz w:val="24"/>
        </w:rPr>
      </w:pPr>
      <w:r>
        <w:rPr>
          <w:rFonts w:ascii="Times New Roman" w:hAnsi="Times New Roman"/>
          <w:sz w:val="24"/>
        </w:rPr>
        <w:t>2. Kwota zwrotu kaucji nie podlega opodatkowaniu.”</w:t>
      </w:r>
    </w:p>
    <w:p w14:paraId="7A6753A1" w14:textId="77777777" w:rsidR="00D7697E" w:rsidRPr="00D7697E" w:rsidRDefault="00D7697E" w:rsidP="00DC54F9">
      <w:pPr>
        <w:spacing w:before="100" w:beforeAutospacing="1" w:after="225" w:line="336" w:lineRule="atLeast"/>
        <w:jc w:val="both"/>
        <w:rPr>
          <w:rFonts w:ascii="Times New Roman" w:hAnsi="Times New Roman"/>
          <w:bCs/>
          <w:sz w:val="24"/>
        </w:rPr>
      </w:pPr>
    </w:p>
    <w:p w14:paraId="6F3851C2" w14:textId="7439AE90" w:rsidR="00334FB1" w:rsidRPr="00D7697E" w:rsidRDefault="00334FB1" w:rsidP="00D7697E">
      <w:pPr>
        <w:spacing w:before="100" w:beforeAutospacing="1" w:after="225" w:line="336" w:lineRule="atLeast"/>
        <w:jc w:val="center"/>
        <w:rPr>
          <w:rFonts w:ascii="Times New Roman" w:eastAsia="Times New Roman" w:hAnsi="Times New Roman" w:cs="Times New Roman"/>
          <w:bCs/>
          <w:sz w:val="24"/>
          <w:szCs w:val="24"/>
        </w:rPr>
      </w:pPr>
      <w:r>
        <w:rPr>
          <w:rFonts w:ascii="Times New Roman" w:hAnsi="Times New Roman"/>
          <w:bCs/>
          <w:sz w:val="24"/>
        </w:rPr>
        <w:t>Artykuł 5</w:t>
      </w:r>
    </w:p>
    <w:p w14:paraId="5B04370A" w14:textId="003BA984"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Art. 6 otrzymuje brzmienie:</w:t>
      </w:r>
    </w:p>
    <w:p w14:paraId="4BC063FB" w14:textId="1AF0C051" w:rsidR="00016B16" w:rsidRPr="00D7697E" w:rsidRDefault="00306B53"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„(1) Wprowadzając do obrotu napoje w opakowaniach objętych systemem zwrotu kaucji, producent wpłaca na rzecz funduszu kwotę zwrotu kaucji, o której mowa w art. 5 niniejszego rozporządzenia.</w:t>
      </w:r>
    </w:p>
    <w:p w14:paraId="2EC87CDC" w14:textId="77777777"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(2) Wysokość obowiązkowo wpłacanej kwoty, o której mowa w ust. 1 niniejszego artykułu obliczana jest co kwartał zgodnie z przepisami.</w:t>
      </w:r>
    </w:p>
    <w:p w14:paraId="5C6AD43E" w14:textId="210EA25C"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(3) Odbierając odpady opakowaniowe po napojach objęte systemem zwrotu kaucji, sprzedawca i podmiot zarządzający zakładem recyklingu wypłacają konsumentowi (posiadaczowi) kwotę zwrotu kaucji, o której mowa w art. 5 niniejszego rozporządzenia.</w:t>
      </w:r>
    </w:p>
    <w:p w14:paraId="095D43F1"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lastRenderedPageBreak/>
        <w:t>(4) Fundusz refunduje sprzedawcy i podmiotowi zarządzającemu zakładem recyklingu kwotę zwrotu kaucji wypłaconą konsumentowi, a podmiotowi prowadzącemu zbiórkę następujące koszty odbioru i przekazania odpadów opakowaniowych po napojach:</w:t>
      </w:r>
    </w:p>
    <w:p w14:paraId="5A0419DD"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1. za ręczny odbiór odpadów opakowaniowych po napojach:</w:t>
      </w:r>
    </w:p>
    <w:p w14:paraId="6A611EA8" w14:textId="49775DD4"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w:t>
      </w:r>
      <w:r>
        <w:rPr>
          <w:rFonts w:ascii="Times New Roman" w:hAnsi="Times New Roman"/>
          <w:sz w:val="24"/>
        </w:rPr>
        <w:tab/>
        <w:t>0,08 HRK (w tym VAT) za jednostkę odpadów opakowaniowych w 2020 r.,</w:t>
      </w:r>
    </w:p>
    <w:p w14:paraId="2AE1F809" w14:textId="03576B45"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w:t>
      </w:r>
      <w:r>
        <w:rPr>
          <w:rFonts w:ascii="Times New Roman" w:hAnsi="Times New Roman"/>
          <w:sz w:val="24"/>
        </w:rPr>
        <w:tab/>
        <w:t>0,06 HRK (w tym VAT) za jednostkę odpadów opakowaniowych w 2021 r.,</w:t>
      </w:r>
    </w:p>
    <w:p w14:paraId="39F5456A" w14:textId="4BBAD862"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w:t>
      </w:r>
      <w:r>
        <w:rPr>
          <w:rFonts w:ascii="Times New Roman" w:hAnsi="Times New Roman"/>
          <w:sz w:val="24"/>
        </w:rPr>
        <w:tab/>
        <w:t>0,05 HRK (w tym VAT) za jednostkę odpadów opakowaniowych w 2022 r. i później;</w:t>
      </w:r>
    </w:p>
    <w:p w14:paraId="1174CCAD" w14:textId="77777777" w:rsidR="00016B16" w:rsidRPr="00D7697E" w:rsidRDefault="00016B16" w:rsidP="00990420">
      <w:pPr>
        <w:keepNext/>
        <w:spacing w:after="120" w:line="240" w:lineRule="auto"/>
        <w:ind w:firstLine="284"/>
        <w:rPr>
          <w:rFonts w:ascii="Times New Roman" w:eastAsia="Calibri" w:hAnsi="Times New Roman" w:cs="Times New Roman"/>
          <w:bCs/>
          <w:sz w:val="24"/>
          <w:szCs w:val="24"/>
        </w:rPr>
      </w:pPr>
      <w:r>
        <w:rPr>
          <w:rFonts w:ascii="Times New Roman" w:hAnsi="Times New Roman"/>
          <w:bCs/>
          <w:sz w:val="24"/>
        </w:rPr>
        <w:t>2. za mechaniczny odbiór odpadów opakowaniowych po napojach:</w:t>
      </w:r>
    </w:p>
    <w:p w14:paraId="48DCC22B" w14:textId="5A0C08C8" w:rsidR="00016B16" w:rsidRPr="00D7697E" w:rsidRDefault="00306B53" w:rsidP="00D7697E">
      <w:pPr>
        <w:spacing w:after="120" w:line="240" w:lineRule="auto"/>
        <w:rPr>
          <w:rFonts w:ascii="Times New Roman" w:eastAsia="Calibri" w:hAnsi="Times New Roman" w:cs="Times New Roman"/>
          <w:bCs/>
          <w:sz w:val="24"/>
          <w:szCs w:val="24"/>
        </w:rPr>
      </w:pPr>
      <w:r>
        <w:rPr>
          <w:rFonts w:ascii="Times New Roman" w:hAnsi="Times New Roman"/>
          <w:sz w:val="24"/>
        </w:rPr>
        <w:t>–</w:t>
      </w:r>
      <w:r>
        <w:rPr>
          <w:rFonts w:ascii="Times New Roman" w:hAnsi="Times New Roman"/>
          <w:sz w:val="24"/>
        </w:rPr>
        <w:tab/>
        <w:t>0,14 HRK (w tym VAT) za jednostkę odpadów opakowaniowych w 2020 r.,</w:t>
      </w:r>
    </w:p>
    <w:p w14:paraId="5811C3BC" w14:textId="1AB9D10D" w:rsidR="00016B16" w:rsidRPr="00D7697E" w:rsidRDefault="00306B53" w:rsidP="00D7697E">
      <w:pPr>
        <w:spacing w:after="120" w:line="240" w:lineRule="auto"/>
        <w:rPr>
          <w:rFonts w:ascii="Times New Roman" w:eastAsia="Calibri" w:hAnsi="Times New Roman" w:cs="Times New Roman"/>
          <w:bCs/>
          <w:sz w:val="24"/>
          <w:szCs w:val="24"/>
        </w:rPr>
      </w:pPr>
      <w:r>
        <w:rPr>
          <w:rFonts w:ascii="Times New Roman" w:hAnsi="Times New Roman"/>
          <w:sz w:val="24"/>
        </w:rPr>
        <w:t>–</w:t>
      </w:r>
      <w:r>
        <w:rPr>
          <w:rFonts w:ascii="Times New Roman" w:hAnsi="Times New Roman"/>
          <w:sz w:val="24"/>
        </w:rPr>
        <w:tab/>
        <w:t>0,16 HRK (w tym VAT) za jednostkę odpadów opakowaniowych w 2021 r.,</w:t>
      </w:r>
    </w:p>
    <w:p w14:paraId="3C8EF484" w14:textId="6595A4E1" w:rsidR="00016B16" w:rsidRPr="00D7697E" w:rsidRDefault="00306B53" w:rsidP="00D7697E">
      <w:pPr>
        <w:spacing w:after="120" w:line="240" w:lineRule="auto"/>
        <w:jc w:val="both"/>
        <w:rPr>
          <w:rFonts w:ascii="Times New Roman" w:eastAsia="Calibri" w:hAnsi="Times New Roman" w:cs="Times New Roman"/>
          <w:bCs/>
          <w:sz w:val="24"/>
          <w:szCs w:val="24"/>
        </w:rPr>
      </w:pPr>
      <w:r>
        <w:rPr>
          <w:rFonts w:ascii="Times New Roman" w:hAnsi="Times New Roman"/>
          <w:sz w:val="24"/>
        </w:rPr>
        <w:t>–</w:t>
      </w:r>
      <w:r>
        <w:rPr>
          <w:rFonts w:ascii="Times New Roman" w:hAnsi="Times New Roman"/>
          <w:sz w:val="24"/>
        </w:rPr>
        <w:tab/>
        <w:t>0,18 HRK (w tym VAT) za jednostkę odpadów opakowaniowych w 2022 r. i później;</w:t>
      </w:r>
    </w:p>
    <w:p w14:paraId="53473109" w14:textId="38E33EAE" w:rsidR="00016B16" w:rsidRDefault="00016B16" w:rsidP="00016B16">
      <w:pPr>
        <w:spacing w:after="120" w:line="240" w:lineRule="auto"/>
        <w:ind w:firstLine="284"/>
        <w:jc w:val="both"/>
        <w:rPr>
          <w:rFonts w:ascii="Times New Roman" w:hAnsi="Times New Roman"/>
          <w:bCs/>
          <w:sz w:val="24"/>
        </w:rPr>
      </w:pPr>
      <w:r>
        <w:rPr>
          <w:rFonts w:ascii="Times New Roman" w:hAnsi="Times New Roman"/>
          <w:bCs/>
          <w:sz w:val="24"/>
        </w:rPr>
        <w:t>(5) Fundusz publikuje na swojej stronie internetowej wykaz sprzedawców i zakładów recyklingu zobowiązanych do odbioru odpadów opakowaniowych po napojach.”</w:t>
      </w:r>
    </w:p>
    <w:p w14:paraId="6658DEC7" w14:textId="77777777" w:rsidR="00D7697E" w:rsidRPr="00D7697E" w:rsidRDefault="00D7697E" w:rsidP="00016B16">
      <w:pPr>
        <w:spacing w:after="120" w:line="240" w:lineRule="auto"/>
        <w:ind w:firstLine="284"/>
        <w:jc w:val="both"/>
        <w:rPr>
          <w:rFonts w:ascii="Times New Roman" w:eastAsia="Calibri" w:hAnsi="Times New Roman" w:cs="Times New Roman"/>
          <w:bCs/>
          <w:sz w:val="24"/>
          <w:szCs w:val="24"/>
        </w:rPr>
      </w:pPr>
    </w:p>
    <w:p w14:paraId="7E2C4A00" w14:textId="77777777" w:rsidR="00FC52DF" w:rsidRDefault="00DC54F9" w:rsidP="00990420">
      <w:pPr>
        <w:keepNext/>
        <w:spacing w:before="100" w:beforeAutospacing="1" w:after="225" w:line="336" w:lineRule="atLeast"/>
        <w:jc w:val="center"/>
        <w:rPr>
          <w:rFonts w:ascii="Times New Roman" w:hAnsi="Times New Roman"/>
          <w:sz w:val="24"/>
        </w:rPr>
      </w:pPr>
      <w:r>
        <w:rPr>
          <w:rFonts w:ascii="Times New Roman" w:hAnsi="Times New Roman"/>
          <w:sz w:val="24"/>
        </w:rPr>
        <w:t>Artykuł 6</w:t>
      </w:r>
    </w:p>
    <w:p w14:paraId="6D31123D" w14:textId="00E8651E" w:rsidR="00DC54F9" w:rsidRPr="00990420" w:rsidRDefault="00FC52DF"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 xml:space="preserve">Artykuł 7 ust. 3 otrzymuje brzmienie: </w:t>
      </w:r>
    </w:p>
    <w:p w14:paraId="4CCF4C6D" w14:textId="3E0162F8" w:rsidR="003547DD" w:rsidRPr="00D7697E" w:rsidRDefault="00306B53" w:rsidP="003547DD">
      <w:pPr>
        <w:spacing w:before="100" w:beforeAutospacing="1" w:after="225" w:line="336" w:lineRule="atLeast"/>
        <w:jc w:val="both"/>
        <w:rPr>
          <w:rFonts w:ascii="Times New Roman" w:hAnsi="Times New Roman"/>
          <w:bCs/>
          <w:sz w:val="24"/>
        </w:rPr>
      </w:pPr>
      <w:r>
        <w:rPr>
          <w:rFonts w:ascii="Times New Roman" w:hAnsi="Times New Roman"/>
          <w:bCs/>
          <w:sz w:val="24"/>
        </w:rPr>
        <w:t>„(3) Opłata za gospodarowanie od jednostki produktu w odniesieniu do zarejestrowanych ilości wprowadzonych do obrotu opakowań na napoje wynosi 0,10 HRK za jednostkę opakowania, jeżeli napój jest sprzedawany w jednorazowych opakowaniach PET, Al/Fe i szklanych o pojemności wynoszącej co najmniej 0,2 l.”</w:t>
      </w:r>
    </w:p>
    <w:p w14:paraId="6C6DD392" w14:textId="371374BB" w:rsidR="00FC52DF" w:rsidRPr="00D7697E" w:rsidRDefault="00FC52DF" w:rsidP="003547DD">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bCs/>
          <w:sz w:val="24"/>
          <w:szCs w:val="24"/>
        </w:rPr>
        <w:t>Po ust. 3 dodaje się ust. 4 w brzmieniu:</w:t>
      </w:r>
    </w:p>
    <w:p w14:paraId="47B3D541" w14:textId="073A175B" w:rsidR="00D6051F" w:rsidRDefault="00D7697E" w:rsidP="00D6051F">
      <w:pPr>
        <w:spacing w:before="100" w:beforeAutospacing="1" w:after="225" w:line="336" w:lineRule="atLeast"/>
        <w:jc w:val="both"/>
        <w:rPr>
          <w:rFonts w:ascii="Times New Roman" w:hAnsi="Times New Roman"/>
          <w:bCs/>
          <w:sz w:val="24"/>
        </w:rPr>
      </w:pPr>
      <w:r>
        <w:rPr>
          <w:rFonts w:ascii="Times New Roman" w:hAnsi="Times New Roman"/>
          <w:bCs/>
          <w:sz w:val="24"/>
        </w:rPr>
        <w:t>„(4) W drodze odstępstwa od ust. 3 niniejszego artykułu opłata za gospodarowanie od jednostki produktu przeznaczonego na mleko i inne płynne przetwory mleczne wynosi 0,02 HRK.”</w:t>
      </w:r>
    </w:p>
    <w:p w14:paraId="6BEC612D" w14:textId="77777777" w:rsidR="00D7697E" w:rsidRPr="00D7697E" w:rsidRDefault="00D7697E" w:rsidP="00D6051F">
      <w:pPr>
        <w:spacing w:before="100" w:beforeAutospacing="1" w:after="225" w:line="336" w:lineRule="atLeast"/>
        <w:jc w:val="both"/>
        <w:rPr>
          <w:rFonts w:ascii="Times New Roman" w:eastAsia="Times New Roman" w:hAnsi="Times New Roman" w:cs="Times New Roman"/>
          <w:bCs/>
          <w:sz w:val="24"/>
          <w:szCs w:val="24"/>
        </w:rPr>
      </w:pPr>
    </w:p>
    <w:p w14:paraId="6AB91D65" w14:textId="735A4FCF" w:rsidR="00FC52DF" w:rsidRPr="00D15292" w:rsidRDefault="00FC52DF" w:rsidP="00FC52DF">
      <w:pPr>
        <w:keepNext/>
        <w:jc w:val="center"/>
        <w:rPr>
          <w:rFonts w:ascii="Times New Roman" w:hAnsi="Times New Roman" w:cs="Times New Roman"/>
          <w:sz w:val="24"/>
          <w:szCs w:val="24"/>
        </w:rPr>
      </w:pPr>
      <w:r>
        <w:rPr>
          <w:rFonts w:ascii="Times New Roman" w:hAnsi="Times New Roman"/>
          <w:sz w:val="24"/>
          <w:szCs w:val="24"/>
        </w:rPr>
        <w:t>PRZEPISY TYMCZASOWE I KOŃCOWE</w:t>
      </w:r>
    </w:p>
    <w:p w14:paraId="5AA9A6CC" w14:textId="77777777" w:rsidR="00FC52DF" w:rsidRPr="00D15292" w:rsidRDefault="00FC52DF" w:rsidP="00FC52DF">
      <w:pPr>
        <w:keepNext/>
        <w:spacing w:after="0"/>
        <w:jc w:val="center"/>
        <w:rPr>
          <w:rFonts w:ascii="Times New Roman" w:hAnsi="Times New Roman" w:cs="Times New Roman"/>
          <w:sz w:val="24"/>
          <w:szCs w:val="24"/>
        </w:rPr>
      </w:pPr>
    </w:p>
    <w:p w14:paraId="3970CAA8" w14:textId="307AF7B2" w:rsidR="00FC52DF" w:rsidRPr="00D15292" w:rsidRDefault="00FC52DF" w:rsidP="00FC52DF">
      <w:pPr>
        <w:keepNext/>
        <w:jc w:val="center"/>
        <w:rPr>
          <w:rFonts w:ascii="Times New Roman" w:hAnsi="Times New Roman" w:cs="Times New Roman"/>
          <w:sz w:val="24"/>
          <w:szCs w:val="24"/>
        </w:rPr>
      </w:pPr>
      <w:r>
        <w:rPr>
          <w:rFonts w:ascii="Times New Roman" w:hAnsi="Times New Roman"/>
          <w:sz w:val="24"/>
          <w:szCs w:val="24"/>
        </w:rPr>
        <w:t>Artykuł 7</w:t>
      </w:r>
    </w:p>
    <w:p w14:paraId="371B741C" w14:textId="5A9EA46C" w:rsidR="00FC52DF" w:rsidRDefault="00D63A74" w:rsidP="00D7697E">
      <w:pPr>
        <w:jc w:val="both"/>
        <w:rPr>
          <w:rFonts w:ascii="Times New Roman" w:hAnsi="Times New Roman"/>
          <w:sz w:val="24"/>
          <w:szCs w:val="24"/>
        </w:rPr>
      </w:pPr>
      <w:r>
        <w:rPr>
          <w:rFonts w:ascii="Times New Roman" w:hAnsi="Times New Roman"/>
          <w:sz w:val="24"/>
          <w:szCs w:val="24"/>
        </w:rPr>
        <w:t>Zwrot kaucji oraz opłatę za gospodarowanie od jednostki produktu za opakowanie po mleku i innym przetworze mlecznym oraz za opakowanie o objętości równej 0,2 l uiszcza się do 1 stycznia 2021 r.</w:t>
      </w:r>
    </w:p>
    <w:p w14:paraId="765F0666" w14:textId="77777777" w:rsidR="00212261" w:rsidRPr="00D15292" w:rsidRDefault="00212261" w:rsidP="00D7697E">
      <w:pPr>
        <w:jc w:val="both"/>
        <w:rPr>
          <w:rFonts w:ascii="Times New Roman" w:hAnsi="Times New Roman" w:cs="Times New Roman"/>
          <w:sz w:val="24"/>
          <w:szCs w:val="24"/>
        </w:rPr>
      </w:pPr>
    </w:p>
    <w:p w14:paraId="5908E86B"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lastRenderedPageBreak/>
        <w:t>Artykuł 8.</w:t>
      </w:r>
    </w:p>
    <w:p w14:paraId="45C9277D" w14:textId="14B9E7CB" w:rsidR="00D6051F" w:rsidRPr="00990420" w:rsidRDefault="00D6051F" w:rsidP="00D6051F">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sz w:val="24"/>
        </w:rPr>
        <w:t>Niniejsze rozporządzenie wchodzi w życie ósmego dnia po jego opublikowaniu w Dzienniku Urzędowym.</w:t>
      </w:r>
    </w:p>
    <w:p w14:paraId="50FCBF59" w14:textId="77777777"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p>
    <w:p w14:paraId="0B45AA7A" w14:textId="42DD3036"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Klasa: 022-03/20-03/02</w:t>
      </w:r>
    </w:p>
    <w:p w14:paraId="0AA9C870" w14:textId="2786CF1A"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Numer referencyjny: 50301-25</w:t>
      </w:r>
      <w:r>
        <w:rPr>
          <w:rFonts w:ascii="Times New Roman" w:hAnsi="Times New Roman"/>
          <w:sz w:val="24"/>
          <w:szCs w:val="24"/>
        </w:rPr>
        <w:t>/16-20-3</w:t>
      </w:r>
    </w:p>
    <w:p w14:paraId="2E7B3A6B" w14:textId="241DA04D"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Zagrzeb, 16 stycznia 2020 r.</w:t>
      </w:r>
    </w:p>
    <w:p w14:paraId="487CEA85" w14:textId="77777777" w:rsidR="009D4D14" w:rsidRPr="00990420" w:rsidRDefault="009D4D14" w:rsidP="00D55222">
      <w:pPr>
        <w:spacing w:before="100" w:beforeAutospacing="1" w:line="336" w:lineRule="atLeast"/>
        <w:ind w:left="6480"/>
        <w:jc w:val="center"/>
        <w:rPr>
          <w:rFonts w:ascii="Times New Roman" w:eastAsia="Times New Roman" w:hAnsi="Times New Roman" w:cs="Times New Roman"/>
          <w:sz w:val="24"/>
          <w:szCs w:val="24"/>
        </w:rPr>
      </w:pPr>
      <w:r>
        <w:rPr>
          <w:rFonts w:ascii="Times New Roman" w:hAnsi="Times New Roman"/>
          <w:sz w:val="24"/>
        </w:rPr>
        <w:t>Premier</w:t>
      </w:r>
    </w:p>
    <w:p w14:paraId="7B3DCD60" w14:textId="54255FE9" w:rsidR="00DC54F9" w:rsidRPr="00FC52DF" w:rsidRDefault="00FC52DF" w:rsidP="00D55222">
      <w:pPr>
        <w:spacing w:before="100" w:beforeAutospacing="1" w:line="336" w:lineRule="atLeast"/>
        <w:ind w:left="6480"/>
        <w:jc w:val="center"/>
        <w:rPr>
          <w:rFonts w:ascii="Times New Roman" w:eastAsia="Times New Roman" w:hAnsi="Times New Roman" w:cs="Times New Roman"/>
          <w:bCs/>
          <w:sz w:val="24"/>
          <w:szCs w:val="24"/>
        </w:rPr>
      </w:pPr>
      <w:proofErr w:type="spellStart"/>
      <w:r>
        <w:rPr>
          <w:rFonts w:ascii="Times New Roman" w:hAnsi="Times New Roman"/>
          <w:b/>
          <w:sz w:val="24"/>
          <w:szCs w:val="24"/>
        </w:rPr>
        <w:t>Andrej</w:t>
      </w:r>
      <w:proofErr w:type="spellEnd"/>
      <w:r>
        <w:rPr>
          <w:rFonts w:ascii="Times New Roman" w:hAnsi="Times New Roman"/>
          <w:b/>
          <w:sz w:val="24"/>
          <w:szCs w:val="24"/>
        </w:rPr>
        <w:t xml:space="preserve"> </w:t>
      </w:r>
      <w:proofErr w:type="spellStart"/>
      <w:r>
        <w:rPr>
          <w:rFonts w:ascii="Times New Roman" w:hAnsi="Times New Roman"/>
          <w:b/>
          <w:sz w:val="24"/>
          <w:szCs w:val="24"/>
        </w:rPr>
        <w:t>Plenković</w:t>
      </w:r>
      <w:proofErr w:type="spellEnd"/>
      <w:r>
        <w:rPr>
          <w:rFonts w:ascii="Times New Roman" w:hAnsi="Times New Roman"/>
          <w:b/>
          <w:sz w:val="24"/>
          <w:szCs w:val="24"/>
        </w:rPr>
        <w:t>,</w:t>
      </w:r>
      <w:r>
        <w:rPr>
          <w:rFonts w:ascii="Times New Roman" w:hAnsi="Times New Roman"/>
          <w:sz w:val="24"/>
        </w:rPr>
        <w:t xml:space="preserve"> , </w:t>
      </w:r>
      <w:proofErr w:type="spellStart"/>
      <w:r>
        <w:rPr>
          <w:rFonts w:ascii="Times New Roman" w:hAnsi="Times New Roman"/>
          <w:sz w:val="24"/>
        </w:rPr>
        <w:t>m.p</w:t>
      </w:r>
      <w:proofErr w:type="spellEnd"/>
      <w:r>
        <w:rPr>
          <w:rFonts w:ascii="Times New Roman" w:hAnsi="Times New Roman"/>
          <w:sz w:val="24"/>
        </w:rPr>
        <w:t>.</w:t>
      </w:r>
    </w:p>
    <w:sectPr w:rsidR="00DC54F9" w:rsidRPr="00FC52DF" w:rsidSect="009D4D14">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A9EF" w16cex:dateUtc="2020-07-1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B401F2" w16cid:durableId="22B5A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9CD88" w14:textId="77777777" w:rsidR="002840DD" w:rsidRDefault="002840DD" w:rsidP="00D6051F">
      <w:pPr>
        <w:spacing w:after="0" w:line="240" w:lineRule="auto"/>
      </w:pPr>
      <w:r>
        <w:separator/>
      </w:r>
    </w:p>
  </w:endnote>
  <w:endnote w:type="continuationSeparator" w:id="0">
    <w:p w14:paraId="05D67E36" w14:textId="77777777" w:rsidR="002840DD" w:rsidRDefault="002840DD"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96416" w14:textId="77777777" w:rsidR="002840DD" w:rsidRDefault="002840DD" w:rsidP="00D6051F">
      <w:pPr>
        <w:spacing w:after="0" w:line="240" w:lineRule="auto"/>
      </w:pPr>
      <w:r>
        <w:separator/>
      </w:r>
    </w:p>
  </w:footnote>
  <w:footnote w:type="continuationSeparator" w:id="0">
    <w:p w14:paraId="29D17E19" w14:textId="77777777" w:rsidR="002840DD" w:rsidRDefault="002840DD"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7E9A" w14:textId="77777777"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016B16"/>
    <w:rsid w:val="00025B85"/>
    <w:rsid w:val="000813ED"/>
    <w:rsid w:val="00092C52"/>
    <w:rsid w:val="000E3308"/>
    <w:rsid w:val="001074BD"/>
    <w:rsid w:val="001615B3"/>
    <w:rsid w:val="001A0B7B"/>
    <w:rsid w:val="001A2F75"/>
    <w:rsid w:val="0020403B"/>
    <w:rsid w:val="00212261"/>
    <w:rsid w:val="002840DD"/>
    <w:rsid w:val="002F177B"/>
    <w:rsid w:val="00300187"/>
    <w:rsid w:val="00306B53"/>
    <w:rsid w:val="003158D1"/>
    <w:rsid w:val="00322203"/>
    <w:rsid w:val="00331551"/>
    <w:rsid w:val="00334FB1"/>
    <w:rsid w:val="0034774E"/>
    <w:rsid w:val="003547DD"/>
    <w:rsid w:val="003674E1"/>
    <w:rsid w:val="00372B30"/>
    <w:rsid w:val="00374105"/>
    <w:rsid w:val="003E2C83"/>
    <w:rsid w:val="003E2D6B"/>
    <w:rsid w:val="003F6229"/>
    <w:rsid w:val="00433673"/>
    <w:rsid w:val="0047684D"/>
    <w:rsid w:val="004D3C41"/>
    <w:rsid w:val="00532AB7"/>
    <w:rsid w:val="005731B6"/>
    <w:rsid w:val="0059630B"/>
    <w:rsid w:val="005F08B6"/>
    <w:rsid w:val="005F77A3"/>
    <w:rsid w:val="006475AC"/>
    <w:rsid w:val="00665E35"/>
    <w:rsid w:val="006A1C3F"/>
    <w:rsid w:val="00704747"/>
    <w:rsid w:val="00881EF0"/>
    <w:rsid w:val="008C58AD"/>
    <w:rsid w:val="008D2BF7"/>
    <w:rsid w:val="009246D2"/>
    <w:rsid w:val="00934610"/>
    <w:rsid w:val="00990420"/>
    <w:rsid w:val="00990880"/>
    <w:rsid w:val="009D4D14"/>
    <w:rsid w:val="00A53462"/>
    <w:rsid w:val="00A7202A"/>
    <w:rsid w:val="00AC1897"/>
    <w:rsid w:val="00AC6928"/>
    <w:rsid w:val="00B02E82"/>
    <w:rsid w:val="00B75DCA"/>
    <w:rsid w:val="00C27BB2"/>
    <w:rsid w:val="00C423D1"/>
    <w:rsid w:val="00CA20C2"/>
    <w:rsid w:val="00D024D1"/>
    <w:rsid w:val="00D05F14"/>
    <w:rsid w:val="00D55222"/>
    <w:rsid w:val="00D6051F"/>
    <w:rsid w:val="00D63A74"/>
    <w:rsid w:val="00D7697E"/>
    <w:rsid w:val="00D850E7"/>
    <w:rsid w:val="00DC54F9"/>
    <w:rsid w:val="00DD385E"/>
    <w:rsid w:val="00E73A64"/>
    <w:rsid w:val="00EA1710"/>
    <w:rsid w:val="00EB77C3"/>
    <w:rsid w:val="00ED1337"/>
    <w:rsid w:val="00F65CC1"/>
    <w:rsid w:val="00F82E1A"/>
    <w:rsid w:val="00FC52DF"/>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B88F5"/>
  <w15:docId w15:val="{65C389AF-2F43-4EFC-9057-86671AD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 w:type="character" w:styleId="CommentReference">
    <w:name w:val="annotation reference"/>
    <w:basedOn w:val="DefaultParagraphFont"/>
    <w:uiPriority w:val="99"/>
    <w:semiHidden/>
    <w:unhideWhenUsed/>
    <w:rsid w:val="005731B6"/>
    <w:rPr>
      <w:sz w:val="16"/>
      <w:szCs w:val="16"/>
    </w:rPr>
  </w:style>
  <w:style w:type="paragraph" w:styleId="CommentText">
    <w:name w:val="annotation text"/>
    <w:basedOn w:val="Normal"/>
    <w:link w:val="CommentTextChar"/>
    <w:uiPriority w:val="99"/>
    <w:semiHidden/>
    <w:unhideWhenUsed/>
    <w:rsid w:val="005731B6"/>
    <w:pPr>
      <w:spacing w:line="240" w:lineRule="auto"/>
    </w:pPr>
    <w:rPr>
      <w:sz w:val="20"/>
      <w:szCs w:val="20"/>
    </w:rPr>
  </w:style>
  <w:style w:type="character" w:customStyle="1" w:styleId="CommentTextChar">
    <w:name w:val="Comment Text Char"/>
    <w:basedOn w:val="DefaultParagraphFont"/>
    <w:link w:val="CommentText"/>
    <w:uiPriority w:val="99"/>
    <w:semiHidden/>
    <w:rsid w:val="005731B6"/>
    <w:rPr>
      <w:sz w:val="20"/>
      <w:szCs w:val="20"/>
    </w:rPr>
  </w:style>
  <w:style w:type="paragraph" w:styleId="CommentSubject">
    <w:name w:val="annotation subject"/>
    <w:basedOn w:val="CommentText"/>
    <w:next w:val="CommentText"/>
    <w:link w:val="CommentSubjectChar"/>
    <w:uiPriority w:val="99"/>
    <w:semiHidden/>
    <w:unhideWhenUsed/>
    <w:rsid w:val="005731B6"/>
    <w:rPr>
      <w:b/>
      <w:bCs/>
    </w:rPr>
  </w:style>
  <w:style w:type="character" w:customStyle="1" w:styleId="CommentSubjectChar">
    <w:name w:val="Comment Subject Char"/>
    <w:basedOn w:val="CommentTextChar"/>
    <w:link w:val="CommentSubject"/>
    <w:uiPriority w:val="99"/>
    <w:semiHidden/>
    <w:rsid w:val="0057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Ke, Tingting</cp:lastModifiedBy>
  <cp:revision>7</cp:revision>
  <dcterms:created xsi:type="dcterms:W3CDTF">2020-07-16T20:13:00Z</dcterms:created>
  <dcterms:modified xsi:type="dcterms:W3CDTF">2020-07-21T08:34:00Z</dcterms:modified>
</cp:coreProperties>
</file>