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RO-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Legea din 21 martie 2017 privind ambalajele și deșeurile de ambalaje</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Text coordonat</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Articolul 1 Obiective</w:t>
      </w:r>
    </w:p>
    <w:p w14:paraId="20EDAC04" w14:textId="77777777" w:rsidR="000147DB" w:rsidRPr="0013762D" w:rsidRDefault="000147DB" w:rsidP="000147DB">
      <w:pPr>
        <w:spacing w:beforeLines="100" w:before="240" w:after="240" w:line="240" w:lineRule="auto"/>
        <w:jc w:val="both"/>
        <w:rPr>
          <w:rFonts w:eastAsia="Calibri" w:cs="TimesLTStd-Roman"/>
          <w:color w:val="FF0000"/>
          <w:spacing w:val="-4"/>
          <w:sz w:val="24"/>
          <w:szCs w:val="24"/>
        </w:rPr>
      </w:pPr>
      <w:r w:rsidRPr="0013762D">
        <w:rPr>
          <w:color w:val="FF0000"/>
          <w:spacing w:val="-4"/>
          <w:sz w:val="24"/>
          <w:szCs w:val="24"/>
        </w:rPr>
        <w:t> Prezenta lege stabilește măsurile destinate, ca prioritate, prevenirii producerii de deșeuri de ambalaje și, ca principii fundamentale suplimentare, reutilizării și pregătirii pentru utilizare a ambalajelor, reciclării și altor forme de valorificare a deșeurilor de ambalaje și, în consecință, reducerii eliminării finale a unor astfel de deșeuri, pentru a contribui la tranziția către o economie circulară.</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Articolul 2 </w:t>
      </w:r>
      <w:r>
        <w:rPr>
          <w:b/>
          <w:bCs/>
          <w:iCs/>
        </w:rPr>
        <w:t>Domeniu de aplicare</w:t>
      </w:r>
    </w:p>
    <w:p w14:paraId="10EC3FDA" w14:textId="77777777" w:rsidR="000147DB" w:rsidRPr="003E7524" w:rsidRDefault="000147DB" w:rsidP="000147DB">
      <w:pPr>
        <w:spacing w:after="0" w:line="240" w:lineRule="auto"/>
        <w:jc w:val="both"/>
        <w:rPr>
          <w:rFonts w:eastAsia="Times New Roman" w:cs="Arial"/>
        </w:rPr>
      </w:pPr>
      <w:r>
        <w:t>Prezenta lege are ca obiect toate ambalajele introduse pe piața din Luxemburg și toate deșeurile de ambalaje, fie că ele sunt utilizate, fie că provin din industrie, comerț, birouri, magazine, servicii, gospodărie sau din orice alt domeniu, indiferent de materialul utilizat.</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Articolul 3 Definiții</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În sensul prezentei legi, se aplică următoarele definiții:</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„agenți economici”, în ceea ce privește ambalajele, înseamnă furnizorii de materiale de ambalaj, producătorii și transformatorii de ambalaje, manipulatorii și utilizatorii, importatorii, comercianții și distribuitorii, autoritățile și organizațiile publice;</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„acord de mediu” înseamnă orice acord oficial încheiat între ministrul mediului (denumit în continuare „ministrul”) și responsabilii pentru ambalaje sau organismele autorizate, care trebuie să fie deschis tuturor agenților economici care doresc să întrunească condițiile prevăzute în acord pentru a contribui la realizarea obiectivelor specificate la articolul 1;</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„ambalare” înseamnă actul de a plasa un produs alimentar într-un ambalaj sau într-un recipient care intră în contact direct cu respectivul produs; ambalajul sau recipientul în cauză;</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„deșeuri de ambalaje” înseamnă orice ambalaj sau material de ambalaj, care se încadrează în definiția deșeurilor stabilită la articolul 4 din Legea din 21 martie 2012 privind deșeurile și resursele (denumită în continuare „Legea din 21 martie 2012”), astfel cum a fost modificată, cu excepția reziduurilor din producție;</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„deșeuri de ambalaje menajere” înseamnă deșeuri de ambalaje care includ deșeuri urbane menajere în sensul Legii din 21 martie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„deșeuri de ambalaje nemenajere” înseamnă deșeuri de ambalaje care includ deșeuri urbane nemenajere în sensul Legii din 21 martie 2012”;</w:t>
      </w:r>
    </w:p>
    <w:p w14:paraId="726D0591" w14:textId="77777777" w:rsidR="000147DB" w:rsidRPr="0013762D"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13762D">
        <w:rPr>
          <w:color w:val="FF0000"/>
          <w:spacing w:val="-4"/>
          <w:sz w:val="24"/>
          <w:szCs w:val="24"/>
        </w:rPr>
        <w:lastRenderedPageBreak/>
        <w:t>7. „ambalaj” înseamnă orice produs realizat din materiale de orice natură, destinat să conțină și să protejeze anumite mărfuri, de la materii prime la produse finite, să permită manevrarea și transportul acestora de la producător la consumator sau utilizator și să asigure prezentare acestora.</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Toate articolele de unică folosință, utilizate în aceleași scopuri, trebuie considerate ambalaje.</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Ambalajul constă numai din:</w:t>
      </w:r>
    </w:p>
    <w:p w14:paraId="5E80CA94" w14:textId="77777777" w:rsidR="000147DB" w:rsidRPr="0013762D"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13762D">
        <w:rPr>
          <w:color w:val="FF0000"/>
          <w:spacing w:val="-4"/>
          <w:sz w:val="24"/>
          <w:szCs w:val="24"/>
        </w:rPr>
        <w:t>(a) ambalaj de vânzare sau ambalaj primar, și anume ambalajul conceput pentru a constitui o unitate de vânzare pentru utilizatorul final sau pentru consumator la punctul de vânzare;</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ambalaj grupat sau ambalaj secundar, și anume ambalajul conceput pentru a constitui la punctul de vânzare o grupare a unui anumit număr de unități de vânzare, indiferent dacă acestea sunt vândute ca atare utilizatorului final sau consumatorului sau dacă servesc numai ca mijloc de umplere a rafturilor în punctul de vânzare; acesta poate fi înlăturat din produs fără a-i afecta caracteristicile;</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ambalaj pentru transport sau ambalaj terțiar, și anume ambalajul conceput pentru a facilita manevrarea și transportul unui număr de unități de vânzare sau ambalaje grupate pentru a evita manevrarea lor fizică și deteriorarea lor în timpul transportului. Ambalajul pentru transport nu include containerele pentru transport rutier, feroviar, naval și aerian.</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Definiția conceptului de „ambalaj” trebuie să se bazeze, de asemenea, pe următoarele criterii:</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un articol este considerat ambalaj în cazul în care corespunde definiției de mai sus, fără a aduce atingere altor funcții pe care ambalajul le-ar putea avea și, cu excepția cazului în care articolul este parte integrantă a unui produs și trebuie să conțină, să susțină sau să mențină acest produs pe tot parcursul ciclului său de viață și ca toate elementele să fie destinate a fi utilizate, consumate sau eliminate împreună;</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articolele concepute pentru a fi umplute la punctul de vânzare și articolele de unică folosință vândute, umplute sau concepute pentru a fi umplute la punctul de vânzare sunt considerate ambalaje în măsura în care joacă un rol în ambalare și constituie ambalaje pentru servit;</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componentele de ambalaj și elementele auxiliare integrate în ambalaj sunt considerate părți ale ambalajului în care sunt integrate. Elementele auxiliare atașate direct sau fixate pe un produs și care joacă un rol în ambalare sunt considerate ambalaje, cu excepția cazului în care fac parte integrantă dintr-un produs și toate elementele sunt destinate a fi consumate sau eliminate împreună.</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13762D"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13762D">
        <w:rPr>
          <w:color w:val="FF0000"/>
          <w:spacing w:val="-4"/>
          <w:sz w:val="24"/>
          <w:szCs w:val="24"/>
        </w:rPr>
        <w:t>Articolele enumerate în anexa I la Directiva 94/62/CE a Parlamentului European și a Consiliului din 20 decembrie 1994 privind ambalajele și deșeurile de ambalaje, astfel cum a fost modificată prin actele delegate ale Comisiei Europene adoptate în conformitate cu articolul 19 alineatul (2) și cu articolul 21a din directiva menționată anterior, sunt exemple care ilustrează aplicarea acestor criterii;</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8. „ambalaj reutilizabil” înseamnă un ambalaj care a fost conceput, proiectat și introdus pe piață pentru a realiza, în cadrul ciclului său de viață, mai multe cicluri sau rotații, fiind reumplut sau reutilizat în același scop pentru care a fost conceput;</w:t>
      </w:r>
    </w:p>
    <w:p w14:paraId="01840540" w14:textId="77777777" w:rsidR="000147DB" w:rsidRPr="0013762D"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13762D">
        <w:rPr>
          <w:color w:val="FF0000"/>
          <w:spacing w:val="-4"/>
          <w:sz w:val="24"/>
          <w:szCs w:val="24"/>
        </w:rPr>
        <w:lastRenderedPageBreak/>
        <w:t>9. „ambalaj compozit” înseamnă un ambalaj realizat din două sau mai multe straturi de materiale diferite care nu pot fi separate manual, formând o singură unitate integrală, constituită dintr-un recipient interior și un înveliș exterior, care este umplută, depozitată, transportată și golită ca atare;</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„gestionare centralizată” înseamnă sistemul prin care un organism autorizat își asumă responsabilitatea deșeurilor de ambalaje de la un punct de colectare, prin contribuție voluntară, în vederea reciclării;</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„gestionarea deșeurilor de ambalaje” înseamnă gestionarea deșeurilor, astfel cum este definită la articolul 4 din Legea din 21 martie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„material de ambalaj” înseamnă orice material simplu sau compus de origine naturală sau artificială care constituie un ambalaj;</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„punere la dispoziție pe piață” înseamnă furnizarea unui produs destinat distribuirii, consumului sau utilizării pe piața din Luxemburg în cadrul unei activități comerciale, cu titlu oneros sau gratuit;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14. „introducere pe piață” înseamnă punerea la dispoziție pentru prima dată a unui produs pe piața din Luxemburg;</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„organism autorizat” înseamnă persoana juridică autorizată în conformitate cu Legea din 21 martie 2012, care preia obligațiile privind răspunderea extinsă a producătorilor;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„plastic” înseamnă un polimer în sensul articolului 3 punctul 5 din Regulamentul (CE) nr. 1907/2006 al Parlamentului European și al Consiliului din 18 decembrie 2006 privind înregistrarea, evaluarea, autorizarea și restricționarea substanțelor chimice (REACH), de înființare a Agenției Europene pentru Produse Chimice, de modificare a Directivei 1999/45/CE și de abrogare a Regulamentului (CEE) nr. 793/93 al Consiliului și a Regulamentului (CE) nr. 1488/94 al Comisiei, precum și a Directivei 76/769/CEE a Consiliului și a Directivelor 91/155/CEE, 93/67/CEE, 93/105/CE și 2000/21/CE ale Comisiei, la care se pot adăuga aditivi sau alte substanțe și care este capabil să funcționeze ca principală componentă structurală a pungilor de transport;</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17. „reciclare organică” înseamnă tratarea aerobă (compostare) sau anaerobă (biometanizare), în condiții controlate și utilizând microorganisme, a părților biodegradabile ale deșeurilor de ambalaje, care produce reziduuri organice stabilizate sau metan. Rampa de gunoi nu este considerată o formă de reciclare organică;</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„responsabil pentru ambalaje” înseamnă o persoană fizică sau juridică care este stabilită sau care nu este stabilită în Marele Ducat al Luxemburgului și care, în calitate profesională, introduce produse ambalate pe piața din Luxemburg, indiferent de tehnica de vânzare utilizată, inclusiv în baza unor contracte la distanță, astfel cum sunt definite la articolul L.222-1 din Codul consumului.</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În ceea ce privește ambalajele pentru servit, responsabil pentru ambalaje este considerată o persoană care, în calitate profesională și în scopul introducerii pe piața din Luxemburg, produce sau importă ambalaje pentru servit;</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„pungi de transport din plastic” înseamnă pungi de transport din plastic, cu sau fără mâner, care sunt furnizate consumatorilor la punctele de vânzare de bunuri sau de produse;</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„pungi de transport din plastic subțire” înseamnă pungi de transport din plastic cu grosimea peretelui mai mică de 50 de microni;</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„pungi de transport din plastic foarte subțire” înseamnă pungi de transport din plastic cu grosimea peretelui mai mică de 15 microni,</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care sunt necesare din motive de igienă sau care sunt utilizate ca ambalaje primare pentru produsele alimentare în vrac, atunci când acest lucru contribuie la prevenirea risipei de alimente;</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„pungi de transport din plastic oxodegradabile” înseamnă pungi de transport fabricate din materiale plastice care includ aditivi care catalizează fragmentarea materialelor plastice în microfragmente;</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„sistem de returnare a garanției” înseamnă sistemul de returnare prin care cumpărătorul plătește o sumă de bani care îi este returnată atunci când ambalajul utilizat este returnat;</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„cota de piață” înseamnă procentajul, pentru o anumită perioadă, de ambalaje pentru produse alimentare lichide, care conțin în numărător volumul de lichide alimentare introduse pe piață, ambalate în ambalaje reutilizabile și consumate pe teritoriul național, iar în numitor, volumul total de lichide alimentare introduse pe piață și consumate pe teritoriul național;</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„taxă de reciclare” înseamnă procentajul, pentru o anumită perioadă, de deșeuri de ambalaje, care includ în numărător masa deșeurilor de ambalaje efectiv reciclate, iar în numitor, masa totală a ambalajelor valorificabile introduse pe piața din Luxemburg de către un responsabil pentru ambalaje și consumate pe teritoriul național.</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Această definiție nu include ambalajele care fac obiectul reutilizării în sensul prezentei legi;</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„taxă de valorificare” înseamnă procentajul, pentru o anumită perioadă, de deșeuri de ambalaje, care includ în numărător masa deșeurilor de ambalaje efectiv valorificate, iar în numitor, masa totală a ambalajelor valorificabile introduse pe piața din Luxemburg de către un responsabil pentru ambalaje și consumate pe teritoriul național.</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Această definiție nu include ambalajele care fac obiectul reutilizării în sensul prezentei legi;</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„recuperarea energiei” înseamnă utilizarea deșeurilor de ambalaje combustibile ca mijloc de generare a energiei prin incinerare directă, cu sau fără alte deșeuri, însă cu recuperare de căldură;</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Această definiție nu include ambalajele care fac obiectul reutilizării în sensul prezentei legi.</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Se aplică definițiile termenilor „deșeuri”, „deșeuri urbane”, „deșeuri urbane menajere”, „deșeuri urbane nemenajere”, „gestionarea deșeurilor”, „colectare”, „colectare separată”, „prevenire”, „reutilizare”, „pregătire pentru reutilizare”, „prelucrare”, „valorificare”, „reciclare”, „reciclare de înaltă calitate”, „eliminare”, „centru de resurse” și „schemă de răspundere extinsă a producătorilor” prevăzute la articolul 4 din Legea din 21 martie 2012.</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iCs/>
        </w:rPr>
        <w:t>Articolul 4 Prevenire și reutilizare și acorduri de mediu</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13762D" w:rsidRDefault="000147DB" w:rsidP="000147DB">
      <w:pPr>
        <w:spacing w:beforeLines="100" w:before="240" w:after="240" w:line="240" w:lineRule="auto"/>
        <w:jc w:val="both"/>
        <w:rPr>
          <w:rFonts w:eastAsia="Calibri" w:cs="TimesNewRoman"/>
          <w:color w:val="FF0000"/>
          <w:spacing w:val="-4"/>
          <w:sz w:val="24"/>
          <w:szCs w:val="24"/>
        </w:rPr>
      </w:pPr>
      <w:r w:rsidRPr="0013762D">
        <w:rPr>
          <w:color w:val="FF0000"/>
          <w:spacing w:val="-4"/>
          <w:sz w:val="24"/>
          <w:szCs w:val="24"/>
        </w:rPr>
        <w:t>În plus față de măsurile destinate prevenirii producerii de deșeuri de ambalaje, adoptate în conformitate cu articolul 9, și fără a aduce atingere dispozițiilor de la alineatul (2), ministrul poate încheia acorduri de mediu în conformitate cu obiectivele prevăzute la articolul 1 și care vizează, în principal, reducerea impactului ambalajelor asupra mediului și prevenirea producerii de deșeuri de ambalaje. Aceste acorduri pot prevedea campanii de informare și de sensibilizare a publicului.</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lastRenderedPageBreak/>
        <w:t>În ceea ce privește producerea de ambalaje și de alte produse, prin acordurile de mediu se poate încuraja utilizarea de materiale provenite din deșeuri de ambalaje reciclate prin îmbunătățirea condițiilor de pe piață pentru aceste materiale.</w:t>
      </w:r>
    </w:p>
    <w:p w14:paraId="4FAEAC4C" w14:textId="77777777" w:rsidR="000147DB" w:rsidRPr="003E7524" w:rsidRDefault="000147DB" w:rsidP="000147DB">
      <w:pPr>
        <w:spacing w:after="0" w:line="240" w:lineRule="auto"/>
        <w:jc w:val="both"/>
        <w:rPr>
          <w:rFonts w:eastAsia="Times New Roman" w:cs="Arial"/>
        </w:rPr>
      </w:pPr>
      <w:r>
        <w:t>În ceea ce privește ambalajele pentru lichide alimentare și alte produse, acordurile de mediu pot stabili condițiile și modalitățile de promovare a producerii și a introducerii pe piață de ambalaje reutilizabile și pot viza obiectivele referitoare la cotele de piață. Prezenta lege nu aduce atingere menținerii sau instituirii unor scheme care să garanteze reutilizarea ambalajelor, sub forma unui sistem de returnare a garanției sau sub o altă formă adecvată și în conformitate cu obiectivele prevăzute la articolul 1.</w:t>
      </w:r>
    </w:p>
    <w:p w14:paraId="7B14AF7B" w14:textId="77777777" w:rsidR="000147DB" w:rsidRPr="003E7524" w:rsidRDefault="000147DB" w:rsidP="000147DB">
      <w:pPr>
        <w:spacing w:after="0" w:line="240" w:lineRule="auto"/>
        <w:jc w:val="both"/>
        <w:rPr>
          <w:rFonts w:eastAsia="Times New Roman" w:cs="Arial"/>
        </w:rPr>
      </w:pPr>
      <w:r>
        <w:t>(2) Alte măsuri preventive, inclusiv studii și proiecte-pilot, pot fi stabilite prin planul național de gestionare a deșeurilor și, după caz, printr-un plan specific în conformitate cu Legea din 21 martie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t xml:space="preserve">Articolul 5 Reducerea de ambalaje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Pentru a obține o reducere susținută a consumului de ambalaje pe teritoriul Luxemburgului:</w:t>
      </w:r>
    </w:p>
    <w:p w14:paraId="1921772D" w14:textId="2F6CC734"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1.</w:t>
      </w:r>
      <w:r>
        <w:rPr>
          <w:color w:val="FF0000"/>
          <w:sz w:val="24"/>
          <w:szCs w:val="24"/>
        </w:rPr>
        <w:tab/>
        <w:t>(i) începând cu 1 ianuarie 2022, orice magazin de vânzare cu amănuntul care expune spre vânzare fructele și legumele proaspete enumerate în anexa III, inclusiv fructe și legume decojite sau tăiate, trebuie să le expună fără ambalaje fabricate în întregime sau parțial din materiale plastice. Această obligație nu se aplică în cazul fructelor și legumelor ambalate în loturi cu o greutate de minimum 1,5 kilograme;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nivelul consumului anual de pungi de transport din plastic subțire nu trebuie să depășească nouăzeci de bucăți de pungi de transport pe persoană la 31 decembrie 2019 și patruzeci de bucăți de persoană la 31 decembrie 2025. Această obligație nu include pungile de transport din plastic foarte subțire în sensul articolului 3 punctul 5;</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nicio pungă de transport din plastic nu este furnizată gratuit la punctele de vânzare pentru bunuri sau produse. Această obligație nu include pungile de transport din plastic foarte subțire în sensul articolului 3 punctul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următoarele ambalaje pentru servit nu pot fi furnizate gratuit la punctele de vânzare de bunuri sau de produse începând cu următoarele date: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1 ianuarie 2023, în cazul pungilor de transport, indiferent de materialul din care sunt realizate;</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ianuarie 2024, în cazul ambalajelor pentru servit care constituie produse de unică folosință prevăzute în partea A din anexa la Legea din ... privind evaluarea impactului anumitor produse din plastic asupra mediului, indiferent de materialele din care sunt realizate;</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1 ianuarie 2025, în cazul oricărui tip de ambalaj pentru servit.</w:t>
      </w:r>
    </w:p>
    <w:p w14:paraId="01699BD2" w14:textId="77777777" w:rsidR="000147DB" w:rsidRPr="0013762D" w:rsidRDefault="000147DB" w:rsidP="000147DB">
      <w:pPr>
        <w:spacing w:beforeLines="100" w:before="240" w:after="240" w:line="240" w:lineRule="auto"/>
        <w:jc w:val="both"/>
        <w:rPr>
          <w:rFonts w:eastAsia="Calibri" w:cstheme="minorHAnsi"/>
          <w:bCs/>
          <w:color w:val="FF0000"/>
          <w:spacing w:val="-6"/>
          <w:sz w:val="24"/>
          <w:szCs w:val="24"/>
        </w:rPr>
      </w:pPr>
      <w:r w:rsidRPr="0013762D">
        <w:rPr>
          <w:color w:val="FF0000"/>
          <w:spacing w:val="-6"/>
          <w:sz w:val="24"/>
          <w:szCs w:val="24"/>
        </w:rPr>
        <w:lastRenderedPageBreak/>
        <w:t>(2) Produsele prevăzute la alineatul (1) punctele 3 și 4 trebuie să aibă un preț descurajant, afișat separat și vizibil la punctul de vânzare și pe factură.</w:t>
      </w:r>
      <w:r w:rsidRPr="0013762D">
        <w:rPr>
          <w:bCs/>
          <w:color w:val="FF0000"/>
          <w:spacing w:val="-6"/>
          <w:sz w:val="24"/>
          <w:szCs w:val="24"/>
        </w:rPr>
        <w:t xml:space="preserve"> Prețul minim poate fi stabilit printr-un acord de mediu.</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Articolul 5</w:t>
      </w:r>
      <w:r>
        <w:rPr>
          <w:i/>
          <w:color w:val="FF0000"/>
          <w:sz w:val="24"/>
          <w:szCs w:val="24"/>
          <w:u w:val="single"/>
        </w:rPr>
        <w:t>a</w:t>
      </w:r>
      <w:r>
        <w:rPr>
          <w:color w:val="FF0000"/>
          <w:sz w:val="24"/>
          <w:szCs w:val="24"/>
          <w:u w:val="single"/>
        </w:rPr>
        <w:t xml:space="preserve"> Reutilizare </w:t>
      </w:r>
    </w:p>
    <w:p w14:paraId="163598FA" w14:textId="77777777" w:rsidR="000147DB" w:rsidRPr="003E7524" w:rsidRDefault="000147DB" w:rsidP="000147DB">
      <w:pPr>
        <w:jc w:val="both"/>
        <w:rPr>
          <w:color w:val="FF0000"/>
          <w:sz w:val="24"/>
        </w:rPr>
      </w:pPr>
      <w:r>
        <w:rPr>
          <w:color w:val="FF0000"/>
          <w:sz w:val="24"/>
        </w:rPr>
        <w:t>În conformitate cu ierarhia deșeurilor stabilită la articolul 9 din Legea din 21 martie 2012, ministrul poate încheia acorduri de mediu pentru a încuraja creșterea cantității de ambalaje reutilizabile introduse pe piață și a sistemelor ecologice de reutilizare a ambalajelor.</w:t>
      </w:r>
    </w:p>
    <w:p w14:paraId="213A7D6C" w14:textId="77777777" w:rsidR="000147DB" w:rsidRPr="003E7524" w:rsidRDefault="000147DB" w:rsidP="002F5A31">
      <w:pPr>
        <w:keepNext/>
        <w:keepLines/>
        <w:jc w:val="both"/>
        <w:rPr>
          <w:color w:val="FF0000"/>
          <w:sz w:val="24"/>
        </w:rPr>
      </w:pPr>
      <w:r>
        <w:rPr>
          <w:color w:val="FF0000"/>
          <w:sz w:val="24"/>
        </w:rPr>
        <w:t xml:space="preserve">Aceste acorduri includ, printre altele: </w:t>
      </w:r>
    </w:p>
    <w:p w14:paraId="5BEA6077" w14:textId="77777777" w:rsidR="000147DB" w:rsidRPr="003E7524" w:rsidRDefault="000147DB" w:rsidP="000147DB">
      <w:pPr>
        <w:jc w:val="both"/>
        <w:rPr>
          <w:color w:val="FF0000"/>
          <w:sz w:val="24"/>
        </w:rPr>
      </w:pPr>
      <w:r>
        <w:rPr>
          <w:color w:val="FF0000"/>
          <w:sz w:val="24"/>
        </w:rPr>
        <w:t>1. recurgerea la sisteme de returnare a garanției;</w:t>
      </w:r>
    </w:p>
    <w:p w14:paraId="498392F7" w14:textId="77777777" w:rsidR="000147DB" w:rsidRPr="003E7524" w:rsidRDefault="000147DB" w:rsidP="000147DB">
      <w:pPr>
        <w:jc w:val="both"/>
        <w:rPr>
          <w:color w:val="FF0000"/>
          <w:sz w:val="24"/>
        </w:rPr>
      </w:pPr>
      <w:r>
        <w:rPr>
          <w:color w:val="FF0000"/>
          <w:sz w:val="24"/>
        </w:rPr>
        <w:t>2. definirea obiectivelor calitative sau cantitative;</w:t>
      </w:r>
    </w:p>
    <w:p w14:paraId="57A9F07C" w14:textId="77777777" w:rsidR="000147DB" w:rsidRPr="003E7524" w:rsidRDefault="000147DB" w:rsidP="000147DB">
      <w:pPr>
        <w:jc w:val="both"/>
        <w:rPr>
          <w:color w:val="FF0000"/>
          <w:sz w:val="24"/>
        </w:rPr>
      </w:pPr>
      <w:r>
        <w:rPr>
          <w:color w:val="FF0000"/>
          <w:sz w:val="24"/>
        </w:rPr>
        <w:t>3. recurgerea la stimulente economice;</w:t>
      </w:r>
    </w:p>
    <w:p w14:paraId="2D7BAE53" w14:textId="77777777" w:rsidR="000147DB" w:rsidRPr="003E7524" w:rsidRDefault="000147DB" w:rsidP="000147DB">
      <w:pPr>
        <w:jc w:val="both"/>
        <w:rPr>
          <w:color w:val="FF0000"/>
          <w:sz w:val="24"/>
        </w:rPr>
      </w:pPr>
      <w:r>
        <w:rPr>
          <w:color w:val="FF0000"/>
          <w:sz w:val="24"/>
        </w:rPr>
        <w:t>4. Definirea unui procentaj minim de ambalaje reutilizabile introduse pe piață în fiecare an pentru fiecare flux de ambalaje.</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Articolul 6 Valorificare și reciclare</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Responsabilii pentru ambalaje trebuie să îndeplinească următoarele obiective minime: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szCs w:val="24"/>
        </w:rPr>
        <w:t>(1) 65 % din greutatea deșeurilor de ambalaje trebuie valorificate sau incinerate în instalații de incinerare a deșeurilor cu recuperare de energie;</w:t>
      </w:r>
    </w:p>
    <w:p w14:paraId="0BEBEC70" w14:textId="77777777" w:rsidR="000147DB" w:rsidRPr="0013762D" w:rsidRDefault="000147DB" w:rsidP="000147DB">
      <w:pPr>
        <w:pStyle w:val="Liste10"/>
        <w:spacing w:before="240"/>
        <w:rPr>
          <w:rFonts w:cs="TimesNewRoman"/>
          <w:b/>
          <w:color w:val="FF0000"/>
          <w:spacing w:val="-4"/>
          <w:sz w:val="24"/>
          <w:szCs w:val="24"/>
        </w:rPr>
      </w:pPr>
      <w:r w:rsidRPr="0013762D">
        <w:rPr>
          <w:color w:val="FF0000"/>
          <w:spacing w:val="-4"/>
          <w:sz w:val="24"/>
          <w:szCs w:val="24"/>
        </w:rPr>
        <w:t>(2) 60 % din greutatea deșeurilor de ambalaje trebuie reciclate conform următoarelor obiective minime de reciclare, în funcție de materialele incluse în deșeurile de ambalaje: 60 % din greutate în cazul sticlei, 60 % din greutate în cazul hârtiei și al cartonului, 50 % din greutate în cazul metalelor, 22,5 % din greutate în cazul materialelor din plastic, luând în considerare exclusiv materialele care sunt reciclate sub formă de materiale plastice, și 15 % din greutate în cazul lemnului.</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szCs w:val="24"/>
        </w:rPr>
        <w:t>(3) cel târziu până la 31 decembrie 2025, minimum 65 % din greutatea tuturor deșeurilor de ambalaje va fi reciclată;</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cel târziu până la 31 decembrie 2025, trebuie îndeplinite următoarele obiective minime de reciclare în ceea ce privește următoarele materiale specifice conținute în deșeurile de ambalaje:</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 din greutate pentru plastic;</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25 % din greutate pentru lemn;</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lastRenderedPageBreak/>
        <w:t>(c) 70 % din greutate pentru metale feroase;</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50 % din greutate pentru aluminiu;</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70 % din greutate pentru sticlă;</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75 % din greutate pentru hârtie și carton.</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szCs w:val="24"/>
        </w:rPr>
        <w:t>(5) cel târziu până la 31 decembrie 2030, minimum 70 % din greutatea tuturor deșeurilor de ambalaje va fi reciclată;</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cel târziu până la 31 decembrie 2030, trebuie îndeplinite următoarele obiective minime de reciclare în ceea ce privește materialele specifice conținute în deșeurile de ambalaje:</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 din greutate pentru plastic;</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30 % din greutate pentru lemn;</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80 % din greutate pentru metale feroase;</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60 % din greutate pentru aluminiu;</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75 % din greutate pentru sticlă;</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85 % din greutate pentru hârtie și carton.</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Fără a aduce atingere dispozițiilor de la articolul 14, Administrația de Mediu trebuie să se asigure că aceste obligații și obiective fac obiectul unei campanii de informare destinate publicului larg și agenților economici.</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Articolul 6</w:t>
      </w:r>
      <w:r>
        <w:rPr>
          <w:i/>
          <w:color w:val="FF0000"/>
          <w:sz w:val="24"/>
          <w:szCs w:val="24"/>
          <w:u w:val="single"/>
        </w:rPr>
        <w:t>a</w:t>
      </w:r>
      <w:r>
        <w:rPr>
          <w:color w:val="FF0000"/>
          <w:sz w:val="24"/>
          <w:szCs w:val="24"/>
          <w:u w:val="single"/>
        </w:rPr>
        <w:t xml:space="preserve"> Reguli pentru calcularea îndeplinirii obiectivelor</w:t>
      </w:r>
    </w:p>
    <w:p w14:paraId="4190A464" w14:textId="77777777" w:rsidR="000147DB" w:rsidRPr="0013762D" w:rsidRDefault="000147DB" w:rsidP="002F5A31">
      <w:pPr>
        <w:keepNext/>
        <w:keepLines/>
        <w:spacing w:beforeLines="100" w:before="240" w:after="240" w:line="240" w:lineRule="auto"/>
        <w:jc w:val="both"/>
        <w:rPr>
          <w:rFonts w:eastAsia="Calibri" w:cs="TimesNewRoman"/>
          <w:color w:val="FF0000"/>
          <w:spacing w:val="-4"/>
          <w:sz w:val="24"/>
          <w:szCs w:val="24"/>
        </w:rPr>
      </w:pPr>
      <w:r w:rsidRPr="0013762D">
        <w:rPr>
          <w:color w:val="FF0000"/>
          <w:spacing w:val="-4"/>
          <w:sz w:val="24"/>
          <w:szCs w:val="24"/>
        </w:rPr>
        <w:t>(1) Pentru a calcula dacă au fost atinse obiectivele prevăzute la articolul 6 alineatul (1) punctele 3-6:</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greutatea deșeurilor de ambalaje generate și reciclate se calculează în cursul unui an calendaristic dat. Cantitatea de deșeuri de ambalaje generate poate fi considerată egală cu cantitatea de ambalaje introdusă pe piață în același an;</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2. greutatea deșeurilor de ambalaje reciclate se calculează ca fiind greutatea ambalajelor devenite deșeuri care, după ce au fost supuse tuturor operațiunilor necesare de control, de sortare și altor operațiuni preliminare necesare pentru eliminarea deșeurilor, care nu sunt incluse în procedeele de reprelucrare ulterioare, și pentru asigurarea unei reciclări de înaltă calitate, sunt incluse în operațiunea de reciclare în care deșeurile sunt efectiv reprelucrate în produse, materiale sau substanțe.</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lastRenderedPageBreak/>
        <w:t>(2) În sensul alineatului (1) punctul 1, greutatea deșeurilor de ambalaje reciclate se măsoară în momentul în care deșeurile sunt incluse în operațiunea de reciclare.</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Prin derogare de la punctul 1, greutatea deșeurilor de ambalaje reciclate poate fi măsurată la încheierea oricărei operațiuni de sortare, cu condiția ca:</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deșeurile respective rezultate în urma operațiunii de sortare să fie reciclate ulterior;</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greutatea materialelor sau a substanțelor, care sunt eliminate prin alte operațiuni înainte de operațiunea de reciclare și care nu sunt reciclate ulterior, să nu fie inclusă în greutatea deșeurilor raportate ca fiind reciclate.</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Pentru a asigura respectarea regulilor de calculare și transmiterea corespunzătoare a informațiilor către administrația competentă, trebuie instituit un registru electronic conform articolului 34 din Legea din 21 martie 2012. </w:t>
      </w:r>
    </w:p>
    <w:p w14:paraId="22177B03" w14:textId="77777777" w:rsidR="000147DB" w:rsidRPr="0013762D" w:rsidRDefault="000147DB" w:rsidP="000147DB">
      <w:pPr>
        <w:spacing w:beforeLines="100" w:before="240" w:after="240" w:line="240" w:lineRule="auto"/>
        <w:jc w:val="both"/>
        <w:rPr>
          <w:rFonts w:eastAsia="Calibri" w:cs="TimesNewRoman"/>
          <w:color w:val="FF0000"/>
          <w:spacing w:val="-4"/>
          <w:sz w:val="24"/>
          <w:szCs w:val="24"/>
        </w:rPr>
      </w:pPr>
      <w:r w:rsidRPr="0013762D">
        <w:rPr>
          <w:color w:val="FF0000"/>
          <w:spacing w:val="-4"/>
          <w:sz w:val="24"/>
          <w:szCs w:val="24"/>
        </w:rPr>
        <w:t>(4) Cantitatea de deșeuri de ambalaje care încetează să mai fie deșeuri în urma unei operațiuni de pregătire înainte de reprelucrare poate fi considerată reciclată cu condiția ca deșeurile în cauză să fie destinate reprelucrării ulterioare în produse, materiale sau substanțe ce vor fi utilizate în scopul inițial sau în alte scopuri. Cu toate acestea, deșeurile care au încetat să fie deșeuri și care urmează să fie utilizate drept combustibil sau pentru un alt mod de generare a energiei sau care urmează să fie incinerate, utilizate pentru rambleiere sau eliminate în depozitele de deșeuri nu pot fi luate în considerare în ceea ce privește îndeplinirea obiectivelor de reciclare.</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(5) Pentru a calcula dacă au fost atinse obiectivele prevăzute la articolul 6 alineatul (1) punctele 3-6, Administrația de Mediu poate lua în considerare reciclarea metalelor realizată separat după incinerarea deșeurilor, proporțional cu cantitatea de deșeuri de ambalaje incinerate și cu condiția ca metalele reciclate să îndeplinească anumite criterii de calitate stabilite prin actul de punere în aplicare adoptat în temeiul articolului 11</w:t>
      </w:r>
      <w:r>
        <w:rPr>
          <w:i/>
          <w:color w:val="FF0000"/>
          <w:sz w:val="24"/>
          <w:szCs w:val="24"/>
        </w:rPr>
        <w:t>a</w:t>
      </w:r>
      <w:r>
        <w:rPr>
          <w:color w:val="FF0000"/>
          <w:sz w:val="24"/>
          <w:szCs w:val="24"/>
        </w:rPr>
        <w:t xml:space="preserve"> alineatul (9) din Directiva 2008/98/CE.</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Deșeurile de ambalaje trimise către alt stat membru al Uniunii Europene în scopul reciclării în acel alt stat membru nu pot fi luate în considerare în ceea ce privește îndeplinirea obiectivelor prevăzute la articolul 6 alineatul (1) punctele 3-6 decât în Luxemburg.</w:t>
      </w:r>
    </w:p>
    <w:p w14:paraId="5CA935B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(7) Deșeurile de ambalaje exportate din Uniunea Europeană sunt luate în considerare în ceea ce privește calcularea îndeplinirii obiectivelor prevăzute la articolul 6 alineatul (1), numai dacă sunt îndeplinite cerințele de la alineatul (3) și dacă, în conformitate cu Regulamentul (CE) nr. 1013/2006 al Parlamentului European și al Consiliului din 14 iunie 2006 privind transferurile de deșeuri, exportatorul poate demonstra că transferurile de deșeuri respectă cerințele prevăzute în regulamentul menționat anterior și că tratarea deșeurilor de ambalaje în afara Uniunii Europene a avut loc în condiții care sunt în general echivalente cu cerințele aplicabile prevăzute în legislația privind protecția mediului.</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lastRenderedPageBreak/>
        <w:t>Articolul 7 Sistemele de returnare, colectare și valorificare</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În vederea îndeplinirii obiectivelor prevăzute la articolul 1 și în conformitate cu alineatul (2), responsabilii pentru ambalaje trebuie să ia măsurile necesare pentru a garanta respectarea dispozițiilor în materie de igienă:</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 xml:space="preserve">1. returnarea sau colectarea ambalajelor utilizate și a deșeurilor de ambalaje provenite de la un consumator, un alt utilizator final sau din fluxul de deșeuri, pentru a le îndrepta spre cele mai bune soluții de gestionare a deșeurilor; </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reutilizarea, pregătirea pentru reutilizare sau valorificarea, inclusiv reciclarea ambalajelor sau a deșeurilor de ambalaje colectate.</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Aceste sisteme sunt deschise participării agenților economici din sectoarele vizate și participării autorităților publice competente. Acestea se aplică, de asemenea, produselor importate, în condiții nediscriminatorii, inclusiv în ceea ce privește modalitățile prevăzute și eventualele tarife impuse accesului la sisteme, și sunt proiectate astfel încât să evite barierele în calea comerțului sau denaturarea concurenței.</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În vederea reducerii la minimum a eliminării deșeurilor de ambalaje sub formă de deșeuri urbane și a atingerii unui nivel ridicat de colectare separată a deșeurilor de ambalaje, se aplică următoarele dispoziții:</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în cazul deșeurilor de ambalaje menajere:</w:t>
      </w:r>
    </w:p>
    <w:p w14:paraId="04693C3C" w14:textId="77777777" w:rsidR="000147DB" w:rsidRPr="0013762D" w:rsidRDefault="000147DB" w:rsidP="000147DB">
      <w:pPr>
        <w:spacing w:before="200" w:after="85" w:line="240" w:lineRule="auto"/>
        <w:ind w:left="375"/>
        <w:jc w:val="both"/>
        <w:rPr>
          <w:rFonts w:eastAsia="Calibri" w:cs="TimesNewRoman"/>
          <w:color w:val="FF0000"/>
          <w:spacing w:val="-4"/>
          <w:sz w:val="24"/>
          <w:szCs w:val="24"/>
        </w:rPr>
      </w:pPr>
      <w:r w:rsidRPr="0013762D">
        <w:rPr>
          <w:color w:val="FF0000"/>
          <w:spacing w:val="-4"/>
          <w:sz w:val="24"/>
          <w:szCs w:val="24"/>
        </w:rPr>
        <w:t>fără a aduce atingere obligațiilor municipalităților sau ale asociațiilor de autorități locale responsabile cu gestionarea deșeurilor urbane menajere în conformitate cu Legea din 21 martie 2012, municipalitățile sau asociațiilor de autorități locale trebuie să asigure disponibilitatea sistemelor de colectare separată. Municipalitățile sau asociațiile de autorități locale trebuie să asigure, după caz, în colaborare cu organismele autorizate, disponibilitatea și accesibilitatea infrastructurii publice pentru colectarea separată a deșeurilor de ambalaje menajere, care să permită cel puțin deținătorilor finali să returneze gratuit respectivele deșeuri de ambalaje.</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Organismele autorizate sunt autorizate să organizeze și să opereze sisteme de returnare a deșeurilor de ambalaje menajere, alternative sau complementare, cu condiția ca respectivele sisteme să respecte obiectivele prezentei legi, să garanteze aceeași acoperire teritorială ca și sistemele instituite de municipalități sau de asociațiile de autorități locale și să asigure cel puțin returnarea gratuită a deșeurilor de ambalaje menajere.</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Utilizatorii de ambalaje menajere trebuie să utilizeze sistemele de returnare pentru colectarea separată a deșeurilor de ambalaje menajere puse la dispoziția lor de către municipalități sau asociații de autorități locale sau de către organismele autorizate.</w:t>
      </w:r>
    </w:p>
    <w:p w14:paraId="72763D47" w14:textId="77777777" w:rsidR="000147DB" w:rsidRPr="003E7524" w:rsidRDefault="000147DB" w:rsidP="0013762D">
      <w:pPr>
        <w:keepNext/>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(b) în cazul deșeurilor de ambalaje nemenajere:</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responsabilii pentru ambalaje nemenajere trebuie să asigure colectarea și valorificarea respectivelor deșeuri în cadrul unei scheme de răspundere extinsă a producătorilor, astfel cum se menționează la articolul 8 din prezenta lege.</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Unitățile și întreprinderile specificate la articolul 30 alineatul (1) din </w:t>
      </w:r>
      <w:hyperlink r:id="rId4" w:history="1">
        <w:r>
          <w:rPr>
            <w:color w:val="FF0000"/>
            <w:sz w:val="24"/>
            <w:szCs w:val="24"/>
          </w:rPr>
          <w:t>Legea din 21 martie 2012</w:t>
        </w:r>
      </w:hyperlink>
      <w:r>
        <w:rPr>
          <w:color w:val="FF0000"/>
          <w:sz w:val="24"/>
          <w:szCs w:val="24"/>
        </w:rPr>
        <w:t xml:space="preserve"> pot colecta sau transporta deșeurile de ambalaje care constituie deșeuri menajere numai în măsura în care acestea sunt mandatate în acest scop de către organismele autorizate.</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Ambalajele pentru băuturi utilizate pentru consumul uman și care sunt introduse pe piața din Luxemburg fac obiectul unui sistem național unic de returnare a garanției. Suma garanției variază în funcție de tipul ambalajului între 10 cenți și 1 EUR. Data și modalitățile de punere în aplicare a sistemului de returnare a garanței sunt definite prin regulament al Marelui Ducat.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b/>
          <w:color w:val="FF0000"/>
          <w:sz w:val="24"/>
          <w:szCs w:val="24"/>
        </w:rPr>
        <w:t>Articolul 8</w:t>
      </w:r>
      <w:r>
        <w:rPr>
          <w:color w:val="FF0000"/>
          <w:sz w:val="24"/>
          <w:szCs w:val="24"/>
          <w:u w:val="single"/>
        </w:rPr>
        <w:t xml:space="preserve"> Responsabilii pentru ambalaje și organismele autorizate</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Pentru a-și îndeplini obligațiile care îi revin în temeiul prezentei legi, precum și a celor prevăzute în legislația referitoare la evaluarea impactului anumitor produse din plastic asupra mediului, responsabilul pentru ambalaje intră sub incidența schemei de răspundere extinsă a producătorilor prevăzută la articolul 19 din Legea din 21 martie 2012. </w:t>
      </w:r>
    </w:p>
    <w:p w14:paraId="48FF4710" w14:textId="77777777" w:rsidR="000147DB" w:rsidRPr="0013762D"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13762D">
        <w:rPr>
          <w:color w:val="FF0000"/>
          <w:spacing w:val="-4"/>
          <w:sz w:val="24"/>
          <w:szCs w:val="24"/>
        </w:rPr>
        <w:t xml:space="preserve">În cazul ambalajelor menajere reutilizabile pentru care există un sistem de returnare, responsabilul pentru ambalaje poate încredința, prin contract, unui organism autorizat îndeplinirea integrală sau parțială a acestei obligații. În cazul altor ambalaje menajere, responsabilul pentru ambalaje trebuie să încredințeze, prin contract, unui organism autorizat îndeplinirea acestei obligații. În cazul ambalajelor nemenajere, responsabilul pentru ambalaje poate încredința, prin contract, unui organism autorizat îndeplinirea integrală sau parțială a acestei obligații.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În cazul deșeurilor de ambalaje care nu sunt incluse în sistemul de gestionare centralizată, organismele autorizate trebuie să asigure, fiecare în sfera sa competență și prin contribuție voluntară, finanțarea gestionării deșeurilor, inclusiv operațiunile de pregătire pentru reutilizare, de la punctul de colectare.</w:t>
      </w:r>
    </w:p>
    <w:p w14:paraId="72D5467E" w14:textId="77777777" w:rsidR="000147DB" w:rsidRPr="0013762D"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13762D">
        <w:rPr>
          <w:color w:val="FF0000"/>
          <w:spacing w:val="-4"/>
          <w:sz w:val="24"/>
          <w:szCs w:val="24"/>
        </w:rPr>
        <w:t>În cazul deșeurilor de ambalaje care nu sunt incluse în sistemul de gestionare centralizată, modalitățile de intervenție financiară a organismelor autorizate în cadrul colectării separate a respectivelor deșeuri sunt stabilite de comun acord între aceste organisme și municipalitățile în cauză. Costurile aferente gestionării deșeurilor, inclusiv cele aferente operațiunilor de pregătire pentru reutilizare, trebuie acoperite în totalitate din contribuțiile responsabililor pentru ambalaje.</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(3) În plus, organismul autorizat trebuie:</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să calculeze contribuțiile contractanților săi pentru finanțarea costurilor aferente operațiunilor de colectare existente și a celor rezultate din operațiunile de sortare a deșeurilor de ambalaje colectate, de pregătire pentru reutilizare, de tratare a deșeurilor de ambalaje, precum și a costurilor aferente activităților de informare a deținătorilor de deșeuri și de transmitere și colectare a informațiilor. Costurile luate în considerare nu pot depăși costurile necesare pentru un serviciu eficient din punct de vedere economic.</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să încheie un contract cu municipalitățile sau asociațiile de autorități locale responsabile pentru gestionarea deșeurilor urbane menajere, în care să se specifice în special condițiile și modalitățile tehnice pentru colectarea deșeurilor de ambalaje în cauză și pentru manipularea deșeurilor de ambalaje.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În orice caz, contractul nu poate aduce atingere competențelor municipalităților sau asociațiilor de autorități locale responsabile cu gestionarea deșeurilor urbane menajere în cauză.</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să comunice ministrului, anual și ca parte a raportului prevăzut la articolul 35 alineatul (2) din Legea din 21 martie 2012, contractele încheiate cu municipalitățile sau asociațiile de autorități locale responsabile cu gestionarea deșeurilor urbane menajere.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Gestionarea deșeurilor de ambalaje trebuie efectuată în conformitate cu ierarhia deșeurilor prevăzută la articolul 9 din Legea din 21 martie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Articolul 9 Cerințe esențiale</w:t>
      </w:r>
    </w:p>
    <w:p w14:paraId="605864EB" w14:textId="77777777" w:rsidR="000147DB" w:rsidRPr="003E7524" w:rsidRDefault="000147DB" w:rsidP="000147DB">
      <w:pPr>
        <w:spacing w:after="0" w:line="240" w:lineRule="auto"/>
        <w:jc w:val="both"/>
        <w:rPr>
          <w:rFonts w:eastAsia="Times New Roman" w:cs="Arial"/>
        </w:rPr>
      </w:pPr>
      <w:r>
        <w:t>Un ambalaj poate fi introdus pe piața din Luxemburg numai dacă îndeplinește toate cerințele esențiale prevăzute în anexa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bCs/>
        </w:rPr>
        <w:t xml:space="preserve">Articolul 10 </w:t>
      </w:r>
      <w:r>
        <w:rPr>
          <w:b/>
          <w:bCs/>
          <w:iCs/>
        </w:rPr>
        <w:t>Sistem de identificare</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În scopul facilitării colectării, reutilizării, pregătirii pentru reutilizare și valorificării, inclusiv a reciclării, pe ambalaje trebuie indicat tipul materialului (materialelor) de ambalare utilizate pentru a permite identificarea și clasificarea de către sectorul în cauză în temeiul Deciziei Comisiei 97/129/CE din 28 ianuarie 1997 de stabilire a sistemului de identificare a materialelor folosite pentru ambalaje, în conformitate cu Directiva 94/62/CE a Parlamentului European și a Consiliului privind ambalajele și deșeurile provenite din ambalaje.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13762D" w:rsidRDefault="000147DB" w:rsidP="000147DB">
      <w:pPr>
        <w:spacing w:after="0" w:line="240" w:lineRule="auto"/>
        <w:jc w:val="both"/>
        <w:rPr>
          <w:rFonts w:eastAsia="Times New Roman" w:cs="Arial"/>
          <w:spacing w:val="-4"/>
        </w:rPr>
      </w:pPr>
      <w:r w:rsidRPr="0013762D">
        <w:rPr>
          <w:spacing w:val="-4"/>
        </w:rPr>
        <w:t>(2) Dacă este necesar, marcajul corespunzător trebuie aplicat fie pe ambalaj, fie pe etichetă. Acesta trebuie să fie vizibil și ușor de citit. Marcajul trebuie să fie durabil în timp, chiar și după deschiderea ambalajului.</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Articolul 11 </w:t>
      </w:r>
      <w:r>
        <w:rPr>
          <w:b/>
          <w:iCs/>
          <w:color w:val="000000"/>
        </w:rPr>
        <w:t>Nivelul concentrației de metale grele prezente în ambalaje</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Totalul nivelurilor concentrației de plumb, cadmiu, mercur și crom hexavalent prezente în ambalaj sau în componentele ambalajului nu trebuie să depășească 100 ppm raportat la masă.</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Nivelurile de concentrație menționate la alineatul (1) nu se aplică ambalajelor realizate în întregime din cristal cu conținut de plumb.</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Articolul 12 Sisteme de informații</w:t>
      </w:r>
    </w:p>
    <w:p w14:paraId="5FCE099A" w14:textId="77777777" w:rsidR="000147DB" w:rsidRPr="0013762D" w:rsidRDefault="000147DB" w:rsidP="000147DB">
      <w:pPr>
        <w:spacing w:after="0" w:line="240" w:lineRule="auto"/>
        <w:jc w:val="both"/>
        <w:rPr>
          <w:rFonts w:eastAsia="Times New Roman" w:cs="Arial"/>
          <w:spacing w:val="-4"/>
        </w:rPr>
      </w:pPr>
      <w:r w:rsidRPr="0013762D">
        <w:rPr>
          <w:spacing w:val="-4"/>
        </w:rPr>
        <w:t>(1) Băncile de date specificate în anexa III la Directiva 94/62/CE a Parlamentului European și a Consiliului din 20 decembrie 1994 privind ambalajele și deșeurile de ambalaje, astfel cum a fost modificată prin actele Comisiei Europene adoptate în conformitate cu articolul 19 din directiva menționată anterior, sunt autorizate de către Administrația de Mediu. Bazele de date furnizează informații privind mărimea, caracteristicile și evoluția fluxurilor de ambalaje și de deșeuri de ambalaje, inclusiv informații privind caracterul toxic sau periculos al materialelor de ambalaje și al componentelor utilizate pentru fabricarea lor.</w:t>
      </w:r>
    </w:p>
    <w:p w14:paraId="7E5340DE" w14:textId="77777777" w:rsidR="000147DB" w:rsidRPr="003E7524" w:rsidRDefault="000147DB" w:rsidP="000147DB">
      <w:pPr>
        <w:spacing w:after="0" w:line="240" w:lineRule="auto"/>
        <w:jc w:val="both"/>
        <w:rPr>
          <w:rFonts w:eastAsia="Times New Roman" w:cs="Arial"/>
        </w:rPr>
      </w:pPr>
      <w:r>
        <w:t>(2) Agenții economici vizați trebuie să furnizeze Administrației de Mediu date fiabile privind sectorul lor de activitate, necesare în temeiul prezentului articol. Administrația de Mediu trebuie să ia în considerare problemele speciale cu care se confruntă întreprinderile mici și mijlocii în ceea ce privește furnizarea de date detaliate.</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Articolul 14 </w:t>
      </w:r>
      <w:r>
        <w:rPr>
          <w:b/>
          <w:bCs/>
          <w:iCs/>
        </w:rPr>
        <w:t>Informațiile pentru utilizatorii de ambalaje</w:t>
      </w:r>
    </w:p>
    <w:p w14:paraId="0BFAA0F4" w14:textId="77777777" w:rsidR="000147DB" w:rsidRPr="003E7524" w:rsidRDefault="000147DB" w:rsidP="000147DB">
      <w:pPr>
        <w:spacing w:after="0" w:line="240" w:lineRule="auto"/>
        <w:jc w:val="both"/>
        <w:rPr>
          <w:rFonts w:eastAsia="Times New Roman" w:cs="Arial"/>
        </w:rPr>
      </w:pPr>
      <w:r>
        <w:t>(1) Responsabili pentru ambalaje sau organismele autorizate trebuie, fiecare în sfera sa de competență, să informeze utilizatorii de ambalaje, inclusiv consumatorii, cu privire la:</w:t>
      </w:r>
    </w:p>
    <w:p w14:paraId="28FD57E8" w14:textId="77777777" w:rsidR="000147DB" w:rsidRPr="003E7524" w:rsidRDefault="000147DB" w:rsidP="000147DB">
      <w:pPr>
        <w:spacing w:after="0" w:line="240" w:lineRule="auto"/>
        <w:jc w:val="both"/>
        <w:rPr>
          <w:rFonts w:eastAsia="Times New Roman" w:cs="Arial"/>
        </w:rPr>
      </w:pPr>
      <w:r>
        <w:t>posibilitățile de prevenire a generării de deșeuri de ambalaje;</w:t>
      </w:r>
    </w:p>
    <w:p w14:paraId="1A222528" w14:textId="77777777" w:rsidR="000147DB" w:rsidRPr="003E7524" w:rsidRDefault="000147DB" w:rsidP="000147DB">
      <w:pPr>
        <w:spacing w:after="0" w:line="240" w:lineRule="auto"/>
        <w:jc w:val="both"/>
        <w:rPr>
          <w:rFonts w:eastAsia="Times New Roman" w:cs="Arial"/>
        </w:rPr>
      </w:pPr>
      <w:r>
        <w:t>sistemele de returnare, colectare și valorificare de care dispun și contribuția acestora la reutilizarea, valorificarea și reciclarea ambalajelor și a deșeurilor de ambalaje;</w:t>
      </w:r>
    </w:p>
    <w:p w14:paraId="2AF81E67" w14:textId="77777777" w:rsidR="000147DB" w:rsidRPr="003E7524" w:rsidRDefault="000147DB" w:rsidP="000147DB">
      <w:pPr>
        <w:spacing w:after="0" w:line="240" w:lineRule="auto"/>
        <w:jc w:val="both"/>
        <w:rPr>
          <w:rFonts w:eastAsia="Times New Roman" w:cs="Arial"/>
        </w:rPr>
      </w:pPr>
      <w:r>
        <w:t>impactul negativ al unui consum excesiv de pungi de transport din plastic asupra mediului;</w:t>
      </w:r>
    </w:p>
    <w:p w14:paraId="0BB30D5B" w14:textId="77777777" w:rsidR="000147DB" w:rsidRPr="003E7524" w:rsidRDefault="000147DB" w:rsidP="000147DB">
      <w:pPr>
        <w:spacing w:after="0" w:line="240" w:lineRule="auto"/>
        <w:jc w:val="both"/>
        <w:rPr>
          <w:rFonts w:eastAsia="Times New Roman" w:cs="Arial"/>
        </w:rPr>
      </w:pPr>
      <w:r>
        <w:t>elementele corespunzătoare planurilor de gestionare a ambalajelor și a deșeurilor de ambalaje care fac parte din planul național de gestionare a deșeurilor sau fac obiectul unui plan specific în conformitate cu Legea din 21 martie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Persoanele care oferă spre vânzare produse ambalate trebuie să se asigure informarea corespunzătoare a consumatorului final este informat în mod corespunzător la punctele de vânzare cu privire la caracterul reutilizabil sau recuperabil, inclusiv cu privire la caracterul reciclabil al ambalajului și, respectiv, cu privire la sistemul de returnare, în special cu privire la colectarea ambalajelor.</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Marcajul corespunzător trebuie aplicat fie pe ambalaj, fie pe etichetă. Acesta trebuie să fie vizibil și ușor de citit. Marcajul trebuie să fie durabil în timp, chiar și după deschiderea ambalajului.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Măsurile de informare prevăzute la alineatele (1) și (2) sunt completate, după caz, de campanii de sensibilizare organizate în colaborare cu Administrația de Mediu.</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lastRenderedPageBreak/>
        <w:t>Articolul 15 Rapoarte</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Fiecare responsabil pentru ambalaje care a introdus pe piață pungi de transport din plastic subțire trebuie să declare la organismul autorizat de care aparține cantitatea anuală a respectivelor pungi.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Organismul autorizat trebuie să raporteze aceste cantități administrației competente în cadrul raportului prevăzut la articolul 35 alineatul (2) din Legea din 21 martie 2012. Această obligație nu include pungile de transport din plastic foarte subțire în sensul articolului 3 punctul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Articolul 16 Controale care trebuie efectuate </w:t>
      </w:r>
    </w:p>
    <w:p w14:paraId="035D85BE" w14:textId="77777777" w:rsidR="000147DB" w:rsidRPr="003E7524" w:rsidRDefault="000147DB" w:rsidP="000147DB">
      <w:pPr>
        <w:spacing w:after="0" w:line="240" w:lineRule="auto"/>
        <w:jc w:val="both"/>
        <w:rPr>
          <w:rFonts w:eastAsia="Times New Roman" w:cs="Arial"/>
        </w:rPr>
      </w:pPr>
      <w:r>
        <w:t>(1) Raportul anual este verificat în conformitate cu dispozițiile de la articolul 35 alineatul (2) din Legea din 21 martie 2012.</w:t>
      </w:r>
    </w:p>
    <w:p w14:paraId="35E08884" w14:textId="77777777" w:rsidR="000147DB" w:rsidRPr="003E7524" w:rsidRDefault="000147DB" w:rsidP="000147DB">
      <w:pPr>
        <w:spacing w:after="0" w:line="240" w:lineRule="auto"/>
        <w:jc w:val="both"/>
        <w:rPr>
          <w:rFonts w:eastAsia="Times New Roman" w:cs="Arial"/>
        </w:rPr>
      </w:pPr>
      <w:r>
        <w:t>În scopul efectuării controalelor, responsabilii pentru ambalaje sau organismele autorizate trebuie să pună la dispoziția auditorului statutar autorizat toate documentele, actele contabile și alte elemente de calcul care au servit drept bază pentru rapoartele menționate anterior.</w:t>
      </w:r>
    </w:p>
    <w:p w14:paraId="01E1F62A" w14:textId="77777777" w:rsidR="000147DB" w:rsidRPr="003E7524" w:rsidRDefault="000147DB" w:rsidP="000147DB">
      <w:pPr>
        <w:spacing w:after="0" w:line="240" w:lineRule="auto"/>
        <w:jc w:val="both"/>
        <w:rPr>
          <w:rFonts w:eastAsia="Times New Roman" w:cs="Arial"/>
        </w:rPr>
      </w:pPr>
      <w:r>
        <w:t>Costurile aferente controlului efectuat de auditorul statutar autorizat sunt suportate de responsabilii pentru ambalaje sau de organismul (organismele) autorizat(e).</w:t>
      </w:r>
    </w:p>
    <w:p w14:paraId="54AD644D" w14:textId="77777777" w:rsidR="000147DB" w:rsidRPr="003E7524" w:rsidRDefault="000147DB" w:rsidP="000147DB">
      <w:pPr>
        <w:spacing w:after="0" w:line="240" w:lineRule="auto"/>
        <w:jc w:val="both"/>
        <w:rPr>
          <w:rFonts w:eastAsia="Times New Roman" w:cs="Arial"/>
        </w:rPr>
      </w:pPr>
      <w:r>
        <w:t>(2) Rezultatele controlului efectuat de auditorul statutar autorizat trebuie transmise fără întârziere Administrației de Mediu de către auditorul statutar autorizat.</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Articolul 17 Investigarea și constatarea infracțiunilor</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În afară de cadrele de conducere ale Poliției Marelui Ducat, pot fi responsabili pentru constatarea încălcărilor dispozițiilor prezentei legi și a reglementărilor adoptate în temeiul acesteia agenții din cadrul Administrației Vamale și pentru Accize, începând cu gradul de brigadier principal, precum și funcționarii și angajații grupurilor de prelucrare A1, A2 și B1 din cadrul Administrației de Mediu.</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În scopul îndeplinirii atribuțiilor care le revin, agenții din cadrul Administrației Vamale și a Accizelor și agenții din cadrul Administrației de Mediu au statutul de ofițeri de poliție judiciară. Aceștia consemnează infracțiunile în procese-verbale până la proba contrarie.</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Agenții menționați la alineatul (1) trebuie să fi urmat cursuri de formare profesională specială privind investigarea și constatarea infracțiunilor. Programul și durata cursurilor de formare profesională, precum și metodele de verificare a cunoștințelor sunt stabilite prin regulament al Marelui Ducat.</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Înainte de a-și prelua atribuțiile, agenții trebuie să depună în fața tribunalului districtual din Luxemburg cu competență în materie civilă, următorul jurământ:</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„Jur să-mi îndeplinesc sarcinile cu integritate, corectitudine și imparțialitate.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Se aplică articolul 458 din Codul penal.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Articolul 18 Competențe și prerogative de control</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Persoanele menționate la articolul 17 au acces permanent și fără notificare prealabilă, la instalațiile, spațiile, terenurile, amplasamentele și mijloacele de transport care fac obiectul prezentei legi și al reglementărilor adoptate în temeiul acesteia.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lastRenderedPageBreak/>
        <w:t>(2) Dispozițiile de la alineatul (1) nu se aplică spațiilor de locuit.</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Cu toate acestea și fără a aduce atingere dispozițiilor de la articolul 33 alineatul (1) din Codul de procedură penală, dacă există indicii serioase care sugerează că infracțiunea s-a comis în spațiile de locuit, un ofițer de poliție judiciară, membru al Poliției Marelui Ducat sau un agent în sensul articolului 45, care acționează în baza unui mandat emis de judecătorul de instrucție, poate efectua o vizită la domiciliu într-un interval de timp cuprins între șase și douăzeci și patru de ore.</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Pentru exercitarea atribuțiilor prevăzute la alineatele (1) și (2), agenții în cauză sunt autorizați:</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să primească toate comunicările privind registrele și documentele referitoare la ambalajele și deșeurile de ambalaje reglementate de prezenta lege;</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 să preleve sau să asigure prelevarea, în scopul examinării sau analizei, de eșantioane de ambalaje și de deșeuri de ambalaje prevăzute în prezenta lege. O parte a eșantionului, ștampilată sau sigilată, este returnată operatorului instalației, amplasamentului sau mijlocului de transport sau deținătorului ambalajelor și deșeurilor de ambalaje, cu excepția cazului în care acesta din urmă renunță în mod expres la dreptul de a-i fi returnată partea de eșantion sau în cazul în care returnarea nu este posibilă din motive tehnice;</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să pună sechestru și, dacă este necesar, să sigileze ambalajele și deșeurile de ambalaje reglementate de prezenta lege, precum și registrele și documentele aferente.</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Toate persoanele care fac obiectul măsurilor prevăzute la alineatul (3), precum și persoanele care le înlocuiesc sunt obligate, la cererea funcționarilor însărcinați cu aceste măsuri, să faciliteze operațiunile pe care le desfășoară funcționarii respectivi.</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La aceste operațiuni pot participa persoanele menționate la alineatul anterior.</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Se întocmește un raport al constatărilor și operațiunilor.</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Cheltuielile aferente măsurilor luate în temeiul prezentului articol sunt incluse în cheltuielile de judecată în cauza respectivă.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Articolul 19 Sancțiuni penale</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13762D" w:rsidRDefault="000147DB" w:rsidP="000147DB">
      <w:pPr>
        <w:autoSpaceDE w:val="0"/>
        <w:autoSpaceDN w:val="0"/>
        <w:adjustRightInd w:val="0"/>
        <w:spacing w:after="0" w:line="240" w:lineRule="auto"/>
        <w:jc w:val="both"/>
        <w:rPr>
          <w:rFonts w:eastAsia="Calibri" w:cs="TimesNewRoman"/>
          <w:color w:val="FF0000"/>
          <w:spacing w:val="-6"/>
          <w:sz w:val="24"/>
          <w:szCs w:val="24"/>
        </w:rPr>
      </w:pPr>
      <w:r w:rsidRPr="0013762D">
        <w:rPr>
          <w:color w:val="FF0000"/>
          <w:spacing w:val="-6"/>
          <w:sz w:val="24"/>
          <w:szCs w:val="24"/>
        </w:rPr>
        <w:t>Se pedepsesc cu închisoare de la opt zile la trei ani și o amendă de la 251 EUR la 750 000 EUR sau doar cu una dintre aceste pedepse, încălcările dispozițiilor articolului 6 alineatul (1), ale articolului 7 alineatul (1) punctul 1 și ale articolului 7 alineatul (3), ale articolului 8 alineatul (1) punctul 2, ale articolului 8 alineatul (2), ale articolului 8 alineatul (4), ale articolului 9 și ale articolului 11 alineatul (1).</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Aceleași sancțiuni se aplică în cazul obstrucționării sau a nerespectării măsurilor administrative impuse în temeiul articolului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Articolul 20 Amenzi administrative</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Ministrul poate impune o amendă administrativă cu o valoare cuprinsă între 50 EUR și 10 000 EUR în cazul încălcării dispozițiilor articolului 5 alineatele (1) și (2), ale articolului 7 alineatul (2) litera (a) punctul 3, ale articolului 8 alineatul (3) punctul 3, ale articolului 12 alineatul (2), ale articolului 14 alineatele (1) și (2), ale articolului 15 sau ale articolului 16 alineatul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Amenzile se plătesc în termen de două luni de la notificarea deciziei scrise.</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Amenzile administrative sunt colectate de către Administrația pentru Înregistrare, Domenii și TVA. Încasarea se face ca în cazul taxelor de înregistrare.</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t xml:space="preserve">Articolul 21 </w:t>
      </w:r>
      <w:r>
        <w:rPr>
          <w:b/>
          <w:bCs/>
          <w:iCs/>
        </w:rPr>
        <w:t>Măsuri administrative</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În cazul nerespectării dispozițiilor care fac obiectul sancțiunilor prevăzute la articolul 19 </w:t>
      </w:r>
      <w:r>
        <w:rPr>
          <w:strike/>
          <w:color w:val="FF0000"/>
        </w:rPr>
        <w:t>alineatul (1)</w:t>
      </w:r>
      <w:r>
        <w:rPr>
          <w:iCs/>
          <w:color w:val="FF0000"/>
        </w:rPr>
        <w:t xml:space="preserve"> </w:t>
      </w:r>
      <w:r>
        <w:t>din prezenta lege, ministrul poate:</w:t>
      </w:r>
    </w:p>
    <w:p w14:paraId="3FA876A2" w14:textId="77777777" w:rsidR="000147DB" w:rsidRPr="00B972B3" w:rsidRDefault="000147DB" w:rsidP="000147DB">
      <w:pPr>
        <w:spacing w:after="0" w:line="240" w:lineRule="auto"/>
        <w:jc w:val="both"/>
        <w:rPr>
          <w:rFonts w:eastAsia="Times New Roman" w:cs="Arial"/>
          <w:spacing w:val="-4"/>
        </w:rPr>
      </w:pPr>
      <w:r>
        <w:t>să stabilească un termen de maximum doi ani în care responsabilul pentru ambalaje, organismul autorizat sau o altă persoană în cauză trebuie să se conformeze acestor dispoziții;</w:t>
      </w:r>
    </w:p>
    <w:p w14:paraId="3CDBEA63" w14:textId="11412CF2" w:rsidR="000147DB" w:rsidRPr="0013762D" w:rsidRDefault="000147DB" w:rsidP="000147DB">
      <w:pPr>
        <w:autoSpaceDE w:val="0"/>
        <w:autoSpaceDN w:val="0"/>
        <w:adjustRightInd w:val="0"/>
        <w:spacing w:after="0" w:line="276" w:lineRule="auto"/>
        <w:jc w:val="both"/>
        <w:rPr>
          <w:rFonts w:cs="TimesNewRoman"/>
          <w:color w:val="FF0000"/>
          <w:spacing w:val="-4"/>
          <w:sz w:val="24"/>
          <w:szCs w:val="24"/>
        </w:rPr>
      </w:pPr>
      <w:r w:rsidRPr="0013762D">
        <w:rPr>
          <w:color w:val="FF0000"/>
          <w:spacing w:val="-4"/>
          <w:sz w:val="24"/>
          <w:szCs w:val="24"/>
        </w:rPr>
        <w:t>(2) să suspende, în totalitate sau parțial, activitatea responsabilului pentru ambalaje sau a organismului autorizat, să suspende funcționarea instalației sau să ordone închiderea integrală sau parțială a instalației și să aplice sechestru sau să interzică punerea la dispoziție pe piață sau să impună retragerea de pe piață a ambalajelor și a deșeurilor de ambalaje prevăzute în prezenta lege.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Oricare parte interesată poate solicita aplicarea măsurilor prevăzute la alineatul (1).</w:t>
      </w:r>
    </w:p>
    <w:p w14:paraId="15C47735" w14:textId="77777777" w:rsidR="000147DB" w:rsidRPr="003E7524" w:rsidRDefault="000147DB" w:rsidP="000147DB">
      <w:pPr>
        <w:spacing w:after="0" w:line="240" w:lineRule="auto"/>
        <w:jc w:val="both"/>
        <w:rPr>
          <w:rFonts w:eastAsia="Times New Roman" w:cs="Arial"/>
        </w:rPr>
      </w:pPr>
      <w:r>
        <w:t>(3) Măsurile enumerate la alineatul (1) sunt ridicate atunci când responsabilul pentru ambalaje, organismul autorizat sau o altă persoană în cauză s-a conformat dispozițiilor menționate anterior.</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Articolul 22 </w:t>
      </w:r>
      <w:r>
        <w:rPr>
          <w:b/>
          <w:bCs/>
          <w:iCs/>
        </w:rPr>
        <w:t>Căi de atac</w:t>
      </w:r>
    </w:p>
    <w:p w14:paraId="777CA2C3" w14:textId="77777777" w:rsidR="000147DB" w:rsidRPr="003E7524" w:rsidRDefault="000147DB" w:rsidP="000147DB">
      <w:pPr>
        <w:spacing w:after="0" w:line="240" w:lineRule="auto"/>
        <w:jc w:val="both"/>
        <w:rPr>
          <w:rFonts w:eastAsia="Times New Roman" w:cs="Arial"/>
        </w:rPr>
      </w:pPr>
      <w:r>
        <w:t>Împotriva hotărârilor luate în temeiul prezentei legi, se poate formula un apel pe fond la Tribunalul administrativ. Acest apel trebuie să fie formulat, sub sancțiunea decăderii din drepturi, în termen de patruzeci de zile de la notificarea hotărârii. Apelul poate fi formulat și de către asociațiile și organizațiile prevăzute la articolul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Articolul 23 </w:t>
      </w:r>
      <w:r>
        <w:rPr>
          <w:b/>
          <w:bCs/>
          <w:iCs/>
          <w:color w:val="000000"/>
        </w:rPr>
        <w:t>Dreptul de a acționa în justiție asociațiile ecologice autorizate</w:t>
      </w:r>
    </w:p>
    <w:p w14:paraId="54A6D588" w14:textId="7234A958" w:rsidR="000147DB" w:rsidRPr="0013762D" w:rsidRDefault="000147DB" w:rsidP="000147DB">
      <w:pPr>
        <w:spacing w:after="0" w:line="240" w:lineRule="auto"/>
        <w:jc w:val="both"/>
        <w:rPr>
          <w:rFonts w:eastAsia="Times New Roman" w:cs="Arial"/>
          <w:color w:val="000000"/>
          <w:spacing w:val="-4"/>
        </w:rPr>
      </w:pPr>
      <w:r w:rsidRPr="0013762D">
        <w:rPr>
          <w:color w:val="000000"/>
          <w:spacing w:val="-4"/>
        </w:rPr>
        <w:t>Asociațiile și organizațiile autorizate în temeiul Legii din 21 martie 2012 își pot exercita drepturile recunoscute părții civile cu privire la faptele care constituie infracțiune în sensul prezentei legi și care provoacă daune directe sau indirecte intereselor colective pe care le apără, chiar dacă acestea nu justifică un interes material și chiar dacă interesul colectiv în care acționează este acoperit în întregime de interesul social a cărui apărare este asigurată de ministerul public. Aceeași dispoziție se aplică și asociațiilor și organizațiilor de drept străin cu personalitate juridică care își desfășoară activitățile statutare în domeniul protecției mediului.</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Articolul 24 Anexe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Articolul 24 Modificările aduse anexei I la Directiva 94/62/CE a Parlamentului European și a Consiliului din 20 decembrie 1994 privind ambalajele și deșeurile de ambalaje, astfel cum a fost modificată prin actele delegate ale Comisiei Europene adoptate în conformitate cu articolul 19 alineatul (2) și cu articolul 21a din aceeași directivă.</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Modificările aduse anexei I la Directiva 94/62/CE a Parlamentului European și a Consiliului din 20 decembrie 1994 privind ambalajele și deșeurile de ambalaje, astfel cum a fost modificată prin actele delegate ale Comisiei Europene adoptate în conformitate cu articolul 19 alineatul (2) și cu articolul 21a din aceeași directivă, se aplică de la data intrării în vigoare a actelor relevante ale Comisiei Europene.</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Ministrul va publica un aviz în Jurnalul Oficial al Marelui Ducat al Luxemburgului în care va furniza informații cu privire la modificările efectuate, inclusiv o trimitere la actul publicat în Jurnalul Oficial al Uniunii Europene.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ANEXA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Cerințele esențiale privind compoziția și caracterul reutilizabil și valorificabil (în special reciclabil) ale ambalajelor</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1. Cerințe privind fabricarea și compoziția ambalajului</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Ambalajul trebuie fabricat astfel încât volumul și greutatea ambalajului să fie limitate la cantitatea minimă necesară pentru a asigura nivelul prevăzut de siguranță, igienă și acceptare atât pentru produsul ambalat, cât și pentru consumator.</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 Ambalajul trebuie proiectat, produs și comercializat astfel încât să permită reutilizarea și valorificarea sa, inclusiv reciclarea, în conformitate cu ierarhia deșeurilor, și să reducă la minimum impactul său asupra mediului în timpul eliminării deșeurilor de ambalaje sau a reziduurilor rezultate din operațiunile de gestionare a deșeurilor de ambalaje.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13762D" w:rsidRDefault="000147DB" w:rsidP="000147DB">
      <w:pPr>
        <w:spacing w:after="0" w:line="240" w:lineRule="auto"/>
        <w:jc w:val="both"/>
        <w:rPr>
          <w:rFonts w:eastAsia="Times New Roman" w:cs="Arial"/>
          <w:color w:val="000000"/>
          <w:spacing w:val="-4"/>
        </w:rPr>
      </w:pPr>
      <w:r w:rsidRPr="0013762D">
        <w:rPr>
          <w:color w:val="000000"/>
          <w:spacing w:val="-4"/>
        </w:rPr>
        <w:t>(c) Ambalajul trebuie să fie fabricat astfel încât să se reducă la minimum conținutul de substanțe și de materiale nocive și de alte substanțe periculoase din materialul de ambalaj și din elementele acestuia, în ceea ce privește prezența acestora în emisiile, cenușa sau levigatul rezultat din incinerarea sau depozitarea deșeurilor de ambalaje sau a reziduurilor rezultate din operațiunile de gestionare a deșeurilor de ambalaje.</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 xml:space="preserve">2. </w:t>
      </w:r>
      <w:r>
        <w:rPr>
          <w:b/>
          <w:bCs/>
          <w:iCs/>
          <w:color w:val="000000"/>
        </w:rPr>
        <w:t>Cerințe privind caracterul reutilizabil al unui ambalaj</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Ambalajul trebuie să îndeplinească simultan următoarele cerințe:</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proprietățile fizice și caracteristicile ambalajului îi permit să reziste la mai multe cicluri sau rotații în condiții de utilizare previzibile în mod normal;</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posibilitatea prelucrării ambalajului utilizat în vederea respectării cerințelor în materie de sănătate și de securitate a lucrătorilor;</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respectarea cerințelor specifice ambalajelor valorificabile, atunci când ambalajul nu mai poate fi reutilizat și astfel devine un deșeu.</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Cerințe privind caracterul valorificabil al unui ambalaj</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Ambalaj valorificabil prin reciclarea de materiale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Ambalajul trebuie să fie fabricat astfel încât să permită reciclarea unui anumit procentaj din greutatea materialelor utilizate pentru fabricarea produselor vandabile, în conformitate cu standardele aplicabile în Uniunea Europeană. Stabilirea acestui procentaj poate varia, în funcție de tipul de material din care este fabricat ambalajul.</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Ambalaj valorificabil prin recuperarea de energie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Deșeurile de ambalaje, prelucrate în scopul recuperării energiei, trebuie să aibă o valoare calorifică inferioară minimă pentru a permite optimizarea recuperării energiei.</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Ambalaj valorificabil sub formă de compost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Deșeurile de ambalaje prelucrate în scopul compostării trebuie să fie suficient de biodegradabile, astfel încât să nu împiedice colectarea separată și procesul sau activitatea de compostare în care sunt introduse.</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t>(d) Ambalaje biodegradabile</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 xml:space="preserve">Deșeurile de ambalaje biodegradabile trebuie să fie de o asemenea natură încât să poată suporta descompunerea fizică, chimică, termică sau biologică, astfel încât cea mai mare parte a compostului obținut să se descompună, în cele din urmă, în dioxid de carbon, biomasă și apă.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Ambalajele din plastic oxodegradabil nu sunt considerate biodegradabile.</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ANEXA II</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Acordul de mediu</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Acordurile de mediu prevăzute în prezenta lege sunt supuse următoarelor norme:</w:t>
      </w:r>
    </w:p>
    <w:p w14:paraId="26FA5C49" w14:textId="77777777" w:rsidR="000147DB" w:rsidRPr="003E7524" w:rsidRDefault="000147DB" w:rsidP="000147DB">
      <w:pPr>
        <w:spacing w:after="0" w:line="240" w:lineRule="auto"/>
        <w:jc w:val="both"/>
        <w:rPr>
          <w:rFonts w:eastAsia="Times New Roman" w:cs="Arial"/>
        </w:rPr>
      </w:pPr>
      <w:r>
        <w:t>(1) În acorduri trebuie specificate obiectivele și durata acestora.</w:t>
      </w:r>
    </w:p>
    <w:p w14:paraId="6DB322CD" w14:textId="77777777" w:rsidR="000147DB" w:rsidRPr="003E7524" w:rsidRDefault="000147DB" w:rsidP="000147DB">
      <w:pPr>
        <w:spacing w:after="0" w:line="240" w:lineRule="auto"/>
        <w:jc w:val="both"/>
        <w:rPr>
          <w:rFonts w:eastAsia="Times New Roman" w:cs="Arial"/>
        </w:rPr>
      </w:pPr>
      <w:r>
        <w:t>(2) Acordurile și rezultatele obținute în urma aplicării acestora sunt publice și comunicate Comisiei Europene de către ministru.</w:t>
      </w:r>
    </w:p>
    <w:p w14:paraId="0C4AFADA" w14:textId="77777777" w:rsidR="000147DB" w:rsidRPr="003E7524" w:rsidRDefault="000147DB" w:rsidP="000147DB">
      <w:pPr>
        <w:spacing w:after="0" w:line="240" w:lineRule="auto"/>
        <w:jc w:val="both"/>
        <w:rPr>
          <w:rFonts w:eastAsia="Times New Roman" w:cs="Arial"/>
        </w:rPr>
      </w:pPr>
      <w:r>
        <w:t>(3) Aplicarea acordurilor face obiectul unui control periodic efectuat de către administrație.</w:t>
      </w:r>
    </w:p>
    <w:p w14:paraId="338631B9" w14:textId="77777777" w:rsidR="000147DB" w:rsidRPr="003E7524" w:rsidRDefault="000147DB" w:rsidP="000147DB">
      <w:pPr>
        <w:spacing w:after="0" w:line="240" w:lineRule="auto"/>
        <w:jc w:val="both"/>
        <w:rPr>
          <w:rFonts w:eastAsia="Times New Roman" w:cs="Arial"/>
        </w:rPr>
      </w:pPr>
      <w:r>
        <w:t>(4) Acordurile includ măsuri și sancțiuni care trebuie aplicate în cazul nerespectării dispozițiilor acestora.</w:t>
      </w:r>
    </w:p>
    <w:p w14:paraId="3E2E4659" w14:textId="77777777" w:rsidR="000147DB" w:rsidRPr="003E7524" w:rsidRDefault="000147DB" w:rsidP="000147DB">
      <w:pPr>
        <w:spacing w:after="0" w:line="240" w:lineRule="auto"/>
        <w:jc w:val="both"/>
        <w:rPr>
          <w:rFonts w:eastAsia="Times New Roman" w:cs="Arial"/>
        </w:rPr>
      </w:pPr>
      <w:r>
        <w:t>(5) Acordurile sunt încheiate pentru o perioadă determinată de maximum cinci ani. Nu pot fi reînnoite prin acord tacit.</w:t>
      </w:r>
    </w:p>
    <w:p w14:paraId="104D8A65" w14:textId="77777777" w:rsidR="000147DB" w:rsidRPr="003E7524" w:rsidRDefault="000147DB" w:rsidP="000147DB">
      <w:pPr>
        <w:spacing w:after="0" w:line="240" w:lineRule="auto"/>
        <w:jc w:val="both"/>
        <w:rPr>
          <w:rFonts w:eastAsia="Times New Roman" w:cs="Arial"/>
        </w:rPr>
      </w:pPr>
      <w:r>
        <w:t>(6) Acordurile se încheie fie la sfârșitul perioadei pentru care au fost încheiate, fie după atingerea obiectivelor acestora, fie prin acordul reciproc al părților.</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Legea din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ANEXA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Lista fructelor și a legumelor vizate la articolul 5 alineatul (1) punctul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Fructe proaspete</w:t>
            </w:r>
          </w:p>
        </w:tc>
        <w:tc>
          <w:tcPr>
            <w:tcW w:w="4675" w:type="dxa"/>
          </w:tcPr>
          <w:p w14:paraId="5DD24357" w14:textId="77777777" w:rsidR="000147DB" w:rsidRPr="00B972B3" w:rsidRDefault="000147DB" w:rsidP="000147DB">
            <w:pPr>
              <w:rPr>
                <w:b/>
                <w:color w:val="FF0000"/>
                <w:spacing w:val="-4"/>
              </w:rPr>
            </w:pPr>
            <w:r>
              <w:rPr>
                <w:b/>
                <w:color w:val="FF0000"/>
              </w:rPr>
              <w:t>Legume proaspete</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Ananas</w:t>
            </w:r>
          </w:p>
        </w:tc>
        <w:tc>
          <w:tcPr>
            <w:tcW w:w="4675" w:type="dxa"/>
          </w:tcPr>
          <w:p w14:paraId="08482F53" w14:textId="77777777" w:rsidR="000147DB" w:rsidRPr="00B972B3" w:rsidRDefault="000147DB" w:rsidP="000147DB">
            <w:pPr>
              <w:rPr>
                <w:color w:val="FF0000"/>
                <w:spacing w:val="-4"/>
              </w:rPr>
            </w:pPr>
            <w:r>
              <w:rPr>
                <w:color w:val="FF0000"/>
              </w:rPr>
              <w:t>Usturoi</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Caise</w:t>
            </w:r>
          </w:p>
        </w:tc>
        <w:tc>
          <w:tcPr>
            <w:tcW w:w="4675" w:type="dxa"/>
          </w:tcPr>
          <w:p w14:paraId="3AFF19ED" w14:textId="77777777" w:rsidR="000147DB" w:rsidRPr="00B972B3" w:rsidRDefault="000147DB" w:rsidP="000147DB">
            <w:pPr>
              <w:rPr>
                <w:color w:val="FF0000"/>
                <w:spacing w:val="-4"/>
              </w:rPr>
            </w:pPr>
            <w:r>
              <w:rPr>
                <w:color w:val="FF0000"/>
              </w:rPr>
              <w:t>Anghinare</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Avocado </w:t>
            </w:r>
          </w:p>
        </w:tc>
        <w:tc>
          <w:tcPr>
            <w:tcW w:w="4675" w:type="dxa"/>
          </w:tcPr>
          <w:p w14:paraId="2478D876" w14:textId="77777777" w:rsidR="000147DB" w:rsidRPr="00B972B3" w:rsidRDefault="000147DB" w:rsidP="000147DB">
            <w:pPr>
              <w:rPr>
                <w:color w:val="FF0000"/>
                <w:spacing w:val="-4"/>
              </w:rPr>
            </w:pPr>
            <w:r>
              <w:rPr>
                <w:color w:val="FF0000"/>
              </w:rPr>
              <w:t>Sparanghel</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Banane</w:t>
            </w:r>
          </w:p>
        </w:tc>
        <w:tc>
          <w:tcPr>
            <w:tcW w:w="4675" w:type="dxa"/>
          </w:tcPr>
          <w:p w14:paraId="3DDEEA9A" w14:textId="77777777" w:rsidR="000147DB" w:rsidRPr="00B972B3" w:rsidRDefault="000147DB" w:rsidP="000147DB">
            <w:pPr>
              <w:rPr>
                <w:color w:val="FF0000"/>
                <w:spacing w:val="-4"/>
              </w:rPr>
            </w:pPr>
            <w:r>
              <w:rPr>
                <w:color w:val="FF0000"/>
              </w:rPr>
              <w:t>Vinete</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Carambola </w:t>
            </w:r>
          </w:p>
        </w:tc>
        <w:tc>
          <w:tcPr>
            <w:tcW w:w="4675" w:type="dxa"/>
          </w:tcPr>
          <w:p w14:paraId="7AC5C4A8" w14:textId="77777777" w:rsidR="000147DB" w:rsidRPr="00B972B3" w:rsidRDefault="000147DB" w:rsidP="000147DB">
            <w:pPr>
              <w:rPr>
                <w:color w:val="FF0000"/>
                <w:spacing w:val="-4"/>
              </w:rPr>
            </w:pPr>
            <w:r>
              <w:rPr>
                <w:color w:val="FF0000"/>
              </w:rPr>
              <w:t>Sfeclă</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Cireșe</w:t>
            </w:r>
          </w:p>
        </w:tc>
        <w:tc>
          <w:tcPr>
            <w:tcW w:w="4675" w:type="dxa"/>
          </w:tcPr>
          <w:p w14:paraId="2B969983" w14:textId="77777777" w:rsidR="000147DB" w:rsidRPr="00B972B3" w:rsidRDefault="000147DB" w:rsidP="000147DB">
            <w:pPr>
              <w:rPr>
                <w:color w:val="FF0000"/>
                <w:spacing w:val="-4"/>
              </w:rPr>
            </w:pPr>
            <w:r>
              <w:rPr>
                <w:color w:val="FF0000"/>
              </w:rPr>
              <w:t xml:space="preserve">Broccoli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Lămâie</w:t>
            </w:r>
          </w:p>
        </w:tc>
        <w:tc>
          <w:tcPr>
            <w:tcW w:w="4675" w:type="dxa"/>
          </w:tcPr>
          <w:p w14:paraId="47A7B036" w14:textId="77777777" w:rsidR="000147DB" w:rsidRPr="00B972B3" w:rsidRDefault="000147DB" w:rsidP="000147DB">
            <w:pPr>
              <w:rPr>
                <w:color w:val="FF0000"/>
                <w:spacing w:val="-4"/>
              </w:rPr>
            </w:pPr>
            <w:r>
              <w:rPr>
                <w:color w:val="FF0000"/>
              </w:rPr>
              <w:t>Morcovi</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Lămâie verde</w:t>
            </w:r>
          </w:p>
        </w:tc>
        <w:tc>
          <w:tcPr>
            <w:tcW w:w="4675" w:type="dxa"/>
          </w:tcPr>
          <w:p w14:paraId="453BF889" w14:textId="77777777" w:rsidR="000147DB" w:rsidRPr="00B972B3" w:rsidRDefault="000147DB" w:rsidP="000147DB">
            <w:pPr>
              <w:rPr>
                <w:color w:val="FF0000"/>
                <w:spacing w:val="-4"/>
              </w:rPr>
            </w:pPr>
            <w:r>
              <w:rPr>
                <w:color w:val="FF0000"/>
              </w:rPr>
              <w:t>Țelină</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Clementine</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Gutui</w:t>
            </w:r>
          </w:p>
        </w:tc>
        <w:tc>
          <w:tcPr>
            <w:tcW w:w="4675" w:type="dxa"/>
          </w:tcPr>
          <w:p w14:paraId="7F3699D7" w14:textId="77777777" w:rsidR="000147DB" w:rsidRPr="00B972B3" w:rsidRDefault="000147DB" w:rsidP="000147DB">
            <w:pPr>
              <w:rPr>
                <w:color w:val="FF0000"/>
                <w:spacing w:val="-4"/>
              </w:rPr>
            </w:pPr>
            <w:r>
              <w:rPr>
                <w:color w:val="FF0000"/>
              </w:rPr>
              <w:t>Varză de Bruxelles</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Smochine</w:t>
            </w:r>
          </w:p>
        </w:tc>
        <w:tc>
          <w:tcPr>
            <w:tcW w:w="4675" w:type="dxa"/>
          </w:tcPr>
          <w:p w14:paraId="7D013B00" w14:textId="77777777" w:rsidR="000147DB" w:rsidRPr="00B972B3" w:rsidRDefault="000147DB" w:rsidP="000147DB">
            <w:pPr>
              <w:rPr>
                <w:color w:val="FF0000"/>
                <w:spacing w:val="-4"/>
              </w:rPr>
            </w:pPr>
            <w:r>
              <w:rPr>
                <w:color w:val="FF0000"/>
              </w:rPr>
              <w:t xml:space="preserve">Conopidă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Fructul pasiunii</w:t>
            </w:r>
          </w:p>
        </w:tc>
        <w:tc>
          <w:tcPr>
            <w:tcW w:w="4675" w:type="dxa"/>
          </w:tcPr>
          <w:p w14:paraId="20A94445" w14:textId="77777777" w:rsidR="000147DB" w:rsidRPr="00B972B3" w:rsidRDefault="000147DB" w:rsidP="000147DB">
            <w:pPr>
              <w:rPr>
                <w:color w:val="FF0000"/>
                <w:spacing w:val="-4"/>
              </w:rPr>
            </w:pPr>
            <w:r>
              <w:rPr>
                <w:color w:val="FF0000"/>
              </w:rPr>
              <w:t xml:space="preserve">Gulie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 </w:t>
            </w:r>
          </w:p>
        </w:tc>
        <w:tc>
          <w:tcPr>
            <w:tcW w:w="4675" w:type="dxa"/>
          </w:tcPr>
          <w:p w14:paraId="31DCAFA7" w14:textId="77777777" w:rsidR="000147DB" w:rsidRPr="00B972B3" w:rsidRDefault="000147DB" w:rsidP="000147DB">
            <w:pPr>
              <w:rPr>
                <w:color w:val="FF0000"/>
                <w:spacing w:val="-4"/>
              </w:rPr>
            </w:pPr>
            <w:r>
              <w:rPr>
                <w:color w:val="FF0000"/>
              </w:rPr>
              <w:t>Varză roșie</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lastRenderedPageBreak/>
              <w:t xml:space="preserve">Rodie </w:t>
            </w:r>
          </w:p>
        </w:tc>
        <w:tc>
          <w:tcPr>
            <w:tcW w:w="4675" w:type="dxa"/>
          </w:tcPr>
          <w:p w14:paraId="2E7E8615" w14:textId="77777777" w:rsidR="000147DB" w:rsidRPr="00B972B3" w:rsidRDefault="000147DB" w:rsidP="000147DB">
            <w:pPr>
              <w:rPr>
                <w:color w:val="FF0000"/>
                <w:spacing w:val="-4"/>
              </w:rPr>
            </w:pPr>
            <w:r>
              <w:rPr>
                <w:color w:val="FF0000"/>
              </w:rPr>
              <w:t>Varză verde</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Kiwi</w:t>
            </w:r>
          </w:p>
        </w:tc>
        <w:tc>
          <w:tcPr>
            <w:tcW w:w="4675" w:type="dxa"/>
          </w:tcPr>
          <w:p w14:paraId="0CB65944" w14:textId="77777777" w:rsidR="000147DB" w:rsidRPr="00B972B3" w:rsidRDefault="000147DB" w:rsidP="000147DB">
            <w:pPr>
              <w:rPr>
                <w:color w:val="FF0000"/>
                <w:spacing w:val="-4"/>
              </w:rPr>
            </w:pPr>
            <w:r>
              <w:rPr>
                <w:color w:val="FF0000"/>
              </w:rPr>
              <w:t>Castraveți</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Lici</w:t>
            </w:r>
          </w:p>
        </w:tc>
        <w:tc>
          <w:tcPr>
            <w:tcW w:w="4675" w:type="dxa"/>
          </w:tcPr>
          <w:p w14:paraId="07FD18D1" w14:textId="77777777" w:rsidR="000147DB" w:rsidRPr="00B972B3" w:rsidRDefault="000147DB" w:rsidP="000147DB">
            <w:pPr>
              <w:rPr>
                <w:color w:val="FF0000"/>
                <w:spacing w:val="-4"/>
              </w:rPr>
            </w:pPr>
            <w:r>
              <w:rPr>
                <w:color w:val="FF0000"/>
              </w:rPr>
              <w:t>Dovleci galbeni</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Mandarine</w:t>
            </w:r>
          </w:p>
        </w:tc>
        <w:tc>
          <w:tcPr>
            <w:tcW w:w="4675" w:type="dxa"/>
          </w:tcPr>
          <w:p w14:paraId="1E3114C2" w14:textId="77777777" w:rsidR="000147DB" w:rsidRPr="00B972B3" w:rsidRDefault="000147DB" w:rsidP="000147DB">
            <w:pPr>
              <w:rPr>
                <w:color w:val="FF0000"/>
                <w:spacing w:val="-4"/>
              </w:rPr>
            </w:pPr>
            <w:r>
              <w:rPr>
                <w:color w:val="FF0000"/>
              </w:rPr>
              <w:t xml:space="preserve">Dovlecei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Fasole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Pepene</w:t>
            </w:r>
          </w:p>
        </w:tc>
        <w:tc>
          <w:tcPr>
            <w:tcW w:w="4675" w:type="dxa"/>
          </w:tcPr>
          <w:p w14:paraId="64BDF842" w14:textId="77777777" w:rsidR="000147DB" w:rsidRPr="00B972B3" w:rsidRDefault="000147DB" w:rsidP="000147DB">
            <w:pPr>
              <w:rPr>
                <w:color w:val="FF0000"/>
                <w:spacing w:val="-4"/>
              </w:rPr>
            </w:pPr>
            <w:r>
              <w:rPr>
                <w:color w:val="FF0000"/>
              </w:rPr>
              <w:t>Andive</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Corcodușe</w:t>
            </w:r>
          </w:p>
        </w:tc>
        <w:tc>
          <w:tcPr>
            <w:tcW w:w="4675" w:type="dxa"/>
          </w:tcPr>
          <w:p w14:paraId="716EDB7B" w14:textId="77777777" w:rsidR="000147DB" w:rsidRPr="00B972B3" w:rsidRDefault="000147DB" w:rsidP="000147DB">
            <w:pPr>
              <w:rPr>
                <w:color w:val="FF0000"/>
                <w:spacing w:val="-4"/>
              </w:rPr>
            </w:pPr>
            <w:r>
              <w:rPr>
                <w:color w:val="FF0000"/>
              </w:rPr>
              <w:t>Fenicul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Nectarină</w:t>
            </w:r>
          </w:p>
        </w:tc>
        <w:tc>
          <w:tcPr>
            <w:tcW w:w="4675" w:type="dxa"/>
          </w:tcPr>
          <w:p w14:paraId="34F5A88D" w14:textId="77777777" w:rsidR="000147DB" w:rsidRPr="00B972B3" w:rsidRDefault="000147DB" w:rsidP="000147DB">
            <w:pPr>
              <w:rPr>
                <w:color w:val="FF0000"/>
                <w:spacing w:val="-4"/>
              </w:rPr>
            </w:pPr>
            <w:r>
              <w:rPr>
                <w:color w:val="FF0000"/>
              </w:rPr>
              <w:t>Porumb</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Portocale</w:t>
            </w:r>
          </w:p>
        </w:tc>
        <w:tc>
          <w:tcPr>
            <w:tcW w:w="4675" w:type="dxa"/>
          </w:tcPr>
          <w:p w14:paraId="00AE1AA5" w14:textId="77777777" w:rsidR="000147DB" w:rsidRPr="00B972B3" w:rsidRDefault="000147DB" w:rsidP="000147DB">
            <w:pPr>
              <w:rPr>
                <w:color w:val="FF0000"/>
                <w:spacing w:val="-4"/>
              </w:rPr>
            </w:pPr>
            <w:r>
              <w:rPr>
                <w:color w:val="FF0000"/>
              </w:rPr>
              <w:t>Napi</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Papaia</w:t>
            </w:r>
          </w:p>
        </w:tc>
        <w:tc>
          <w:tcPr>
            <w:tcW w:w="4675" w:type="dxa"/>
          </w:tcPr>
          <w:p w14:paraId="075DB470" w14:textId="77777777" w:rsidR="000147DB" w:rsidRPr="00B972B3" w:rsidRDefault="000147DB" w:rsidP="000147DB">
            <w:pPr>
              <w:rPr>
                <w:color w:val="FF0000"/>
                <w:spacing w:val="-4"/>
              </w:rPr>
            </w:pPr>
            <w:r>
              <w:rPr>
                <w:color w:val="FF0000"/>
              </w:rPr>
              <w:t>Ceapă</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Praz</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Piersici</w:t>
            </w:r>
          </w:p>
        </w:tc>
        <w:tc>
          <w:tcPr>
            <w:tcW w:w="4675" w:type="dxa"/>
          </w:tcPr>
          <w:p w14:paraId="5243B15C" w14:textId="77777777" w:rsidR="000147DB" w:rsidRPr="00B972B3" w:rsidRDefault="000147DB" w:rsidP="000147DB">
            <w:pPr>
              <w:rPr>
                <w:color w:val="FF0000"/>
                <w:spacing w:val="-4"/>
              </w:rPr>
            </w:pPr>
            <w:r>
              <w:rPr>
                <w:color w:val="FF0000"/>
              </w:rPr>
              <w:t>Piper</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Physalis</w:t>
            </w:r>
          </w:p>
        </w:tc>
        <w:tc>
          <w:tcPr>
            <w:tcW w:w="4675" w:type="dxa"/>
          </w:tcPr>
          <w:p w14:paraId="6052EBF3" w14:textId="77777777" w:rsidR="000147DB" w:rsidRPr="00B972B3" w:rsidRDefault="000147DB" w:rsidP="000147DB">
            <w:pPr>
              <w:rPr>
                <w:color w:val="FF0000"/>
                <w:spacing w:val="-4"/>
              </w:rPr>
            </w:pPr>
            <w:r>
              <w:rPr>
                <w:color w:val="FF0000"/>
              </w:rPr>
              <w:t>Cartofi</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Pitaya</w:t>
            </w:r>
          </w:p>
        </w:tc>
        <w:tc>
          <w:tcPr>
            <w:tcW w:w="4675" w:type="dxa"/>
          </w:tcPr>
          <w:p w14:paraId="0C08F9BD" w14:textId="77777777" w:rsidR="000147DB" w:rsidRPr="00B972B3" w:rsidRDefault="000147DB" w:rsidP="000147DB">
            <w:pPr>
              <w:rPr>
                <w:color w:val="FF0000"/>
                <w:spacing w:val="-4"/>
              </w:rPr>
            </w:pPr>
            <w:r>
              <w:rPr>
                <w:color w:val="FF0000"/>
              </w:rPr>
              <w:t>Dovleac</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Persimmon/kaki</w:t>
            </w:r>
          </w:p>
        </w:tc>
        <w:tc>
          <w:tcPr>
            <w:tcW w:w="4675" w:type="dxa"/>
          </w:tcPr>
          <w:p w14:paraId="764A6ACA" w14:textId="77777777" w:rsidR="000147DB" w:rsidRPr="00B972B3" w:rsidRDefault="000147DB" w:rsidP="000147DB">
            <w:pPr>
              <w:rPr>
                <w:color w:val="FF0000"/>
                <w:spacing w:val="-4"/>
              </w:rPr>
            </w:pPr>
            <w:r>
              <w:rPr>
                <w:color w:val="FF0000"/>
              </w:rPr>
              <w:t xml:space="preserve">Ridiche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Pere</w:t>
            </w:r>
          </w:p>
        </w:tc>
        <w:tc>
          <w:tcPr>
            <w:tcW w:w="4675" w:type="dxa"/>
          </w:tcPr>
          <w:p w14:paraId="64399CC8" w14:textId="77777777" w:rsidR="000147DB" w:rsidRPr="00B972B3" w:rsidRDefault="000147DB" w:rsidP="000147DB">
            <w:pPr>
              <w:rPr>
                <w:color w:val="FF0000"/>
                <w:spacing w:val="-4"/>
              </w:rPr>
            </w:pPr>
            <w:r>
              <w:rPr>
                <w:color w:val="FF0000"/>
              </w:rPr>
              <w:t xml:space="preserve">Rubarbă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Pomelo</w:t>
            </w:r>
          </w:p>
        </w:tc>
        <w:tc>
          <w:tcPr>
            <w:tcW w:w="4675" w:type="dxa"/>
          </w:tcPr>
          <w:p w14:paraId="44F6263F" w14:textId="77777777" w:rsidR="000147DB" w:rsidRPr="00B972B3" w:rsidRDefault="000147DB" w:rsidP="000147DB">
            <w:pPr>
              <w:rPr>
                <w:color w:val="FF0000"/>
                <w:spacing w:val="-4"/>
              </w:rPr>
            </w:pPr>
            <w:r>
              <w:rPr>
                <w:color w:val="FF0000"/>
              </w:rPr>
              <w:t>Roșii</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Mere</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Prune</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Struguri</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13762D"/>
    <w:rsid w:val="002F5A31"/>
    <w:rsid w:val="003E7524"/>
    <w:rsid w:val="00471E09"/>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6986</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2020-08-13T06:43:00Z</dcterms:modified>
</cp:coreProperties>
</file>